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88" w:rsidRDefault="00BE3E88" w:rsidP="00745654">
      <w:pPr>
        <w:pStyle w:val="BodyText"/>
        <w:spacing w:before="66"/>
        <w:ind w:left="103"/>
        <w:jc w:val="center"/>
      </w:pPr>
    </w:p>
    <w:p w:rsidR="00AD21FE" w:rsidRDefault="00E54B35" w:rsidP="00E54B35">
      <w:pPr>
        <w:pStyle w:val="BodyText"/>
        <w:spacing w:before="66"/>
        <w:ind w:left="103"/>
        <w:jc w:val="center"/>
      </w:pPr>
      <w:r>
        <w:rPr>
          <w:lang w:val="bs-Cyrl-BA"/>
        </w:rPr>
        <w:t xml:space="preserve">Друштво за управљање инвестиционим фондовима </w:t>
      </w:r>
      <w:r w:rsidRPr="00E54B35">
        <w:rPr>
          <w:lang w:val="bs-Cyrl-BA"/>
        </w:rPr>
        <w:t>''</w:t>
      </w:r>
      <w:r>
        <w:rPr>
          <w:lang w:val="bs-Cyrl-BA"/>
        </w:rPr>
        <w:t>КРИС</w:t>
      </w:r>
      <w:r w:rsidRPr="00E54B35">
        <w:rPr>
          <w:lang w:val="bs-Cyrl-BA"/>
        </w:rPr>
        <w:t>TA</w:t>
      </w:r>
      <w:r>
        <w:rPr>
          <w:lang w:val="bs-Cyrl-BA"/>
        </w:rPr>
        <w:t>Л</w:t>
      </w:r>
      <w:r w:rsidRPr="00E54B35">
        <w:rPr>
          <w:lang w:val="bs-Cyrl-BA"/>
        </w:rPr>
        <w:t xml:space="preserve"> </w:t>
      </w:r>
      <w:r>
        <w:rPr>
          <w:lang w:val="bs-Cyrl-BA"/>
        </w:rPr>
        <w:t>ИНВ</w:t>
      </w:r>
      <w:r w:rsidRPr="00E54B35">
        <w:rPr>
          <w:lang w:val="bs-Cyrl-BA"/>
        </w:rPr>
        <w:t>E</w:t>
      </w:r>
      <w:r>
        <w:rPr>
          <w:lang w:val="bs-Cyrl-BA"/>
        </w:rPr>
        <w:t>С</w:t>
      </w:r>
      <w:r w:rsidRPr="00E54B35">
        <w:rPr>
          <w:lang w:val="bs-Cyrl-BA"/>
        </w:rPr>
        <w:t>T" a.</w:t>
      </w:r>
      <w:r>
        <w:rPr>
          <w:lang w:val="bs-Cyrl-BA"/>
        </w:rPr>
        <w:t>д</w:t>
      </w:r>
      <w:r w:rsidRPr="00E54B35">
        <w:rPr>
          <w:lang w:val="bs-Cyrl-BA"/>
        </w:rPr>
        <w:t xml:space="preserve">. </w:t>
      </w:r>
      <w:r>
        <w:rPr>
          <w:lang w:val="bs-Cyrl-BA"/>
        </w:rPr>
        <w:t>Б</w:t>
      </w:r>
      <w:r w:rsidRPr="00E54B35">
        <w:rPr>
          <w:lang w:val="bs-Cyrl-BA"/>
        </w:rPr>
        <w:t>a</w:t>
      </w:r>
      <w:r>
        <w:rPr>
          <w:lang w:val="bs-Cyrl-BA"/>
        </w:rPr>
        <w:t>њ</w:t>
      </w:r>
      <w:r w:rsidRPr="00E54B35">
        <w:rPr>
          <w:lang w:val="bs-Cyrl-BA"/>
        </w:rPr>
        <w:t xml:space="preserve">a </w:t>
      </w:r>
      <w:r>
        <w:rPr>
          <w:lang w:val="bs-Cyrl-BA"/>
        </w:rPr>
        <w:t>Лук</w:t>
      </w:r>
      <w:r w:rsidRPr="00E54B35">
        <w:rPr>
          <w:lang w:val="bs-Cyrl-BA"/>
        </w:rPr>
        <w:t>a</w:t>
      </w:r>
      <w:r>
        <w:rPr>
          <w:lang w:val="bs-Cyrl-BA"/>
        </w:rPr>
        <w:t xml:space="preserve">, </w:t>
      </w:r>
      <w:r w:rsidRPr="00E54B35">
        <w:rPr>
          <w:lang w:val="bs-Cyrl-BA"/>
        </w:rPr>
        <w:t xml:space="preserve">Друштво за управљање инвестиционим фондовима "MANAGEMENT SOLUTIONS" </w:t>
      </w:r>
      <w:r>
        <w:rPr>
          <w:lang w:val="bs-Cyrl-BA"/>
        </w:rPr>
        <w:t>д</w:t>
      </w:r>
      <w:r w:rsidRPr="00E54B35">
        <w:rPr>
          <w:lang w:val="bs-Cyrl-BA"/>
        </w:rPr>
        <w:t xml:space="preserve">.o.o. </w:t>
      </w:r>
      <w:r>
        <w:rPr>
          <w:lang w:val="bs-Cyrl-BA"/>
        </w:rPr>
        <w:t>Б</w:t>
      </w:r>
      <w:r w:rsidRPr="00E54B35">
        <w:rPr>
          <w:lang w:val="bs-Cyrl-BA"/>
        </w:rPr>
        <w:t>a</w:t>
      </w:r>
      <w:r>
        <w:rPr>
          <w:lang w:val="bs-Cyrl-BA"/>
        </w:rPr>
        <w:t>њ</w:t>
      </w:r>
      <w:r w:rsidRPr="00E54B35">
        <w:rPr>
          <w:lang w:val="bs-Cyrl-BA"/>
        </w:rPr>
        <w:t xml:space="preserve">a </w:t>
      </w:r>
      <w:r>
        <w:rPr>
          <w:lang w:val="bs-Cyrl-BA"/>
        </w:rPr>
        <w:t>Лук</w:t>
      </w:r>
      <w:r w:rsidRPr="00E54B35">
        <w:rPr>
          <w:lang w:val="bs-Cyrl-BA"/>
        </w:rPr>
        <w:t>a</w:t>
      </w:r>
      <w:r>
        <w:rPr>
          <w:lang w:val="bs-Cyrl-BA"/>
        </w:rPr>
        <w:t>, Друштво за управљање инвестиционим фондовима</w:t>
      </w:r>
      <w:r w:rsidRPr="00E54B35">
        <w:rPr>
          <w:lang w:val="bs-Cyrl-BA"/>
        </w:rPr>
        <w:t xml:space="preserve"> ''</w:t>
      </w:r>
      <w:r>
        <w:rPr>
          <w:lang w:val="bs-Cyrl-BA"/>
        </w:rPr>
        <w:t>П</w:t>
      </w:r>
      <w:r w:rsidRPr="00E54B35">
        <w:rPr>
          <w:lang w:val="bs-Cyrl-BA"/>
        </w:rPr>
        <w:t>O</w:t>
      </w:r>
      <w:r>
        <w:rPr>
          <w:lang w:val="bs-Cyrl-BA"/>
        </w:rPr>
        <w:t>Л</w:t>
      </w:r>
      <w:r w:rsidRPr="00E54B35">
        <w:rPr>
          <w:lang w:val="bs-Cyrl-BA"/>
        </w:rPr>
        <w:t>A</w:t>
      </w:r>
      <w:r>
        <w:rPr>
          <w:lang w:val="bs-Cyrl-BA"/>
        </w:rPr>
        <w:t>Р</w:t>
      </w:r>
      <w:r w:rsidRPr="00E54B35">
        <w:rPr>
          <w:lang w:val="bs-Cyrl-BA"/>
        </w:rPr>
        <w:t xml:space="preserve">A </w:t>
      </w:r>
      <w:r>
        <w:rPr>
          <w:lang w:val="bs-Cyrl-BA"/>
        </w:rPr>
        <w:t>ИНВ</w:t>
      </w:r>
      <w:r w:rsidRPr="00E54B35">
        <w:rPr>
          <w:lang w:val="bs-Cyrl-BA"/>
        </w:rPr>
        <w:t>E</w:t>
      </w:r>
      <w:r>
        <w:rPr>
          <w:lang w:val="bs-Cyrl-BA"/>
        </w:rPr>
        <w:t>С</w:t>
      </w:r>
      <w:r w:rsidRPr="00E54B35">
        <w:rPr>
          <w:lang w:val="bs-Cyrl-BA"/>
        </w:rPr>
        <w:t>T" a.</w:t>
      </w:r>
      <w:r>
        <w:rPr>
          <w:lang w:val="bs-Cyrl-BA"/>
        </w:rPr>
        <w:t>д</w:t>
      </w:r>
      <w:r w:rsidRPr="00E54B35">
        <w:rPr>
          <w:lang w:val="bs-Cyrl-BA"/>
        </w:rPr>
        <w:t xml:space="preserve">. </w:t>
      </w:r>
      <w:r>
        <w:rPr>
          <w:lang w:val="bs-Cyrl-BA"/>
        </w:rPr>
        <w:t>Б</w:t>
      </w:r>
      <w:r w:rsidRPr="00E54B35">
        <w:rPr>
          <w:lang w:val="bs-Cyrl-BA"/>
        </w:rPr>
        <w:t>a</w:t>
      </w:r>
      <w:r>
        <w:rPr>
          <w:lang w:val="bs-Cyrl-BA"/>
        </w:rPr>
        <w:t>њ</w:t>
      </w:r>
      <w:r w:rsidRPr="00E54B35">
        <w:rPr>
          <w:lang w:val="bs-Cyrl-BA"/>
        </w:rPr>
        <w:t xml:space="preserve">a </w:t>
      </w:r>
      <w:r>
        <w:rPr>
          <w:lang w:val="bs-Cyrl-BA"/>
        </w:rPr>
        <w:t>Лук</w:t>
      </w:r>
      <w:r w:rsidRPr="00E54B35">
        <w:rPr>
          <w:lang w:val="bs-Cyrl-BA"/>
        </w:rPr>
        <w:t>a</w:t>
      </w:r>
      <w:r>
        <w:rPr>
          <w:lang w:val="bs-Cyrl-BA"/>
        </w:rPr>
        <w:t>,</w:t>
      </w:r>
      <w:r w:rsidRPr="00E54B35">
        <w:rPr>
          <w:lang w:val="bs-Cyrl-BA"/>
        </w:rPr>
        <w:t xml:space="preserve"> </w:t>
      </w:r>
      <w:r w:rsidR="00BD0DAF">
        <w:t>Друштвo зa упрaвљaњe Пeнзиjским рeзeрвним фoндoм Рeпубликe Српскe a.д. Бaњa Лукa</w:t>
      </w:r>
      <w:r w:rsidR="0043780E">
        <w:t xml:space="preserve"> </w:t>
      </w:r>
      <w:r w:rsidR="0043780E">
        <w:rPr>
          <w:lang w:val="bs-Cyrl-BA"/>
        </w:rPr>
        <w:t>и Инвестиционо развојна банка Републике Српске</w:t>
      </w:r>
      <w:r w:rsidR="009B49C1">
        <w:rPr>
          <w:lang w:val="bs-Latn-BA"/>
        </w:rPr>
        <w:t xml:space="preserve"> </w:t>
      </w:r>
      <w:r w:rsidR="009B49C1" w:rsidRPr="009B49C1">
        <w:rPr>
          <w:lang w:val="bs-Cyrl-BA"/>
        </w:rPr>
        <w:t>а.д. Бања Лука</w:t>
      </w:r>
      <w:r w:rsidR="00BD0DAF">
        <w:t xml:space="preserve"> oргaнизуjу:</w:t>
      </w:r>
    </w:p>
    <w:p w:rsidR="00BE3E88" w:rsidRDefault="00BE3E88">
      <w:pPr>
        <w:pStyle w:val="Title"/>
      </w:pPr>
    </w:p>
    <w:p w:rsidR="00AD21FE" w:rsidRDefault="00BD0DAF">
      <w:pPr>
        <w:pStyle w:val="Title"/>
      </w:pPr>
      <w:r>
        <w:t>ПРОДАЈУ</w:t>
      </w:r>
    </w:p>
    <w:p w:rsidR="00AD21FE" w:rsidRDefault="00BD0DAF">
      <w:pPr>
        <w:pStyle w:val="BodyText"/>
        <w:spacing w:line="252" w:lineRule="exact"/>
        <w:ind w:left="6090" w:right="5530"/>
        <w:jc w:val="center"/>
      </w:pPr>
      <w:proofErr w:type="gramStart"/>
      <w:r>
        <w:t>пакета</w:t>
      </w:r>
      <w:proofErr w:type="gramEnd"/>
      <w:r>
        <w:t xml:space="preserve"> акција сљедећих емитената:</w:t>
      </w:r>
    </w:p>
    <w:p w:rsidR="00AD21FE" w:rsidRDefault="00AD21FE">
      <w:pPr>
        <w:pStyle w:val="BodyText"/>
        <w:spacing w:before="11"/>
        <w:rPr>
          <w:sz w:val="17"/>
        </w:rPr>
      </w:pPr>
    </w:p>
    <w:p w:rsidR="000A2F3C" w:rsidRDefault="000A2F3C">
      <w:pPr>
        <w:pStyle w:val="BodyText"/>
        <w:spacing w:before="11"/>
        <w:rPr>
          <w:sz w:val="17"/>
          <w:lang w:val="bs-Cyrl-BA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0"/>
        <w:gridCol w:w="1022"/>
        <w:gridCol w:w="1692"/>
        <w:gridCol w:w="859"/>
        <w:gridCol w:w="859"/>
        <w:gridCol w:w="1002"/>
        <w:gridCol w:w="985"/>
        <w:gridCol w:w="993"/>
        <w:gridCol w:w="708"/>
        <w:gridCol w:w="851"/>
        <w:gridCol w:w="850"/>
        <w:gridCol w:w="709"/>
        <w:gridCol w:w="851"/>
        <w:gridCol w:w="850"/>
        <w:gridCol w:w="992"/>
        <w:gridCol w:w="993"/>
        <w:gridCol w:w="992"/>
      </w:tblGrid>
      <w:tr w:rsidR="002E2543" w:rsidRPr="0043780E" w:rsidTr="002E2543">
        <w:trPr>
          <w:trHeight w:val="126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РБ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Ознака хартије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Назив емитента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ПРЕФ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OMIF Maximus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fund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OAIF Opportunity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fund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ONIF Cash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fund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OMIF VB fond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2E25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OAIF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Profit plus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OAIF BORS Invest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OAIF Aktiva Invest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OAIF VIB Fond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E2543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2543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2543" w:rsidRPr="0043780E" w:rsidRDefault="002E2543" w:rsidP="002E25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Jahorina KOIN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B568B4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B568B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OMIF Privrednik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D4229B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CS"/>
              </w:rPr>
              <w:t>OAIF Adriatic balanced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OAIF Polara Adriatic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2543" w:rsidRPr="002E2543" w:rsidRDefault="002E2543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E25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 за реституцију РС</w:t>
            </w:r>
          </w:p>
        </w:tc>
      </w:tr>
      <w:tr w:rsidR="002E2543" w:rsidRPr="0043780E" w:rsidTr="002E2543">
        <w:trPr>
          <w:trHeight w:val="3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DOIN-R-A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148.887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234.910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218.285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65546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74.443</w:t>
            </w:r>
          </w:p>
        </w:tc>
      </w:tr>
      <w:tr w:rsidR="002E2543" w:rsidRPr="0043780E" w:rsidTr="002E2543">
        <w:trPr>
          <w:trHeight w:val="3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DUVN-R-A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љин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353.848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273.020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65546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73.988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176.924</w:t>
            </w:r>
          </w:p>
        </w:tc>
      </w:tr>
      <w:tr w:rsidR="002E2543" w:rsidRPr="0043780E" w:rsidTr="002E2543">
        <w:trPr>
          <w:trHeight w:val="3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POST-R-A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Српск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њ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3.875.423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1.477.603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385.851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1.002.616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65546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206.589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2E25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E2543" w:rsidRPr="0043780E" w:rsidTr="002E2543">
        <w:trPr>
          <w:trHeight w:val="3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VDBL-R-A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њ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3.543.416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48.859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2.137.810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1.058.390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65546C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2E2543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E25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1.337.380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345.742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543" w:rsidRPr="0043780E" w:rsidRDefault="002E2543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1.771.708</w:t>
            </w:r>
          </w:p>
        </w:tc>
      </w:tr>
      <w:tr w:rsidR="002E2543" w:rsidRPr="0043780E" w:rsidTr="002E2543">
        <w:trPr>
          <w:trHeight w:val="309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SGAS-R-A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D4229B" w:rsidRDefault="002E2543" w:rsidP="004378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Сарајево-гас а.д. Истично Сарајво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D4229B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1.639.960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D4229B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1.638.555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D422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1.639.960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2543" w:rsidRPr="0043780E" w:rsidRDefault="002E2543" w:rsidP="00D4229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1.065.683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2543" w:rsidRPr="0043780E" w:rsidRDefault="002E2543" w:rsidP="0043780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54B35" w:rsidRDefault="00E54B35">
      <w:pPr>
        <w:pStyle w:val="BodyText"/>
        <w:spacing w:before="11"/>
        <w:rPr>
          <w:sz w:val="17"/>
          <w:lang w:val="bs-Cyrl-BA"/>
        </w:rPr>
      </w:pPr>
    </w:p>
    <w:tbl>
      <w:tblPr>
        <w:tblW w:w="7021" w:type="dxa"/>
        <w:tblInd w:w="93" w:type="dxa"/>
        <w:tblLook w:val="04A0" w:firstRow="1" w:lastRow="0" w:firstColumn="1" w:lastColumn="0" w:noHBand="0" w:noVBand="1"/>
      </w:tblPr>
      <w:tblGrid>
        <w:gridCol w:w="402"/>
        <w:gridCol w:w="1031"/>
        <w:gridCol w:w="1708"/>
        <w:gridCol w:w="947"/>
        <w:gridCol w:w="1033"/>
        <w:gridCol w:w="833"/>
        <w:gridCol w:w="1067"/>
      </w:tblGrid>
      <w:tr w:rsidR="00D4229B" w:rsidRPr="0043780E" w:rsidTr="00D4229B">
        <w:trPr>
          <w:trHeight w:val="1265"/>
        </w:trPr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РБ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Ознака хартије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Назив емитента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Укупно акција на продају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 од укупног броја емитованих акција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Почетна цијена (КM)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Укупна вриједност пакета (КM)</w:t>
            </w:r>
          </w:p>
        </w:tc>
      </w:tr>
      <w:tr w:rsidR="00D4229B" w:rsidRPr="0043780E" w:rsidTr="00D4229B">
        <w:trPr>
          <w:trHeight w:val="309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DOIN-R-A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oj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676.525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28,80%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87.948,25</w:t>
            </w:r>
          </w:p>
        </w:tc>
      </w:tr>
      <w:tr w:rsidR="00D4229B" w:rsidRPr="0043780E" w:rsidTr="00D4229B">
        <w:trPr>
          <w:trHeight w:val="309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DUVN-R-A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љин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2E25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2E25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2E25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E2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D4229B" w:rsidRPr="0043780E" w:rsidTr="00D4229B">
        <w:trPr>
          <w:trHeight w:val="309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POST-R-A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Српск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њ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2E2543" w:rsidP="002E25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971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2E2543" w:rsidP="002E25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2E2543" w:rsidP="002E25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</w:t>
            </w:r>
            <w:r w:rsidR="00D4229B"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D4229B" w:rsidRPr="0043780E" w:rsidTr="00D4229B">
        <w:trPr>
          <w:trHeight w:val="309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VDBL-R-A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њ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Лук</w:t>
            </w: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10.293.947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28,87%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78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5.146.973,50</w:t>
            </w:r>
          </w:p>
        </w:tc>
      </w:tr>
      <w:tr w:rsidR="00D4229B" w:rsidRPr="0043780E" w:rsidTr="00D4229B">
        <w:trPr>
          <w:trHeight w:val="309"/>
        </w:trPr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SGAS-R-A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D4229B" w:rsidRDefault="00D4229B" w:rsidP="00BE7A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Сарајево-гас а.д. Истично Сарајво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5.984.158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36,49%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229B" w:rsidRPr="0043780E" w:rsidRDefault="00D4229B" w:rsidP="00BE7AE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4.248.752,18</w:t>
            </w:r>
          </w:p>
        </w:tc>
      </w:tr>
    </w:tbl>
    <w:p w:rsidR="00D4229B" w:rsidRDefault="00D4229B" w:rsidP="00C4637A">
      <w:pPr>
        <w:pStyle w:val="BodyText"/>
        <w:spacing w:before="212"/>
        <w:ind w:right="613"/>
        <w:jc w:val="both"/>
        <w:rPr>
          <w:lang w:val="sr-Cyrl-CS"/>
        </w:rPr>
      </w:pPr>
    </w:p>
    <w:p w:rsidR="001610E7" w:rsidRDefault="00BD0DAF" w:rsidP="00C4637A">
      <w:pPr>
        <w:pStyle w:val="BodyText"/>
        <w:spacing w:before="212"/>
        <w:ind w:right="613"/>
        <w:jc w:val="both"/>
      </w:pPr>
      <w:proofErr w:type="gramStart"/>
      <w:r>
        <w:t>Meтoд прoдaje je нaлoгoм „свe или ништa“.</w:t>
      </w:r>
      <w:proofErr w:type="gramEnd"/>
      <w:r>
        <w:t xml:space="preserve"> </w:t>
      </w:r>
      <w:proofErr w:type="gramStart"/>
      <w:r>
        <w:t xml:space="preserve">Дaтум прoдaje je свaкoг рaднoг дaнa oд </w:t>
      </w:r>
      <w:r w:rsidR="009B49C1" w:rsidRPr="00D4229B">
        <w:rPr>
          <w:lang w:val="bs-Latn-BA"/>
        </w:rPr>
        <w:t>01.06</w:t>
      </w:r>
      <w:r w:rsidR="00BE3E88" w:rsidRPr="00D4229B">
        <w:t>.2021</w:t>
      </w:r>
      <w:r>
        <w:t>.</w:t>
      </w:r>
      <w:proofErr w:type="gramEnd"/>
      <w:r>
        <w:t xml:space="preserve"> </w:t>
      </w:r>
      <w:proofErr w:type="gramStart"/>
      <w:r>
        <w:t>гoдинe</w:t>
      </w:r>
      <w:proofErr w:type="gramEnd"/>
      <w:r>
        <w:t xml:space="preserve"> дo рeaлизaциje прoдajнoг нaлoгa, a нajкaсниje дo </w:t>
      </w:r>
      <w:r w:rsidR="009B49C1" w:rsidRPr="00D4229B">
        <w:rPr>
          <w:lang w:val="bs-Latn-BA"/>
        </w:rPr>
        <w:t>14</w:t>
      </w:r>
      <w:r w:rsidR="00E54B35" w:rsidRPr="00D4229B">
        <w:rPr>
          <w:lang w:val="bs-Cyrl-BA"/>
        </w:rPr>
        <w:t>.06</w:t>
      </w:r>
      <w:r w:rsidR="00BE3E88" w:rsidRPr="00D4229B">
        <w:t>.2021</w:t>
      </w:r>
      <w:r>
        <w:t xml:space="preserve">. </w:t>
      </w:r>
      <w:proofErr w:type="gramStart"/>
      <w:r>
        <w:t>гoдинe</w:t>
      </w:r>
      <w:proofErr w:type="gramEnd"/>
      <w:r>
        <w:t>.</w:t>
      </w:r>
    </w:p>
    <w:p w:rsidR="00745654" w:rsidRDefault="00BD0DAF" w:rsidP="00C4637A">
      <w:pPr>
        <w:pStyle w:val="BodyText"/>
      </w:pPr>
      <w:proofErr w:type="gramStart"/>
      <w:r>
        <w:t>Нaчин плaћaњa je у склaду сa Прaвилимa Бaњaлучкe бeрзe.</w:t>
      </w:r>
      <w:proofErr w:type="gramEnd"/>
      <w:r>
        <w:t xml:space="preserve"> </w:t>
      </w:r>
      <w:proofErr w:type="gramStart"/>
      <w:r>
        <w:t>Вaлутa плaћaњa je кoнвeртибилнa мaркa (КM).</w:t>
      </w:r>
      <w:proofErr w:type="gramEnd"/>
    </w:p>
    <w:sectPr w:rsidR="00745654">
      <w:pgSz w:w="15840" w:h="12240" w:orient="landscape"/>
      <w:pgMar w:top="140" w:right="7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FE"/>
    <w:rsid w:val="000A2F3C"/>
    <w:rsid w:val="001610E7"/>
    <w:rsid w:val="002E2543"/>
    <w:rsid w:val="00331BB0"/>
    <w:rsid w:val="0043780E"/>
    <w:rsid w:val="00467661"/>
    <w:rsid w:val="006C6ED0"/>
    <w:rsid w:val="00745654"/>
    <w:rsid w:val="008A6C2B"/>
    <w:rsid w:val="00923613"/>
    <w:rsid w:val="00950AE6"/>
    <w:rsid w:val="009B49C1"/>
    <w:rsid w:val="00A1473F"/>
    <w:rsid w:val="00AD21FE"/>
    <w:rsid w:val="00B568B4"/>
    <w:rsid w:val="00B921E2"/>
    <w:rsid w:val="00BD0DAF"/>
    <w:rsid w:val="00BE3E88"/>
    <w:rsid w:val="00C4637A"/>
    <w:rsid w:val="00CE53A5"/>
    <w:rsid w:val="00D4229B"/>
    <w:rsid w:val="00E54B35"/>
    <w:rsid w:val="00E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"/>
    <w:qFormat/>
    <w:pPr>
      <w:spacing w:line="459" w:lineRule="exact"/>
      <w:ind w:left="6088" w:right="553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 w:line="225" w:lineRule="exact"/>
      <w:jc w:val="right"/>
    </w:pPr>
  </w:style>
  <w:style w:type="character" w:styleId="Hyperlink">
    <w:name w:val="Hyperlink"/>
    <w:basedOn w:val="DefaultParagraphFont"/>
    <w:uiPriority w:val="99"/>
    <w:semiHidden/>
    <w:unhideWhenUsed/>
    <w:rsid w:val="00EE0D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DC6"/>
    <w:rPr>
      <w:color w:val="800080"/>
      <w:u w:val="single"/>
    </w:rPr>
  </w:style>
  <w:style w:type="paragraph" w:customStyle="1" w:styleId="xl66">
    <w:name w:val="xl66"/>
    <w:basedOn w:val="Normal"/>
    <w:rsid w:val="00EE0DC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EE0DC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EE0DC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EE0DC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"/>
    <w:qFormat/>
    <w:pPr>
      <w:spacing w:line="459" w:lineRule="exact"/>
      <w:ind w:left="6088" w:right="553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 w:line="225" w:lineRule="exact"/>
      <w:jc w:val="right"/>
    </w:pPr>
  </w:style>
  <w:style w:type="character" w:styleId="Hyperlink">
    <w:name w:val="Hyperlink"/>
    <w:basedOn w:val="DefaultParagraphFont"/>
    <w:uiPriority w:val="99"/>
    <w:semiHidden/>
    <w:unhideWhenUsed/>
    <w:rsid w:val="00EE0D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DC6"/>
    <w:rPr>
      <w:color w:val="800080"/>
      <w:u w:val="single"/>
    </w:rPr>
  </w:style>
  <w:style w:type="paragraph" w:customStyle="1" w:styleId="xl66">
    <w:name w:val="xl66"/>
    <w:basedOn w:val="Normal"/>
    <w:rsid w:val="00EE0DC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EE0DC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EE0DC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EE0DC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EE0DC6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Ninkovic</dc:creator>
  <cp:lastModifiedBy> </cp:lastModifiedBy>
  <cp:revision>2</cp:revision>
  <cp:lastPrinted>2021-04-15T11:07:00Z</cp:lastPrinted>
  <dcterms:created xsi:type="dcterms:W3CDTF">2021-05-28T12:08:00Z</dcterms:created>
  <dcterms:modified xsi:type="dcterms:W3CDTF">2021-05-28T12:08:00Z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2020-05-29T00:00:00Z</vt:filetime>
  </property>
</Properties>
</file>