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7A270" w14:textId="77777777" w:rsidR="00423F11" w:rsidRPr="00A400B1" w:rsidRDefault="00423F11" w:rsidP="00275E65">
      <w:pPr>
        <w:rPr>
          <w:noProof/>
          <w:sz w:val="22"/>
          <w:szCs w:val="22"/>
          <w:lang w:val="sr-Cyrl-BA"/>
        </w:rPr>
      </w:pPr>
    </w:p>
    <w:p w14:paraId="111F5A10" w14:textId="77777777" w:rsidR="00423F11" w:rsidRPr="00A400B1" w:rsidRDefault="00423F11" w:rsidP="00423F11">
      <w:pPr>
        <w:rPr>
          <w:noProof/>
          <w:sz w:val="22"/>
          <w:szCs w:val="22"/>
          <w:lang w:val="sr-Cyrl-BA"/>
        </w:rPr>
      </w:pPr>
    </w:p>
    <w:p w14:paraId="7ACED434" w14:textId="77777777" w:rsidR="00423F11" w:rsidRPr="00A400B1" w:rsidRDefault="00423F11" w:rsidP="00423F11">
      <w:pPr>
        <w:rPr>
          <w:noProof/>
          <w:sz w:val="22"/>
          <w:szCs w:val="22"/>
          <w:lang w:val="sr-Cyrl-BA"/>
        </w:rPr>
      </w:pPr>
    </w:p>
    <w:p w14:paraId="6BAFB82A" w14:textId="505B65E5" w:rsidR="00423F11" w:rsidRPr="00317C7A" w:rsidRDefault="00423F11" w:rsidP="00423F11">
      <w:pPr>
        <w:jc w:val="both"/>
        <w:rPr>
          <w:noProof/>
          <w:sz w:val="22"/>
          <w:szCs w:val="22"/>
          <w:lang w:val="en-US"/>
        </w:rPr>
      </w:pPr>
      <w:r w:rsidRPr="00A400B1">
        <w:rPr>
          <w:noProof/>
          <w:sz w:val="22"/>
          <w:szCs w:val="22"/>
          <w:lang w:val="sr-Cyrl-BA"/>
        </w:rPr>
        <w:t xml:space="preserve">Број: </w:t>
      </w:r>
      <w:r w:rsidR="00524842" w:rsidRPr="00A400B1">
        <w:rPr>
          <w:noProof/>
          <w:sz w:val="22"/>
          <w:szCs w:val="22"/>
          <w:lang w:val="sr-Cyrl-BA"/>
        </w:rPr>
        <w:t>0</w:t>
      </w:r>
      <w:r w:rsidR="001C6CC7">
        <w:rPr>
          <w:noProof/>
          <w:sz w:val="22"/>
          <w:szCs w:val="22"/>
          <w:lang w:val="en-US"/>
        </w:rPr>
        <w:t>3</w:t>
      </w:r>
      <w:r w:rsidRPr="00A400B1">
        <w:rPr>
          <w:noProof/>
          <w:sz w:val="22"/>
          <w:szCs w:val="22"/>
          <w:lang w:val="sr-Cyrl-BA"/>
        </w:rPr>
        <w:t>-</w:t>
      </w:r>
      <w:r w:rsidR="00906E05">
        <w:rPr>
          <w:noProof/>
          <w:sz w:val="22"/>
          <w:szCs w:val="22"/>
          <w:lang w:val="en-US"/>
        </w:rPr>
        <w:t>4</w:t>
      </w:r>
      <w:r w:rsidR="00B1152C">
        <w:rPr>
          <w:noProof/>
          <w:sz w:val="22"/>
          <w:szCs w:val="22"/>
          <w:lang w:val="en-US"/>
        </w:rPr>
        <w:t>50</w:t>
      </w:r>
      <w:r w:rsidRPr="00A400B1">
        <w:rPr>
          <w:noProof/>
          <w:sz w:val="22"/>
          <w:szCs w:val="22"/>
          <w:lang w:val="sr-Cyrl-BA"/>
        </w:rPr>
        <w:t>/</w:t>
      </w:r>
      <w:r w:rsidR="00317C7A">
        <w:rPr>
          <w:noProof/>
          <w:sz w:val="22"/>
          <w:szCs w:val="22"/>
          <w:lang w:val="en-US"/>
        </w:rPr>
        <w:t>20</w:t>
      </w:r>
    </w:p>
    <w:p w14:paraId="4F39050A" w14:textId="03E9D6F3" w:rsidR="00423F11" w:rsidRPr="00A400B1" w:rsidRDefault="00423F11" w:rsidP="00423F11">
      <w:pPr>
        <w:jc w:val="both"/>
        <w:rPr>
          <w:noProof/>
          <w:sz w:val="22"/>
          <w:szCs w:val="22"/>
          <w:lang w:val="sr-Cyrl-BA"/>
        </w:rPr>
      </w:pPr>
      <w:r w:rsidRPr="00A400B1">
        <w:rPr>
          <w:noProof/>
          <w:sz w:val="22"/>
          <w:szCs w:val="22"/>
          <w:lang w:val="sr-Cyrl-BA"/>
        </w:rPr>
        <w:t xml:space="preserve">Датум: </w:t>
      </w:r>
      <w:r w:rsidR="001F6DEE">
        <w:rPr>
          <w:noProof/>
          <w:sz w:val="22"/>
          <w:szCs w:val="22"/>
          <w:lang w:val="sr-Latn-BA"/>
        </w:rPr>
        <w:t>1</w:t>
      </w:r>
      <w:r w:rsidR="00467FC4">
        <w:rPr>
          <w:noProof/>
          <w:sz w:val="22"/>
          <w:szCs w:val="22"/>
          <w:lang w:val="sr-Latn-BA"/>
        </w:rPr>
        <w:t>8</w:t>
      </w:r>
      <w:r w:rsidRPr="00A400B1">
        <w:rPr>
          <w:noProof/>
          <w:sz w:val="22"/>
          <w:szCs w:val="22"/>
          <w:lang w:val="sr-Cyrl-BA"/>
        </w:rPr>
        <w:t>.</w:t>
      </w:r>
      <w:r w:rsidR="001F6DEE">
        <w:rPr>
          <w:noProof/>
          <w:sz w:val="22"/>
          <w:szCs w:val="22"/>
          <w:lang w:val="sr-Latn-BA"/>
        </w:rPr>
        <w:t>11</w:t>
      </w:r>
      <w:r w:rsidRPr="00A400B1">
        <w:rPr>
          <w:noProof/>
          <w:sz w:val="22"/>
          <w:szCs w:val="22"/>
          <w:lang w:val="sr-Cyrl-BA"/>
        </w:rPr>
        <w:t>.20</w:t>
      </w:r>
      <w:r w:rsidR="00047396">
        <w:rPr>
          <w:noProof/>
          <w:sz w:val="22"/>
          <w:szCs w:val="22"/>
          <w:lang w:val="sr-Latn-BA"/>
        </w:rPr>
        <w:t>20</w:t>
      </w:r>
      <w:r w:rsidRPr="00A400B1">
        <w:rPr>
          <w:noProof/>
          <w:sz w:val="22"/>
          <w:szCs w:val="22"/>
          <w:lang w:val="sr-Cyrl-BA"/>
        </w:rPr>
        <w:t>. године</w:t>
      </w:r>
    </w:p>
    <w:p w14:paraId="59832C1E" w14:textId="77777777" w:rsidR="00423F11" w:rsidRPr="00A400B1" w:rsidRDefault="00423F11" w:rsidP="00423F11">
      <w:pPr>
        <w:ind w:hanging="48"/>
        <w:jc w:val="both"/>
        <w:rPr>
          <w:noProof/>
          <w:sz w:val="22"/>
          <w:szCs w:val="22"/>
          <w:lang w:val="sr-Cyrl-BA"/>
        </w:rPr>
      </w:pPr>
    </w:p>
    <w:p w14:paraId="184072C9" w14:textId="1EFE7AD8" w:rsidR="00423F11" w:rsidRPr="00A400B1" w:rsidRDefault="00A400B1" w:rsidP="00A400B1">
      <w:pPr>
        <w:ind w:hanging="48"/>
        <w:jc w:val="both"/>
        <w:rPr>
          <w:noProof/>
          <w:sz w:val="22"/>
          <w:szCs w:val="22"/>
          <w:lang w:val="sr-Cyrl-BA"/>
        </w:rPr>
      </w:pPr>
      <w:r w:rsidRPr="00A400B1">
        <w:rPr>
          <w:sz w:val="22"/>
          <w:szCs w:val="22"/>
          <w:lang w:val="en-US"/>
        </w:rPr>
        <w:t xml:space="preserve"> </w:t>
      </w:r>
      <w:r w:rsidRPr="00A400B1">
        <w:rPr>
          <w:sz w:val="22"/>
          <w:szCs w:val="22"/>
          <w:lang w:val="sr-Cyrl-CS"/>
        </w:rPr>
        <w:t>На основу члана 1</w:t>
      </w:r>
      <w:r w:rsidRPr="00A400B1">
        <w:rPr>
          <w:sz w:val="22"/>
          <w:szCs w:val="22"/>
          <w:lang w:val="hr-HR"/>
        </w:rPr>
        <w:t>71.</w:t>
      </w:r>
      <w:r w:rsidRPr="00A400B1">
        <w:rPr>
          <w:sz w:val="22"/>
          <w:szCs w:val="22"/>
          <w:lang w:val="sr-Cyrl-CS"/>
        </w:rPr>
        <w:t xml:space="preserve"> став 1. тачка </w:t>
      </w:r>
      <w:r w:rsidR="008A71F5">
        <w:rPr>
          <w:sz w:val="22"/>
          <w:szCs w:val="22"/>
          <w:lang w:val="sr-Cyrl-CS"/>
        </w:rPr>
        <w:t>д</w:t>
      </w:r>
      <w:r w:rsidRPr="00A400B1">
        <w:rPr>
          <w:sz w:val="22"/>
          <w:szCs w:val="22"/>
          <w:lang w:val="sr-Cyrl-CS"/>
        </w:rPr>
        <w:t xml:space="preserve">) </w:t>
      </w:r>
      <w:r w:rsidRPr="00A400B1">
        <w:rPr>
          <w:sz w:val="22"/>
          <w:szCs w:val="22"/>
          <w:lang w:val="sr-Latn-CS"/>
        </w:rPr>
        <w:t>Закона о тржишту хартија од вриједности (</w:t>
      </w:r>
      <w:r w:rsidRPr="00A400B1">
        <w:rPr>
          <w:sz w:val="22"/>
          <w:szCs w:val="22"/>
          <w:lang w:val="sr-Cyrl-CS"/>
        </w:rPr>
        <w:t>„Службени  гласник Републике Српске“ број 92/06</w:t>
      </w:r>
      <w:r w:rsidRPr="00A400B1">
        <w:rPr>
          <w:sz w:val="22"/>
          <w:szCs w:val="22"/>
          <w:lang w:val="sr-Latn-CS"/>
        </w:rPr>
        <w:t>, 34/09, 30/12, 59/13, 108/13</w:t>
      </w:r>
      <w:r w:rsidR="00EC35ED">
        <w:rPr>
          <w:sz w:val="22"/>
          <w:szCs w:val="22"/>
          <w:lang w:val="sr-Latn-CS"/>
        </w:rPr>
        <w:t>, 4/17</w:t>
      </w:r>
      <w:r w:rsidRPr="00A400B1">
        <w:rPr>
          <w:sz w:val="22"/>
          <w:szCs w:val="22"/>
          <w:lang w:val="sr-Latn-CS"/>
        </w:rPr>
        <w:t>)</w:t>
      </w:r>
      <w:r w:rsidR="00BF42AD">
        <w:rPr>
          <w:sz w:val="22"/>
          <w:szCs w:val="22"/>
          <w:lang w:val="en-US"/>
        </w:rPr>
        <w:t xml:space="preserve"> </w:t>
      </w:r>
      <w:r w:rsidRPr="00A400B1">
        <w:rPr>
          <w:sz w:val="22"/>
          <w:szCs w:val="22"/>
          <w:lang w:val="sr-Cyrl-CS"/>
        </w:rPr>
        <w:t xml:space="preserve">и члана </w:t>
      </w:r>
      <w:r w:rsidRPr="00A400B1">
        <w:rPr>
          <w:sz w:val="22"/>
          <w:szCs w:val="22"/>
          <w:lang w:val="en-US"/>
        </w:rPr>
        <w:t>47</w:t>
      </w:r>
      <w:r w:rsidRPr="00A400B1">
        <w:rPr>
          <w:sz w:val="22"/>
          <w:szCs w:val="22"/>
          <w:lang w:val="sr-Cyrl-CS"/>
        </w:rPr>
        <w:t xml:space="preserve">. став 1. алинеја </w:t>
      </w:r>
      <w:r w:rsidR="00256242">
        <w:rPr>
          <w:sz w:val="22"/>
          <w:szCs w:val="22"/>
          <w:lang w:val="sr-Cyrl-BA"/>
        </w:rPr>
        <w:t>5</w:t>
      </w:r>
      <w:r w:rsidRPr="00A400B1">
        <w:rPr>
          <w:sz w:val="22"/>
          <w:szCs w:val="22"/>
          <w:lang w:val="sr-Cyrl-CS"/>
        </w:rPr>
        <w:t>. Правила Бањалучке берзе а.д. Бања Лука</w:t>
      </w:r>
      <w:r w:rsidR="0009269F" w:rsidRPr="00A400B1">
        <w:rPr>
          <w:noProof/>
          <w:sz w:val="22"/>
          <w:szCs w:val="22"/>
          <w:lang w:val="sr-Cyrl-BA"/>
        </w:rPr>
        <w:t xml:space="preserve"> </w:t>
      </w:r>
      <w:r w:rsidR="00EC2C22" w:rsidRPr="00A400B1">
        <w:rPr>
          <w:noProof/>
          <w:sz w:val="22"/>
          <w:szCs w:val="22"/>
          <w:lang w:val="sr-Cyrl-BA"/>
        </w:rPr>
        <w:t>број 01-УО-756/12 од 16.11.2012. године, број 01-УО-537/14 од 05.09.2014. године, број 01-УО-176/18 од 11.05.2018. године, број 01-УО-480/18 од 13.11.2018. године</w:t>
      </w:r>
      <w:r w:rsidR="00BF42AD">
        <w:rPr>
          <w:noProof/>
          <w:sz w:val="22"/>
          <w:szCs w:val="22"/>
          <w:lang w:val="en-US"/>
        </w:rPr>
        <w:t xml:space="preserve"> </w:t>
      </w:r>
      <w:r w:rsidR="00BF42AD">
        <w:rPr>
          <w:noProof/>
          <w:sz w:val="22"/>
          <w:szCs w:val="22"/>
          <w:lang w:val="sr-Cyrl-BA"/>
        </w:rPr>
        <w:t>и број 01-УО-395/19 од 11.09.2019. године</w:t>
      </w:r>
      <w:r w:rsidR="00423F11" w:rsidRPr="00A400B1">
        <w:rPr>
          <w:noProof/>
          <w:sz w:val="22"/>
          <w:szCs w:val="22"/>
          <w:lang w:val="sr-Cyrl-BA"/>
        </w:rPr>
        <w:t xml:space="preserve">, </w:t>
      </w:r>
      <w:r w:rsidR="00BF42AD">
        <w:rPr>
          <w:noProof/>
          <w:sz w:val="22"/>
          <w:szCs w:val="22"/>
          <w:lang w:val="sr-Cyrl-BA"/>
        </w:rPr>
        <w:t xml:space="preserve">директор Берзе </w:t>
      </w:r>
      <w:r w:rsidR="00423F11" w:rsidRPr="00A400B1">
        <w:rPr>
          <w:noProof/>
          <w:sz w:val="22"/>
          <w:szCs w:val="22"/>
          <w:lang w:val="sr-Cyrl-BA"/>
        </w:rPr>
        <w:t>доноси</w:t>
      </w:r>
    </w:p>
    <w:p w14:paraId="48311A5C" w14:textId="1ECD25BF" w:rsidR="00A400B1" w:rsidRPr="00A400B1" w:rsidRDefault="00A400B1" w:rsidP="00A400B1">
      <w:pPr>
        <w:ind w:hanging="48"/>
        <w:jc w:val="both"/>
        <w:rPr>
          <w:noProof/>
          <w:sz w:val="22"/>
          <w:szCs w:val="22"/>
          <w:lang w:val="sr-Cyrl-BA"/>
        </w:rPr>
      </w:pPr>
    </w:p>
    <w:p w14:paraId="3A396938" w14:textId="77777777" w:rsidR="00A400B1" w:rsidRPr="00A400B1" w:rsidRDefault="00A400B1" w:rsidP="00A400B1">
      <w:pPr>
        <w:pStyle w:val="Heading2"/>
        <w:jc w:val="center"/>
        <w:rPr>
          <w:sz w:val="22"/>
          <w:szCs w:val="22"/>
        </w:rPr>
      </w:pPr>
      <w:r w:rsidRPr="00A400B1">
        <w:rPr>
          <w:sz w:val="22"/>
          <w:szCs w:val="22"/>
          <w:lang w:val="en-US"/>
        </w:rPr>
        <w:t>O</w:t>
      </w:r>
      <w:r w:rsidRPr="00A400B1">
        <w:rPr>
          <w:sz w:val="22"/>
          <w:szCs w:val="22"/>
        </w:rPr>
        <w:t xml:space="preserve"> </w:t>
      </w:r>
      <w:r w:rsidRPr="00A400B1">
        <w:rPr>
          <w:sz w:val="22"/>
          <w:szCs w:val="22"/>
          <w:lang w:val="hr-HR"/>
        </w:rPr>
        <w:t>Д</w:t>
      </w:r>
      <w:r w:rsidRPr="00A400B1">
        <w:rPr>
          <w:sz w:val="22"/>
          <w:szCs w:val="22"/>
        </w:rPr>
        <w:t xml:space="preserve"> </w:t>
      </w:r>
      <w:r w:rsidRPr="00A400B1">
        <w:rPr>
          <w:sz w:val="22"/>
          <w:szCs w:val="22"/>
          <w:lang w:val="hr-HR"/>
        </w:rPr>
        <w:t>Л</w:t>
      </w:r>
      <w:r w:rsidRPr="00A400B1">
        <w:rPr>
          <w:sz w:val="22"/>
          <w:szCs w:val="22"/>
        </w:rPr>
        <w:t xml:space="preserve"> </w:t>
      </w:r>
      <w:r w:rsidRPr="00A400B1">
        <w:rPr>
          <w:sz w:val="22"/>
          <w:szCs w:val="22"/>
          <w:lang w:val="hr-HR"/>
        </w:rPr>
        <w:t>У</w:t>
      </w:r>
      <w:r w:rsidRPr="00A400B1">
        <w:rPr>
          <w:sz w:val="22"/>
          <w:szCs w:val="22"/>
        </w:rPr>
        <w:t xml:space="preserve"> </w:t>
      </w:r>
      <w:r w:rsidRPr="00A400B1">
        <w:rPr>
          <w:sz w:val="22"/>
          <w:szCs w:val="22"/>
          <w:lang w:val="hr-HR"/>
        </w:rPr>
        <w:t>К</w:t>
      </w:r>
      <w:r w:rsidRPr="00A400B1">
        <w:rPr>
          <w:sz w:val="22"/>
          <w:szCs w:val="22"/>
        </w:rPr>
        <w:t xml:space="preserve"> У</w:t>
      </w:r>
    </w:p>
    <w:p w14:paraId="47864DE7" w14:textId="62F01479" w:rsidR="00A400B1" w:rsidRPr="00A400B1" w:rsidRDefault="00A400B1" w:rsidP="00A400B1">
      <w:pPr>
        <w:jc w:val="center"/>
        <w:rPr>
          <w:sz w:val="22"/>
          <w:szCs w:val="22"/>
          <w:lang w:val="sr-Cyrl-CS"/>
        </w:rPr>
      </w:pPr>
      <w:r w:rsidRPr="00A400B1">
        <w:rPr>
          <w:b/>
          <w:bCs/>
          <w:sz w:val="22"/>
          <w:szCs w:val="22"/>
          <w:lang w:val="sr-Cyrl-CS"/>
        </w:rPr>
        <w:t xml:space="preserve">о искључењу </w:t>
      </w:r>
      <w:r w:rsidR="007427E6">
        <w:rPr>
          <w:b/>
          <w:bCs/>
          <w:sz w:val="22"/>
          <w:szCs w:val="22"/>
          <w:lang w:val="sr-Cyrl-CS"/>
        </w:rPr>
        <w:t>удјела</w:t>
      </w:r>
      <w:r w:rsidRPr="00A400B1">
        <w:rPr>
          <w:b/>
          <w:bCs/>
          <w:sz w:val="22"/>
          <w:szCs w:val="22"/>
          <w:lang w:val="sr-Cyrl-CS"/>
        </w:rPr>
        <w:t xml:space="preserve"> са службеног берзанског тржишта</w:t>
      </w:r>
      <w:r w:rsidR="007427E6">
        <w:rPr>
          <w:b/>
          <w:bCs/>
          <w:sz w:val="22"/>
          <w:szCs w:val="22"/>
          <w:lang w:val="sr-Cyrl-CS"/>
        </w:rPr>
        <w:t xml:space="preserve"> – тржишта удјела отворених инвестиционих фондова</w:t>
      </w:r>
    </w:p>
    <w:p w14:paraId="0667787A" w14:textId="77777777" w:rsidR="00A400B1" w:rsidRPr="00A400B1" w:rsidRDefault="00A400B1" w:rsidP="00A400B1">
      <w:pPr>
        <w:pStyle w:val="BodyTextIndent"/>
        <w:ind w:left="48" w:firstLine="0"/>
        <w:jc w:val="center"/>
        <w:rPr>
          <w:sz w:val="22"/>
          <w:szCs w:val="22"/>
        </w:rPr>
      </w:pPr>
    </w:p>
    <w:p w14:paraId="4A85A6D4" w14:textId="435C31A8" w:rsidR="00A400B1" w:rsidRDefault="00426124" w:rsidP="00A400B1">
      <w:pPr>
        <w:pStyle w:val="BodyTextIndent"/>
        <w:numPr>
          <w:ilvl w:val="0"/>
          <w:numId w:val="15"/>
        </w:numPr>
        <w:rPr>
          <w:noProof/>
          <w:sz w:val="22"/>
          <w:szCs w:val="22"/>
          <w:lang w:val="sr-Cyrl-BA"/>
        </w:rPr>
      </w:pPr>
      <w:r>
        <w:rPr>
          <w:noProof/>
          <w:sz w:val="22"/>
          <w:szCs w:val="22"/>
          <w:lang w:val="sr-Cyrl-BA"/>
        </w:rPr>
        <w:t>Удјели</w:t>
      </w:r>
      <w:r w:rsidR="00A400B1" w:rsidRPr="00EC35ED">
        <w:rPr>
          <w:noProof/>
          <w:sz w:val="22"/>
          <w:szCs w:val="22"/>
          <w:lang w:val="sr-Cyrl-BA"/>
        </w:rPr>
        <w:t xml:space="preserve"> ознаке </w:t>
      </w:r>
      <w:r w:rsidR="00A377D8">
        <w:rPr>
          <w:noProof/>
          <w:sz w:val="22"/>
          <w:szCs w:val="22"/>
          <w:lang w:val="en-US"/>
        </w:rPr>
        <w:t>VBOP</w:t>
      </w:r>
      <w:r w:rsidR="00A400B1" w:rsidRPr="00EC35ED">
        <w:rPr>
          <w:noProof/>
          <w:sz w:val="22"/>
          <w:szCs w:val="22"/>
          <w:lang w:val="sr-Cyrl-BA"/>
        </w:rPr>
        <w:t>-</w:t>
      </w:r>
      <w:r>
        <w:rPr>
          <w:noProof/>
          <w:sz w:val="22"/>
          <w:szCs w:val="22"/>
          <w:lang w:val="en-US"/>
        </w:rPr>
        <w:t>U</w:t>
      </w:r>
      <w:r w:rsidR="00A400B1" w:rsidRPr="00EC35ED">
        <w:rPr>
          <w:noProof/>
          <w:sz w:val="22"/>
          <w:szCs w:val="22"/>
          <w:lang w:val="sr-Cyrl-BA"/>
        </w:rPr>
        <w:t xml:space="preserve">-A </w:t>
      </w:r>
      <w:r>
        <w:rPr>
          <w:noProof/>
          <w:sz w:val="22"/>
          <w:szCs w:val="22"/>
          <w:lang w:val="sr-Cyrl-BA"/>
        </w:rPr>
        <w:t xml:space="preserve">отвореног </w:t>
      </w:r>
      <w:r w:rsidR="005D0819">
        <w:rPr>
          <w:noProof/>
          <w:sz w:val="22"/>
          <w:szCs w:val="22"/>
          <w:lang w:val="sr-Cyrl-BA"/>
        </w:rPr>
        <w:t>акцијског</w:t>
      </w:r>
      <w:r>
        <w:rPr>
          <w:noProof/>
          <w:sz w:val="22"/>
          <w:szCs w:val="22"/>
          <w:lang w:val="sr-Cyrl-BA"/>
        </w:rPr>
        <w:t xml:space="preserve"> инвестиционог</w:t>
      </w:r>
      <w:r w:rsidR="00A377D8">
        <w:rPr>
          <w:noProof/>
          <w:sz w:val="22"/>
          <w:szCs w:val="22"/>
          <w:lang w:val="en-US"/>
        </w:rPr>
        <w:t xml:space="preserve"> </w:t>
      </w:r>
      <w:r w:rsidR="00A377D8">
        <w:rPr>
          <w:noProof/>
          <w:sz w:val="22"/>
          <w:szCs w:val="22"/>
          <w:lang w:val="sr-Cyrl-BA"/>
        </w:rPr>
        <w:t>фонда</w:t>
      </w:r>
      <w:r>
        <w:rPr>
          <w:noProof/>
          <w:sz w:val="22"/>
          <w:szCs w:val="22"/>
          <w:lang w:val="sr-Cyrl-BA"/>
        </w:rPr>
        <w:t xml:space="preserve"> </w:t>
      </w:r>
      <w:r w:rsidR="00A377D8" w:rsidRPr="00A377D8">
        <w:rPr>
          <w:noProof/>
          <w:sz w:val="22"/>
          <w:szCs w:val="22"/>
          <w:lang w:val="sr-Cyrl-BA"/>
        </w:rPr>
        <w:t>ВИБ фонд</w:t>
      </w:r>
      <w:r w:rsidR="00381996">
        <w:rPr>
          <w:noProof/>
          <w:sz w:val="22"/>
          <w:szCs w:val="22"/>
          <w:lang w:val="sr-Cyrl-BA"/>
        </w:rPr>
        <w:t xml:space="preserve"> </w:t>
      </w:r>
      <w:r w:rsidR="00EC35ED" w:rsidRPr="00EC35ED">
        <w:rPr>
          <w:noProof/>
          <w:sz w:val="22"/>
          <w:szCs w:val="22"/>
          <w:lang w:val="sr-Cyrl-BA"/>
        </w:rPr>
        <w:t>искључују</w:t>
      </w:r>
      <w:r w:rsidR="00A400B1" w:rsidRPr="00EC35ED">
        <w:rPr>
          <w:noProof/>
          <w:sz w:val="22"/>
          <w:szCs w:val="22"/>
          <w:lang w:val="sr-Cyrl-BA"/>
        </w:rPr>
        <w:t xml:space="preserve"> се са службеног берзанског тржишта</w:t>
      </w:r>
      <w:r w:rsidR="00CB2EFF">
        <w:rPr>
          <w:noProof/>
          <w:sz w:val="22"/>
          <w:szCs w:val="22"/>
          <w:lang w:val="sr-Cyrl-BA"/>
        </w:rPr>
        <w:t xml:space="preserve"> – тржишта удјела отворених инвестиционих фондова</w:t>
      </w:r>
      <w:r w:rsidR="00A400B1" w:rsidRPr="00EC35ED">
        <w:rPr>
          <w:noProof/>
          <w:sz w:val="22"/>
          <w:szCs w:val="22"/>
          <w:lang w:val="sr-Cyrl-BA"/>
        </w:rPr>
        <w:t>.</w:t>
      </w:r>
    </w:p>
    <w:p w14:paraId="440EDDE0" w14:textId="77777777" w:rsidR="00426124" w:rsidRPr="00EC35ED" w:rsidRDefault="00426124" w:rsidP="00426124">
      <w:pPr>
        <w:pStyle w:val="BodyTextIndent"/>
        <w:ind w:left="720" w:firstLine="0"/>
        <w:rPr>
          <w:noProof/>
          <w:sz w:val="22"/>
          <w:szCs w:val="22"/>
          <w:lang w:val="sr-Cyrl-BA"/>
        </w:rPr>
      </w:pPr>
    </w:p>
    <w:p w14:paraId="045DE9F0" w14:textId="28BED44D" w:rsidR="00A400B1" w:rsidRDefault="00A400B1" w:rsidP="00A400B1">
      <w:pPr>
        <w:pStyle w:val="BodyTextIndent"/>
        <w:numPr>
          <w:ilvl w:val="0"/>
          <w:numId w:val="15"/>
        </w:numPr>
        <w:rPr>
          <w:sz w:val="22"/>
          <w:szCs w:val="22"/>
        </w:rPr>
      </w:pPr>
      <w:r w:rsidRPr="00A400B1">
        <w:rPr>
          <w:sz w:val="22"/>
          <w:szCs w:val="22"/>
        </w:rPr>
        <w:t>Одлука  ступа на снагу</w:t>
      </w:r>
      <w:r w:rsidR="00877A6D">
        <w:rPr>
          <w:sz w:val="22"/>
          <w:szCs w:val="22"/>
          <w:lang w:val="sr-Cyrl-BA"/>
        </w:rPr>
        <w:t xml:space="preserve"> </w:t>
      </w:r>
      <w:r w:rsidR="001F6DEE">
        <w:rPr>
          <w:sz w:val="22"/>
          <w:szCs w:val="22"/>
          <w:lang w:val="en-US"/>
        </w:rPr>
        <w:t>1</w:t>
      </w:r>
      <w:r w:rsidR="00A6072C">
        <w:rPr>
          <w:sz w:val="22"/>
          <w:szCs w:val="22"/>
          <w:lang w:val="sr-Cyrl-BA"/>
        </w:rPr>
        <w:t>9</w:t>
      </w:r>
      <w:r w:rsidR="00877A6D">
        <w:rPr>
          <w:sz w:val="22"/>
          <w:szCs w:val="22"/>
          <w:lang w:val="sr-Cyrl-BA"/>
        </w:rPr>
        <w:t>.</w:t>
      </w:r>
      <w:r w:rsidR="001F6DEE">
        <w:rPr>
          <w:sz w:val="22"/>
          <w:szCs w:val="22"/>
          <w:lang w:val="sr-Latn-BA"/>
        </w:rPr>
        <w:t>11</w:t>
      </w:r>
      <w:r w:rsidR="00877A6D">
        <w:rPr>
          <w:sz w:val="22"/>
          <w:szCs w:val="22"/>
          <w:lang w:val="sr-Cyrl-BA"/>
        </w:rPr>
        <w:t>.20</w:t>
      </w:r>
      <w:r w:rsidR="00B92BA5">
        <w:rPr>
          <w:sz w:val="22"/>
          <w:szCs w:val="22"/>
          <w:lang w:val="sr-Latn-BA"/>
        </w:rPr>
        <w:t>20</w:t>
      </w:r>
      <w:r w:rsidRPr="00A400B1">
        <w:rPr>
          <w:sz w:val="22"/>
          <w:szCs w:val="22"/>
        </w:rPr>
        <w:t>.</w:t>
      </w:r>
      <w:r w:rsidR="00877A6D">
        <w:rPr>
          <w:sz w:val="22"/>
          <w:szCs w:val="22"/>
          <w:lang w:val="sr-Cyrl-BA"/>
        </w:rPr>
        <w:t xml:space="preserve"> године.</w:t>
      </w:r>
    </w:p>
    <w:p w14:paraId="2CC7BB36" w14:textId="77777777" w:rsidR="00426124" w:rsidRPr="00372491" w:rsidRDefault="00426124" w:rsidP="00426124">
      <w:pPr>
        <w:pStyle w:val="BodyTextIndent"/>
        <w:ind w:left="720" w:firstLine="0"/>
        <w:rPr>
          <w:sz w:val="22"/>
          <w:szCs w:val="22"/>
          <w:lang w:val="en-US"/>
        </w:rPr>
      </w:pPr>
    </w:p>
    <w:p w14:paraId="48EEBBF8" w14:textId="77777777" w:rsidR="00A400B1" w:rsidRPr="00A400B1" w:rsidRDefault="00A400B1" w:rsidP="00A400B1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A400B1">
        <w:rPr>
          <w:b/>
          <w:sz w:val="22"/>
          <w:szCs w:val="22"/>
          <w:lang w:val="sr-Cyrl-CS"/>
        </w:rPr>
        <w:t>О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б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р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а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з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л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о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ж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е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њ</w:t>
      </w:r>
      <w:r w:rsidRPr="00A400B1">
        <w:rPr>
          <w:b/>
          <w:sz w:val="22"/>
          <w:szCs w:val="22"/>
          <w:lang w:val="hr-HR"/>
        </w:rPr>
        <w:t xml:space="preserve"> </w:t>
      </w:r>
      <w:r w:rsidRPr="00A400B1">
        <w:rPr>
          <w:b/>
          <w:sz w:val="22"/>
          <w:szCs w:val="22"/>
          <w:lang w:val="sr-Cyrl-CS"/>
        </w:rPr>
        <w:t>е</w:t>
      </w:r>
    </w:p>
    <w:p w14:paraId="09ADFB1B" w14:textId="56DAED35" w:rsidR="00A400B1" w:rsidRPr="002E1185" w:rsidRDefault="00A400B1" w:rsidP="00A400B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2E1185">
        <w:rPr>
          <w:noProof/>
          <w:sz w:val="22"/>
          <w:szCs w:val="22"/>
          <w:lang w:val="sr-Cyrl-BA"/>
        </w:rPr>
        <w:t xml:space="preserve">Чланом 171. став 1. тачка </w:t>
      </w:r>
      <w:r w:rsidR="008A71F5" w:rsidRPr="002E1185">
        <w:rPr>
          <w:noProof/>
          <w:sz w:val="22"/>
          <w:szCs w:val="22"/>
          <w:lang w:val="sr-Cyrl-BA"/>
        </w:rPr>
        <w:t>д</w:t>
      </w:r>
      <w:r w:rsidRPr="002E1185">
        <w:rPr>
          <w:noProof/>
          <w:sz w:val="22"/>
          <w:szCs w:val="22"/>
          <w:lang w:val="sr-Cyrl-BA"/>
        </w:rPr>
        <w:t xml:space="preserve">) Закона о тржишту хартија од вриједности прописано је да берза искључује са службеног берзанског тржишта хартије од вриједности одређеног емитента, односно хартије од вриједности одређене класе или серије истог емитента ако емитент </w:t>
      </w:r>
      <w:r w:rsidR="008A71F5" w:rsidRPr="002E1185">
        <w:rPr>
          <w:noProof/>
          <w:sz w:val="22"/>
          <w:szCs w:val="22"/>
          <w:lang w:val="sr-Cyrl-BA"/>
        </w:rPr>
        <w:t>поднесе захтјев за искључење.</w:t>
      </w:r>
    </w:p>
    <w:p w14:paraId="7286DE66" w14:textId="0A9F3F79" w:rsidR="00A400B1" w:rsidRPr="002E1185" w:rsidRDefault="00A400B1" w:rsidP="00A400B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2E1185">
        <w:rPr>
          <w:noProof/>
          <w:sz w:val="22"/>
          <w:szCs w:val="22"/>
          <w:lang w:val="sr-Cyrl-BA"/>
        </w:rPr>
        <w:t xml:space="preserve">Чланом 47. став 1. алинеја </w:t>
      </w:r>
      <w:r w:rsidR="00F96809" w:rsidRPr="002E1185">
        <w:rPr>
          <w:noProof/>
          <w:sz w:val="22"/>
          <w:szCs w:val="22"/>
          <w:lang w:val="sr-Cyrl-BA"/>
        </w:rPr>
        <w:t>5</w:t>
      </w:r>
      <w:r w:rsidRPr="002E1185">
        <w:rPr>
          <w:noProof/>
          <w:sz w:val="22"/>
          <w:szCs w:val="22"/>
          <w:lang w:val="sr-Cyrl-BA"/>
        </w:rPr>
        <w:t xml:space="preserve">. Правила Бањалучке берзе прописано је да </w:t>
      </w:r>
      <w:r w:rsidR="00FB0F0E">
        <w:rPr>
          <w:noProof/>
          <w:sz w:val="22"/>
          <w:szCs w:val="22"/>
          <w:lang w:val="sr-Cyrl-BA"/>
        </w:rPr>
        <w:t xml:space="preserve">се </w:t>
      </w:r>
      <w:r w:rsidRPr="002E1185">
        <w:rPr>
          <w:noProof/>
          <w:sz w:val="22"/>
          <w:szCs w:val="22"/>
          <w:lang w:val="sr-Cyrl-BA"/>
        </w:rPr>
        <w:t>хартиј</w:t>
      </w:r>
      <w:r w:rsidR="00FB0F0E">
        <w:rPr>
          <w:noProof/>
          <w:sz w:val="22"/>
          <w:szCs w:val="22"/>
          <w:lang w:val="sr-Cyrl-BA"/>
        </w:rPr>
        <w:t>е</w:t>
      </w:r>
      <w:r w:rsidRPr="002E1185">
        <w:rPr>
          <w:noProof/>
          <w:sz w:val="22"/>
          <w:szCs w:val="22"/>
          <w:lang w:val="sr-Cyrl-BA"/>
        </w:rPr>
        <w:t xml:space="preserve"> од вриједности </w:t>
      </w:r>
      <w:r w:rsidR="00FB0F0E">
        <w:rPr>
          <w:noProof/>
          <w:sz w:val="22"/>
          <w:szCs w:val="22"/>
          <w:lang w:val="sr-Cyrl-BA"/>
        </w:rPr>
        <w:t xml:space="preserve"> искључују </w:t>
      </w:r>
      <w:r w:rsidRPr="002E1185">
        <w:rPr>
          <w:noProof/>
          <w:sz w:val="22"/>
          <w:szCs w:val="22"/>
          <w:lang w:val="sr-Cyrl-BA"/>
        </w:rPr>
        <w:t xml:space="preserve">са службеног берзанског тржишта ако емитент </w:t>
      </w:r>
      <w:r w:rsidR="00F96809" w:rsidRPr="002E1185">
        <w:rPr>
          <w:noProof/>
          <w:sz w:val="22"/>
          <w:szCs w:val="22"/>
          <w:lang w:val="sr-Cyrl-BA"/>
        </w:rPr>
        <w:t>поднесе захтјев за искључење.</w:t>
      </w:r>
    </w:p>
    <w:p w14:paraId="1F633E1A" w14:textId="30D3A450" w:rsidR="00D77908" w:rsidRPr="002E1185" w:rsidRDefault="002E1185" w:rsidP="00A400B1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2E1185">
        <w:rPr>
          <w:noProof/>
          <w:sz w:val="22"/>
          <w:szCs w:val="22"/>
          <w:lang w:val="sr-Cyrl-BA"/>
        </w:rPr>
        <w:t xml:space="preserve">Друштво за управљање инвестиционим фондовима </w:t>
      </w:r>
      <w:r w:rsidR="000419D4" w:rsidRPr="000419D4">
        <w:rPr>
          <w:noProof/>
          <w:sz w:val="22"/>
          <w:szCs w:val="22"/>
          <w:lang w:val="sr-Latn-BA"/>
        </w:rPr>
        <w:t>Management Solutions</w:t>
      </w:r>
      <w:r w:rsidR="001D4E39">
        <w:rPr>
          <w:noProof/>
          <w:sz w:val="22"/>
          <w:szCs w:val="22"/>
          <w:lang w:val="sr-Latn-BA"/>
        </w:rPr>
        <w:t xml:space="preserve"> </w:t>
      </w:r>
      <w:r w:rsidR="001D4E39">
        <w:rPr>
          <w:noProof/>
          <w:sz w:val="22"/>
          <w:szCs w:val="22"/>
          <w:lang w:val="sr-Cyrl-BA"/>
        </w:rPr>
        <w:t xml:space="preserve">а.д. </w:t>
      </w:r>
      <w:r w:rsidRPr="002E1185">
        <w:rPr>
          <w:noProof/>
          <w:sz w:val="22"/>
          <w:szCs w:val="22"/>
          <w:lang w:val="sr-Cyrl-BA"/>
        </w:rPr>
        <w:t xml:space="preserve">је доставило захтјев за искључење удјела из тачке 1. диспозитива са службеног берзанског тржишта, а у складу са чланом </w:t>
      </w:r>
      <w:r>
        <w:rPr>
          <w:noProof/>
          <w:sz w:val="22"/>
          <w:szCs w:val="22"/>
          <w:lang w:val="sr-Cyrl-BA"/>
        </w:rPr>
        <w:t>243</w:t>
      </w:r>
      <w:r w:rsidR="00C733BD">
        <w:rPr>
          <w:noProof/>
          <w:sz w:val="22"/>
          <w:szCs w:val="22"/>
          <w:lang w:val="sr-Cyrl-BA"/>
        </w:rPr>
        <w:t xml:space="preserve">. тачка </w:t>
      </w:r>
      <w:r>
        <w:rPr>
          <w:noProof/>
          <w:sz w:val="22"/>
          <w:szCs w:val="22"/>
          <w:lang w:val="sr-Cyrl-BA"/>
        </w:rPr>
        <w:t>д. Закона о</w:t>
      </w:r>
      <w:r w:rsidR="008E161D">
        <w:rPr>
          <w:noProof/>
          <w:sz w:val="22"/>
          <w:szCs w:val="22"/>
          <w:lang w:val="sr-Cyrl-BA"/>
        </w:rPr>
        <w:t xml:space="preserve"> измјенама и допунама Закона о</w:t>
      </w:r>
      <w:r>
        <w:rPr>
          <w:noProof/>
          <w:sz w:val="22"/>
          <w:szCs w:val="22"/>
          <w:lang w:val="sr-Cyrl-BA"/>
        </w:rPr>
        <w:t xml:space="preserve"> инвестиционим фондовима.</w:t>
      </w:r>
    </w:p>
    <w:p w14:paraId="42D8D885" w14:textId="54ED5924" w:rsidR="00A400B1" w:rsidRDefault="00A400B1" w:rsidP="00A400B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A400B1">
        <w:rPr>
          <w:sz w:val="22"/>
          <w:szCs w:val="22"/>
          <w:lang w:val="sr-Cyrl-CS"/>
        </w:rPr>
        <w:t>На основу горе наведеног ријешено је као у диспозитиву.</w:t>
      </w:r>
    </w:p>
    <w:p w14:paraId="30819BDC" w14:textId="77777777" w:rsidR="002E1185" w:rsidRPr="00A400B1" w:rsidRDefault="002E1185" w:rsidP="00A400B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3F73FC9" w14:textId="77777777" w:rsidR="00A400B1" w:rsidRPr="00A400B1" w:rsidRDefault="00A400B1" w:rsidP="00A400B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0BCB62D5" w14:textId="49E61A25" w:rsidR="00A400B1" w:rsidRDefault="00FB0F0E" w:rsidP="00FB0F0E">
      <w:pPr>
        <w:pStyle w:val="BodyTextIndent2"/>
        <w:spacing w:after="0" w:line="240" w:lineRule="auto"/>
        <w:ind w:left="6763" w:firstLine="437"/>
        <w:jc w:val="both"/>
        <w:rPr>
          <w:b/>
          <w:bCs/>
          <w:sz w:val="22"/>
          <w:szCs w:val="22"/>
          <w:lang w:val="sr-Cyrl-BA"/>
        </w:rPr>
      </w:pPr>
      <w:r>
        <w:rPr>
          <w:b/>
          <w:bCs/>
          <w:sz w:val="22"/>
          <w:szCs w:val="22"/>
          <w:lang w:val="sr-Cyrl-BA"/>
        </w:rPr>
        <w:t>Директор</w:t>
      </w:r>
    </w:p>
    <w:p w14:paraId="1B85ECCA" w14:textId="2ADD7DAF" w:rsidR="00FB0F0E" w:rsidRPr="00A400B1" w:rsidRDefault="00FB0F0E" w:rsidP="00FB0F0E">
      <w:pPr>
        <w:pStyle w:val="BodyTextIndent2"/>
        <w:spacing w:after="0" w:line="240" w:lineRule="auto"/>
        <w:jc w:val="both"/>
        <w:rPr>
          <w:b/>
          <w:bCs/>
          <w:sz w:val="22"/>
          <w:szCs w:val="22"/>
          <w:lang w:val="sr-Cyrl-BA"/>
        </w:rPr>
      </w:pPr>
      <w:r>
        <w:rPr>
          <w:b/>
          <w:bCs/>
          <w:sz w:val="22"/>
          <w:szCs w:val="22"/>
          <w:lang w:val="sr-Cyrl-BA"/>
        </w:rPr>
        <w:t xml:space="preserve">                                                                                                                         Милан Божић</w:t>
      </w:r>
    </w:p>
    <w:p w14:paraId="149B2B5F" w14:textId="77777777" w:rsidR="00A400B1" w:rsidRPr="00A400B1" w:rsidRDefault="00A400B1" w:rsidP="00A400B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FDB9283" w14:textId="77777777" w:rsidR="00A400B1" w:rsidRPr="00A400B1" w:rsidRDefault="00A400B1" w:rsidP="00A400B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A400B1">
        <w:rPr>
          <w:sz w:val="22"/>
          <w:szCs w:val="22"/>
          <w:lang w:val="sr-Cyrl-CS"/>
        </w:rPr>
        <w:t>ПРАВНА ПОУКА:</w:t>
      </w:r>
    </w:p>
    <w:p w14:paraId="45906B81" w14:textId="77777777" w:rsidR="00A400B1" w:rsidRPr="00A400B1" w:rsidRDefault="00A400B1" w:rsidP="00A400B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A400B1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4EB66812" w14:textId="77777777" w:rsidR="00A400B1" w:rsidRPr="00A400B1" w:rsidRDefault="00A400B1" w:rsidP="00A400B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46C36097" w14:textId="77777777" w:rsidR="00A400B1" w:rsidRPr="00A400B1" w:rsidRDefault="00A400B1" w:rsidP="00A400B1">
      <w:pPr>
        <w:pStyle w:val="BodyTextIndent2"/>
        <w:spacing w:after="0" w:line="240" w:lineRule="auto"/>
        <w:ind w:left="0"/>
        <w:rPr>
          <w:sz w:val="22"/>
          <w:szCs w:val="22"/>
          <w:lang w:val="sr-Cyrl-CS"/>
        </w:rPr>
      </w:pPr>
      <w:r w:rsidRPr="00A400B1">
        <w:rPr>
          <w:sz w:val="22"/>
          <w:szCs w:val="22"/>
          <w:lang w:val="sr-Cyrl-CS"/>
        </w:rPr>
        <w:t>Достављено:</w:t>
      </w:r>
    </w:p>
    <w:p w14:paraId="505D69D4" w14:textId="77777777" w:rsidR="00A400B1" w:rsidRPr="00A400B1" w:rsidRDefault="00A400B1" w:rsidP="00A400B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A400B1">
        <w:rPr>
          <w:sz w:val="22"/>
          <w:szCs w:val="22"/>
          <w:lang w:val="ru-RU"/>
        </w:rPr>
        <w:t>Емитенту</w:t>
      </w:r>
    </w:p>
    <w:p w14:paraId="2AB1D637" w14:textId="77777777" w:rsidR="00A400B1" w:rsidRPr="00A400B1" w:rsidRDefault="00A400B1" w:rsidP="00A400B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A400B1">
        <w:rPr>
          <w:sz w:val="22"/>
          <w:szCs w:val="22"/>
          <w:lang w:val="sr-Cyrl-CS"/>
        </w:rPr>
        <w:t>Комисији за хартије од вриједности РС</w:t>
      </w:r>
    </w:p>
    <w:p w14:paraId="0373BA8D" w14:textId="77777777" w:rsidR="00A400B1" w:rsidRPr="00A400B1" w:rsidRDefault="00A400B1" w:rsidP="00A400B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A400B1">
        <w:rPr>
          <w:sz w:val="22"/>
          <w:szCs w:val="22"/>
          <w:lang w:val="sr-Cyrl-CS"/>
        </w:rPr>
        <w:t>Члановима Берзе</w:t>
      </w:r>
    </w:p>
    <w:p w14:paraId="09C85A0A" w14:textId="77777777" w:rsidR="00A400B1" w:rsidRPr="00A400B1" w:rsidRDefault="00A400B1" w:rsidP="00A400B1">
      <w:pPr>
        <w:pStyle w:val="BodyTextIndent2"/>
        <w:numPr>
          <w:ilvl w:val="0"/>
          <w:numId w:val="14"/>
        </w:numPr>
        <w:tabs>
          <w:tab w:val="left" w:pos="1485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A400B1">
        <w:rPr>
          <w:sz w:val="22"/>
          <w:szCs w:val="22"/>
          <w:lang w:val="ru-RU"/>
        </w:rPr>
        <w:t>Архиви</w:t>
      </w:r>
    </w:p>
    <w:p w14:paraId="3F2DE08F" w14:textId="77777777" w:rsidR="00A400B1" w:rsidRPr="00A400B1" w:rsidRDefault="00A400B1" w:rsidP="00A400B1">
      <w:pPr>
        <w:ind w:hanging="48"/>
        <w:jc w:val="both"/>
        <w:rPr>
          <w:noProof/>
          <w:sz w:val="22"/>
          <w:szCs w:val="22"/>
          <w:lang w:val="sr-Cyrl-BA"/>
        </w:rPr>
      </w:pPr>
    </w:p>
    <w:p w14:paraId="7B805478" w14:textId="77777777" w:rsidR="00423F11" w:rsidRPr="00A400B1" w:rsidRDefault="00423F11" w:rsidP="00423F11">
      <w:pPr>
        <w:ind w:hanging="48"/>
        <w:jc w:val="both"/>
        <w:rPr>
          <w:noProof/>
          <w:sz w:val="22"/>
          <w:szCs w:val="22"/>
          <w:lang w:val="sr-Cyrl-BA"/>
        </w:rPr>
      </w:pPr>
    </w:p>
    <w:sectPr w:rsidR="00423F11" w:rsidRPr="00A400B1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F565" w14:textId="77777777" w:rsidR="005B6C61" w:rsidRDefault="005B6C61">
      <w:r>
        <w:separator/>
      </w:r>
    </w:p>
  </w:endnote>
  <w:endnote w:type="continuationSeparator" w:id="0">
    <w:p w14:paraId="2AC93E91" w14:textId="77777777" w:rsidR="005B6C61" w:rsidRDefault="005B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92B53" w14:textId="77777777" w:rsidR="009C4F5E" w:rsidRPr="009477F3" w:rsidRDefault="00381996" w:rsidP="009C4F5E">
    <w:pPr>
      <w:pStyle w:val="Footer"/>
      <w:rPr>
        <w:rFonts w:ascii="Calibri" w:hAnsi="Calibri"/>
        <w:bCs/>
        <w:sz w:val="14"/>
        <w:szCs w:val="14"/>
        <w:lang w:val="sr-Cyrl-ME"/>
      </w:rPr>
    </w:pPr>
    <w:r>
      <w:rPr>
        <w:rFonts w:ascii="Calibri" w:hAnsi="Calibri"/>
        <w:noProof/>
        <w:sz w:val="14"/>
        <w:szCs w:val="14"/>
        <w:lang w:val="sr-Cyrl-ME"/>
      </w:rPr>
      <w:pict w14:anchorId="3B0926C4">
        <v:line id="_x0000_s2054" style="position:absolute;z-index:251660288" from="-2.4pt,0" to="457.2pt,0"/>
      </w:pict>
    </w:r>
    <w:r w:rsidR="009C4F5E" w:rsidRPr="009477F3">
      <w:rPr>
        <w:rFonts w:ascii="Calibri" w:hAnsi="Calibri"/>
        <w:sz w:val="14"/>
        <w:szCs w:val="14"/>
        <w:lang w:val="sr-Cyrl-ME"/>
      </w:rPr>
      <w:t xml:space="preserve">Регистар Окружног привредног суда Бања Лука бр. 057-0-Рег-11-002178 </w:t>
    </w:r>
    <w:r w:rsidR="009C4F5E" w:rsidRPr="009477F3">
      <w:rPr>
        <w:rFonts w:ascii="Calibri" w:hAnsi="Calibri"/>
        <w:sz w:val="14"/>
        <w:szCs w:val="14"/>
        <w:lang w:val="sr-Cyrl-ME"/>
      </w:rPr>
      <w:sym w:font="Symbol" w:char="F0B7"/>
    </w:r>
    <w:r w:rsidR="009C4F5E" w:rsidRPr="009477F3">
      <w:rPr>
        <w:rFonts w:ascii="Calibri" w:hAnsi="Calibri"/>
        <w:sz w:val="14"/>
        <w:szCs w:val="14"/>
        <w:lang w:val="sr-Cyrl-ME"/>
      </w:rPr>
      <w:t xml:space="preserve"> Уп. и упл. капитал 2.660.000 КМ </w:t>
    </w:r>
    <w:r w:rsidR="009C4F5E" w:rsidRPr="009477F3">
      <w:rPr>
        <w:rFonts w:ascii="Calibri" w:hAnsi="Calibri"/>
        <w:sz w:val="14"/>
        <w:szCs w:val="14"/>
        <w:lang w:val="sr-Cyrl-ME"/>
      </w:rPr>
      <w:sym w:font="Symbol" w:char="F0B7"/>
    </w:r>
    <w:r w:rsidR="009C4F5E" w:rsidRPr="009477F3">
      <w:rPr>
        <w:rFonts w:ascii="Calibri" w:hAnsi="Calibri"/>
        <w:sz w:val="14"/>
        <w:szCs w:val="14"/>
        <w:lang w:val="sr-Cyrl-ME"/>
      </w:rPr>
      <w:t xml:space="preserve"> Матични број 1947320 </w:t>
    </w:r>
    <w:r w:rsidR="009C4F5E" w:rsidRPr="009477F3">
      <w:rPr>
        <w:rFonts w:ascii="Calibri" w:hAnsi="Calibri"/>
        <w:sz w:val="14"/>
        <w:szCs w:val="14"/>
        <w:lang w:val="sr-Cyrl-ME"/>
      </w:rPr>
      <w:sym w:font="Symbol" w:char="F0B7"/>
    </w:r>
    <w:r w:rsidR="009C4F5E" w:rsidRPr="009477F3">
      <w:rPr>
        <w:rFonts w:ascii="Calibri" w:hAnsi="Calibri"/>
        <w:sz w:val="14"/>
        <w:szCs w:val="14"/>
        <w:lang w:val="sr-Cyrl-ME"/>
      </w:rPr>
      <w:t xml:space="preserve"> </w:t>
    </w:r>
    <w:r w:rsidR="009C4F5E" w:rsidRPr="009477F3">
      <w:rPr>
        <w:rFonts w:ascii="Calibri" w:hAnsi="Calibri"/>
        <w:bCs/>
        <w:sz w:val="14"/>
        <w:szCs w:val="14"/>
        <w:lang w:val="sr-Cyrl-ME"/>
      </w:rPr>
      <w:t xml:space="preserve">ЈИБ 4401006360008 </w:t>
    </w:r>
  </w:p>
  <w:p w14:paraId="495FFAF9" w14:textId="77777777" w:rsidR="009C4F5E" w:rsidRPr="009477F3" w:rsidRDefault="009C4F5E" w:rsidP="009C4F5E">
    <w:pPr>
      <w:pStyle w:val="Footer"/>
      <w:jc w:val="center"/>
      <w:rPr>
        <w:rFonts w:ascii="Calibri" w:hAnsi="Calibri"/>
        <w:bCs/>
        <w:sz w:val="14"/>
        <w:szCs w:val="14"/>
        <w:lang w:val="sr-Cyrl-ME"/>
      </w:rPr>
    </w:pPr>
    <w:r w:rsidRPr="009477F3">
      <w:rPr>
        <w:rFonts w:ascii="Calibri" w:hAnsi="Calibri"/>
        <w:sz w:val="14"/>
        <w:szCs w:val="14"/>
        <w:lang w:val="sr-Cyrl-ME"/>
      </w:rPr>
      <w:t xml:space="preserve">Жиро рачун: </w:t>
    </w:r>
    <w:r w:rsidRPr="009477F3">
      <w:rPr>
        <w:rFonts w:ascii="Calibri" w:hAnsi="Calibri"/>
        <w:bCs/>
        <w:sz w:val="14"/>
        <w:szCs w:val="14"/>
        <w:lang w:val="sr-Cyrl-ME"/>
      </w:rPr>
      <w:t xml:space="preserve">НЛБ банка а.д. Бања Лука 562-100-80001108-50 </w:t>
    </w:r>
  </w:p>
  <w:p w14:paraId="022C0AFC" w14:textId="55515157" w:rsidR="009C4F5E" w:rsidRPr="009477F3" w:rsidRDefault="009C4F5E" w:rsidP="009C4F5E">
    <w:pPr>
      <w:pStyle w:val="Footer"/>
      <w:jc w:val="center"/>
      <w:rPr>
        <w:rFonts w:ascii="Calibri" w:hAnsi="Calibri"/>
        <w:bCs/>
        <w:sz w:val="14"/>
        <w:szCs w:val="14"/>
        <w:lang w:val="sr-Cyrl-ME"/>
      </w:rPr>
    </w:pPr>
    <w:r w:rsidRPr="009477F3">
      <w:rPr>
        <w:rFonts w:ascii="Calibri" w:hAnsi="Calibri"/>
        <w:bCs/>
        <w:sz w:val="14"/>
        <w:szCs w:val="14"/>
        <w:lang w:val="sr-Cyrl-ME"/>
      </w:rPr>
      <w:t>Sberbank a.d. Banja Luka 567-162-11007425-65</w:t>
    </w:r>
  </w:p>
  <w:p w14:paraId="6EAE27EE" w14:textId="77777777" w:rsidR="004567F1" w:rsidRPr="00B84D05" w:rsidRDefault="004567F1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0FC56" w14:textId="77777777" w:rsidR="005B6C61" w:rsidRDefault="005B6C61">
      <w:r>
        <w:separator/>
      </w:r>
    </w:p>
  </w:footnote>
  <w:footnote w:type="continuationSeparator" w:id="0">
    <w:p w14:paraId="070C6254" w14:textId="77777777" w:rsidR="005B6C61" w:rsidRDefault="005B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A054" w14:textId="77777777" w:rsidR="004567F1" w:rsidRDefault="00381996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7ED7395C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21C08D7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6920F296" w14:textId="77777777" w:rsidR="004567F1" w:rsidRPr="00B84D05" w:rsidRDefault="004567F1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300745FA" w14:textId="77777777" w:rsidR="004567F1" w:rsidRPr="00B84D05" w:rsidRDefault="004567F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2214475D" w14:textId="77777777" w:rsidR="004567F1" w:rsidRPr="00B84D05" w:rsidRDefault="004567F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7F026F75" w14:textId="77777777" w:rsidR="004567F1" w:rsidRPr="00B34EB9" w:rsidRDefault="004567F1">
                <w:pPr>
                  <w:jc w:val="both"/>
                  <w:rPr>
                    <w:rFonts w:ascii="Calibri" w:hAnsi="Calibri"/>
                    <w:noProof/>
                    <w:sz w:val="22"/>
                    <w:szCs w:val="22"/>
                    <w:lang w:val="sr-Cyrl-BA"/>
                  </w:rPr>
                </w:pPr>
                <w:r w:rsidRPr="00B34EB9">
                  <w:rPr>
                    <w:rFonts w:ascii="Calibri" w:hAnsi="Calibri"/>
                    <w:noProof/>
                    <w:sz w:val="22"/>
                    <w:szCs w:val="22"/>
                    <w:lang w:val="sr-Cyrl-BA"/>
                  </w:rPr>
                  <w:t>Телефон: +387 51 326040, 326041</w:t>
                </w:r>
              </w:p>
              <w:p w14:paraId="1B7ACFF2" w14:textId="77777777" w:rsidR="004567F1" w:rsidRPr="00B34EB9" w:rsidRDefault="004567F1">
                <w:pPr>
                  <w:jc w:val="both"/>
                  <w:rPr>
                    <w:rFonts w:ascii="Calibri" w:hAnsi="Calibri"/>
                    <w:noProof/>
                    <w:sz w:val="22"/>
                    <w:szCs w:val="22"/>
                    <w:lang w:val="sr-Cyrl-BA"/>
                  </w:rPr>
                </w:pPr>
                <w:r w:rsidRPr="00B34EB9">
                  <w:rPr>
                    <w:rFonts w:ascii="Calibri" w:hAnsi="Calibri"/>
                    <w:noProof/>
                    <w:sz w:val="22"/>
                    <w:szCs w:val="22"/>
                    <w:lang w:val="sr-Cyrl-BA"/>
                  </w:rPr>
                  <w:t xml:space="preserve">Факс: +387 51 326056  e-mail: office@blberza.com     </w:t>
                </w:r>
              </w:p>
              <w:p w14:paraId="518834E1" w14:textId="77777777" w:rsidR="004567F1" w:rsidRDefault="004567F1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71617DE4" w14:textId="77777777" w:rsidR="004567F1" w:rsidRDefault="004567F1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44279215" w14:textId="77777777" w:rsidR="004567F1" w:rsidRDefault="004567F1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4567F1">
      <w:rPr>
        <w:lang w:val="en-US"/>
      </w:rPr>
      <w:tab/>
    </w:r>
    <w:r w:rsidR="004567F1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72FFB843" wp14:editId="574CDEB8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C3C98"/>
    <w:multiLevelType w:val="hybridMultilevel"/>
    <w:tmpl w:val="ACBE6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15AD8"/>
    <w:rsid w:val="00036573"/>
    <w:rsid w:val="000419D4"/>
    <w:rsid w:val="00041A91"/>
    <w:rsid w:val="0004590E"/>
    <w:rsid w:val="00047396"/>
    <w:rsid w:val="00052055"/>
    <w:rsid w:val="000559ED"/>
    <w:rsid w:val="00056533"/>
    <w:rsid w:val="00056646"/>
    <w:rsid w:val="00072C45"/>
    <w:rsid w:val="0009269F"/>
    <w:rsid w:val="000A6FBD"/>
    <w:rsid w:val="000C07EE"/>
    <w:rsid w:val="000F3F3F"/>
    <w:rsid w:val="001738F6"/>
    <w:rsid w:val="001828B5"/>
    <w:rsid w:val="001856AB"/>
    <w:rsid w:val="00187E1E"/>
    <w:rsid w:val="001944EB"/>
    <w:rsid w:val="00196151"/>
    <w:rsid w:val="001A6A0A"/>
    <w:rsid w:val="001C0CEA"/>
    <w:rsid w:val="001C320E"/>
    <w:rsid w:val="001C6CC7"/>
    <w:rsid w:val="001C781A"/>
    <w:rsid w:val="001C78C1"/>
    <w:rsid w:val="001D375C"/>
    <w:rsid w:val="001D4E39"/>
    <w:rsid w:val="001D4E84"/>
    <w:rsid w:val="001E17B6"/>
    <w:rsid w:val="001E4CC8"/>
    <w:rsid w:val="001F6DEE"/>
    <w:rsid w:val="0022274C"/>
    <w:rsid w:val="00245172"/>
    <w:rsid w:val="002557E8"/>
    <w:rsid w:val="00256242"/>
    <w:rsid w:val="0026066C"/>
    <w:rsid w:val="00275E65"/>
    <w:rsid w:val="00285F0E"/>
    <w:rsid w:val="002B5509"/>
    <w:rsid w:val="002C25EB"/>
    <w:rsid w:val="002C5890"/>
    <w:rsid w:val="002E1185"/>
    <w:rsid w:val="002F44AE"/>
    <w:rsid w:val="00317C7A"/>
    <w:rsid w:val="0033400B"/>
    <w:rsid w:val="00337929"/>
    <w:rsid w:val="00337CBA"/>
    <w:rsid w:val="00342EDF"/>
    <w:rsid w:val="003431CE"/>
    <w:rsid w:val="00363987"/>
    <w:rsid w:val="00372491"/>
    <w:rsid w:val="00374B76"/>
    <w:rsid w:val="00381996"/>
    <w:rsid w:val="003A26D1"/>
    <w:rsid w:val="003B7A91"/>
    <w:rsid w:val="003D1681"/>
    <w:rsid w:val="003D635C"/>
    <w:rsid w:val="003D72BB"/>
    <w:rsid w:val="003F2DC4"/>
    <w:rsid w:val="00420623"/>
    <w:rsid w:val="00423F11"/>
    <w:rsid w:val="00426124"/>
    <w:rsid w:val="0043471E"/>
    <w:rsid w:val="004567F1"/>
    <w:rsid w:val="00456D54"/>
    <w:rsid w:val="00467FC4"/>
    <w:rsid w:val="004833CB"/>
    <w:rsid w:val="004B0E9B"/>
    <w:rsid w:val="004C2EE6"/>
    <w:rsid w:val="004D066D"/>
    <w:rsid w:val="004D43F4"/>
    <w:rsid w:val="004D5194"/>
    <w:rsid w:val="004F3224"/>
    <w:rsid w:val="00524842"/>
    <w:rsid w:val="00531BFE"/>
    <w:rsid w:val="00554D84"/>
    <w:rsid w:val="0056720C"/>
    <w:rsid w:val="00584D64"/>
    <w:rsid w:val="00590B9C"/>
    <w:rsid w:val="005A10C7"/>
    <w:rsid w:val="005A435D"/>
    <w:rsid w:val="005A602D"/>
    <w:rsid w:val="005A7CF7"/>
    <w:rsid w:val="005B6C61"/>
    <w:rsid w:val="005B7477"/>
    <w:rsid w:val="005D0819"/>
    <w:rsid w:val="005E7097"/>
    <w:rsid w:val="0060635A"/>
    <w:rsid w:val="006210E9"/>
    <w:rsid w:val="00640955"/>
    <w:rsid w:val="006474B0"/>
    <w:rsid w:val="00661365"/>
    <w:rsid w:val="006742F6"/>
    <w:rsid w:val="006C3CE9"/>
    <w:rsid w:val="007016C0"/>
    <w:rsid w:val="00704E22"/>
    <w:rsid w:val="007109E4"/>
    <w:rsid w:val="007148FB"/>
    <w:rsid w:val="00721DC7"/>
    <w:rsid w:val="0073388C"/>
    <w:rsid w:val="00740CAC"/>
    <w:rsid w:val="007427E6"/>
    <w:rsid w:val="00747786"/>
    <w:rsid w:val="00757A24"/>
    <w:rsid w:val="007619A5"/>
    <w:rsid w:val="007832B1"/>
    <w:rsid w:val="007860A1"/>
    <w:rsid w:val="0078642A"/>
    <w:rsid w:val="007B26CA"/>
    <w:rsid w:val="007D5EB2"/>
    <w:rsid w:val="007E766E"/>
    <w:rsid w:val="00805956"/>
    <w:rsid w:val="00821292"/>
    <w:rsid w:val="00836170"/>
    <w:rsid w:val="00877A6D"/>
    <w:rsid w:val="008A69E7"/>
    <w:rsid w:val="008A71F5"/>
    <w:rsid w:val="008B27A1"/>
    <w:rsid w:val="008B70E0"/>
    <w:rsid w:val="008C1C02"/>
    <w:rsid w:val="008E161D"/>
    <w:rsid w:val="008E24FC"/>
    <w:rsid w:val="008E41CB"/>
    <w:rsid w:val="008F6230"/>
    <w:rsid w:val="00900ABA"/>
    <w:rsid w:val="00902EF8"/>
    <w:rsid w:val="00906E05"/>
    <w:rsid w:val="009146D3"/>
    <w:rsid w:val="00917FF6"/>
    <w:rsid w:val="00925ABF"/>
    <w:rsid w:val="009269AF"/>
    <w:rsid w:val="009305B9"/>
    <w:rsid w:val="00937A28"/>
    <w:rsid w:val="009477F3"/>
    <w:rsid w:val="0095085B"/>
    <w:rsid w:val="00952A57"/>
    <w:rsid w:val="00954685"/>
    <w:rsid w:val="009830EA"/>
    <w:rsid w:val="009C24CC"/>
    <w:rsid w:val="009C4F5E"/>
    <w:rsid w:val="009C6055"/>
    <w:rsid w:val="009D3C25"/>
    <w:rsid w:val="009F2C5B"/>
    <w:rsid w:val="00A20B88"/>
    <w:rsid w:val="00A25B3C"/>
    <w:rsid w:val="00A30B22"/>
    <w:rsid w:val="00A377D8"/>
    <w:rsid w:val="00A400B1"/>
    <w:rsid w:val="00A44654"/>
    <w:rsid w:val="00A6072C"/>
    <w:rsid w:val="00AB11D0"/>
    <w:rsid w:val="00AD263A"/>
    <w:rsid w:val="00AD3BF4"/>
    <w:rsid w:val="00AE1535"/>
    <w:rsid w:val="00AF411D"/>
    <w:rsid w:val="00AF5811"/>
    <w:rsid w:val="00B02B53"/>
    <w:rsid w:val="00B108CF"/>
    <w:rsid w:val="00B1152C"/>
    <w:rsid w:val="00B11579"/>
    <w:rsid w:val="00B34EB9"/>
    <w:rsid w:val="00B72F93"/>
    <w:rsid w:val="00B755DC"/>
    <w:rsid w:val="00B84D05"/>
    <w:rsid w:val="00B92BA5"/>
    <w:rsid w:val="00B92EE4"/>
    <w:rsid w:val="00BA4DD8"/>
    <w:rsid w:val="00BB2F4D"/>
    <w:rsid w:val="00BB3B50"/>
    <w:rsid w:val="00BB7BD5"/>
    <w:rsid w:val="00BC34C2"/>
    <w:rsid w:val="00BD04FF"/>
    <w:rsid w:val="00BD32F5"/>
    <w:rsid w:val="00BE59F8"/>
    <w:rsid w:val="00BE75A6"/>
    <w:rsid w:val="00BF42AD"/>
    <w:rsid w:val="00BF7BAA"/>
    <w:rsid w:val="00C2037C"/>
    <w:rsid w:val="00C23CA6"/>
    <w:rsid w:val="00C57762"/>
    <w:rsid w:val="00C733BD"/>
    <w:rsid w:val="00C8699B"/>
    <w:rsid w:val="00CB2EFF"/>
    <w:rsid w:val="00CC5AAD"/>
    <w:rsid w:val="00CD4BC1"/>
    <w:rsid w:val="00CF3544"/>
    <w:rsid w:val="00D028E3"/>
    <w:rsid w:val="00D0617C"/>
    <w:rsid w:val="00D21730"/>
    <w:rsid w:val="00D26B4E"/>
    <w:rsid w:val="00D43CD2"/>
    <w:rsid w:val="00D60BD7"/>
    <w:rsid w:val="00D75B89"/>
    <w:rsid w:val="00D77908"/>
    <w:rsid w:val="00DA26B2"/>
    <w:rsid w:val="00DA2817"/>
    <w:rsid w:val="00DB3646"/>
    <w:rsid w:val="00DE06A8"/>
    <w:rsid w:val="00DF1BF9"/>
    <w:rsid w:val="00E2400F"/>
    <w:rsid w:val="00E31D6F"/>
    <w:rsid w:val="00E340AF"/>
    <w:rsid w:val="00E34533"/>
    <w:rsid w:val="00E70201"/>
    <w:rsid w:val="00E70534"/>
    <w:rsid w:val="00E8009B"/>
    <w:rsid w:val="00EA0F12"/>
    <w:rsid w:val="00EB204E"/>
    <w:rsid w:val="00EC2C22"/>
    <w:rsid w:val="00EC35ED"/>
    <w:rsid w:val="00EC5CE8"/>
    <w:rsid w:val="00ED03B9"/>
    <w:rsid w:val="00ED444C"/>
    <w:rsid w:val="00EE3252"/>
    <w:rsid w:val="00EE6480"/>
    <w:rsid w:val="00EF142E"/>
    <w:rsid w:val="00EF4235"/>
    <w:rsid w:val="00F14519"/>
    <w:rsid w:val="00F14DAF"/>
    <w:rsid w:val="00F413FD"/>
    <w:rsid w:val="00F43C02"/>
    <w:rsid w:val="00F5224C"/>
    <w:rsid w:val="00F60383"/>
    <w:rsid w:val="00F63DC6"/>
    <w:rsid w:val="00F640FD"/>
    <w:rsid w:val="00F95A7F"/>
    <w:rsid w:val="00F96809"/>
    <w:rsid w:val="00F96F82"/>
    <w:rsid w:val="00FB0F0E"/>
    <w:rsid w:val="00FE065D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D29D1EA"/>
  <w15:docId w15:val="{6200A631-47DF-41A1-887E-3EA97B09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20C"/>
    <w:rPr>
      <w:lang w:val="en-AU"/>
    </w:rPr>
  </w:style>
  <w:style w:type="paragraph" w:styleId="Heading1">
    <w:name w:val="heading 1"/>
    <w:basedOn w:val="Normal"/>
    <w:next w:val="Normal"/>
    <w:qFormat/>
    <w:rsid w:val="0056720C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56720C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56720C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56720C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720C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56720C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56720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6720C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  <w:style w:type="character" w:customStyle="1" w:styleId="FooterChar">
    <w:name w:val="Footer Char"/>
    <w:basedOn w:val="DefaultParagraphFont"/>
    <w:link w:val="Footer"/>
    <w:rsid w:val="009C4F5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123</cp:revision>
  <cp:lastPrinted>2020-06-17T11:22:00Z</cp:lastPrinted>
  <dcterms:created xsi:type="dcterms:W3CDTF">2017-09-26T07:51:00Z</dcterms:created>
  <dcterms:modified xsi:type="dcterms:W3CDTF">2020-11-18T08:39:00Z</dcterms:modified>
</cp:coreProperties>
</file>