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34E44" w14:textId="77777777" w:rsidR="0056188E" w:rsidRPr="0033759C" w:rsidRDefault="0056188E">
      <w:pPr>
        <w:rPr>
          <w:rFonts w:asciiTheme="majorHAnsi" w:hAnsiTheme="majorHAnsi"/>
          <w:color w:val="000000"/>
          <w:sz w:val="22"/>
          <w:szCs w:val="22"/>
          <w:lang w:val="sr-Latn-CS"/>
        </w:rPr>
      </w:pPr>
    </w:p>
    <w:p w14:paraId="714E785E" w14:textId="08A32C9D" w:rsidR="00B37944" w:rsidRPr="0033759C" w:rsidRDefault="00007F24" w:rsidP="00673F65">
      <w:pPr>
        <w:jc w:val="center"/>
        <w:rPr>
          <w:rFonts w:ascii="Cambria" w:hAnsi="Cambria"/>
          <w:b/>
          <w:color w:val="000000"/>
          <w:sz w:val="28"/>
          <w:szCs w:val="28"/>
          <w:lang w:val="sr-Latn-CS"/>
        </w:rPr>
      </w:pPr>
      <w:r w:rsidRPr="0033759C">
        <w:rPr>
          <w:rFonts w:ascii="Cambria" w:hAnsi="Cambria"/>
          <w:b/>
          <w:color w:val="000000"/>
          <w:sz w:val="28"/>
          <w:szCs w:val="28"/>
          <w:lang w:val="sr-Latn-CS"/>
        </w:rPr>
        <w:t xml:space="preserve">OTVORENI </w:t>
      </w:r>
      <w:r w:rsidR="00FF5E1F" w:rsidRPr="0033759C">
        <w:rPr>
          <w:rFonts w:ascii="Cambria" w:hAnsi="Cambria"/>
          <w:b/>
          <w:color w:val="000000"/>
          <w:sz w:val="28"/>
          <w:szCs w:val="28"/>
          <w:lang w:val="sr-Latn-CS"/>
        </w:rPr>
        <w:t>AKCIJSKI</w:t>
      </w:r>
      <w:r w:rsidRPr="0033759C">
        <w:rPr>
          <w:rFonts w:ascii="Cambria" w:hAnsi="Cambria"/>
          <w:b/>
          <w:color w:val="000000"/>
          <w:sz w:val="28"/>
          <w:szCs w:val="28"/>
          <w:lang w:val="sr-Latn-CS"/>
        </w:rPr>
        <w:t xml:space="preserve"> INVESTICIONI FOND </w:t>
      </w:r>
      <w:r w:rsidR="00FF5E1F" w:rsidRPr="0033759C">
        <w:rPr>
          <w:rFonts w:ascii="Cambria" w:hAnsi="Cambria"/>
          <w:b/>
          <w:color w:val="000000"/>
          <w:sz w:val="28"/>
          <w:szCs w:val="28"/>
          <w:lang w:val="sr-Latn-CS"/>
        </w:rPr>
        <w:t>ADRIATIC BALANCED</w:t>
      </w:r>
      <w:r w:rsidRPr="0033759C">
        <w:rPr>
          <w:rFonts w:ascii="Cambria" w:hAnsi="Cambria"/>
          <w:b/>
          <w:color w:val="000000"/>
          <w:sz w:val="28"/>
          <w:szCs w:val="28"/>
          <w:lang w:val="sr-Latn-CS"/>
        </w:rPr>
        <w:t xml:space="preserve"> </w:t>
      </w:r>
    </w:p>
    <w:p w14:paraId="6A6C9D0A" w14:textId="77777777" w:rsidR="00B37944" w:rsidRPr="0033759C" w:rsidRDefault="004D1B30" w:rsidP="004D1B30">
      <w:pPr>
        <w:tabs>
          <w:tab w:val="left" w:pos="4973"/>
        </w:tabs>
        <w:rPr>
          <w:rFonts w:ascii="Cambria" w:hAnsi="Cambria"/>
          <w:color w:val="000000"/>
          <w:sz w:val="28"/>
          <w:szCs w:val="28"/>
          <w:lang w:val="sr-Latn-CS"/>
        </w:rPr>
      </w:pPr>
      <w:r w:rsidRPr="0033759C">
        <w:rPr>
          <w:rFonts w:ascii="Cambria" w:hAnsi="Cambria"/>
          <w:color w:val="000000"/>
          <w:sz w:val="28"/>
          <w:szCs w:val="28"/>
          <w:lang w:val="sr-Latn-CS"/>
        </w:rPr>
        <w:tab/>
      </w:r>
    </w:p>
    <w:p w14:paraId="63D1823D" w14:textId="77777777" w:rsidR="00B37944" w:rsidRPr="0033759C" w:rsidRDefault="00B37944">
      <w:pPr>
        <w:rPr>
          <w:rFonts w:ascii="Cambria" w:hAnsi="Cambria"/>
          <w:color w:val="000000"/>
          <w:sz w:val="28"/>
          <w:szCs w:val="28"/>
          <w:lang w:val="sr-Latn-CS"/>
        </w:rPr>
      </w:pPr>
    </w:p>
    <w:p w14:paraId="777E56CB" w14:textId="77777777" w:rsidR="00B37944" w:rsidRPr="0033759C" w:rsidRDefault="00B37944">
      <w:pPr>
        <w:rPr>
          <w:rFonts w:ascii="Cambria" w:hAnsi="Cambria"/>
          <w:color w:val="000000"/>
          <w:sz w:val="28"/>
          <w:szCs w:val="28"/>
          <w:lang w:val="sr-Latn-CS"/>
        </w:rPr>
      </w:pPr>
    </w:p>
    <w:p w14:paraId="44D49485" w14:textId="77777777" w:rsidR="00B37944" w:rsidRPr="0033759C" w:rsidRDefault="00B37944">
      <w:pPr>
        <w:rPr>
          <w:rFonts w:ascii="Cambria" w:hAnsi="Cambria"/>
          <w:color w:val="000000"/>
          <w:sz w:val="28"/>
          <w:szCs w:val="28"/>
          <w:lang w:val="sr-Latn-CS"/>
        </w:rPr>
      </w:pPr>
    </w:p>
    <w:p w14:paraId="2A528603" w14:textId="77777777" w:rsidR="00B37944" w:rsidRPr="0033759C" w:rsidRDefault="00B37944">
      <w:pPr>
        <w:rPr>
          <w:rFonts w:ascii="Cambria" w:hAnsi="Cambria"/>
          <w:color w:val="000000"/>
          <w:sz w:val="28"/>
          <w:szCs w:val="28"/>
          <w:lang w:val="sr-Latn-CS"/>
        </w:rPr>
      </w:pPr>
    </w:p>
    <w:p w14:paraId="3AEBF6CF" w14:textId="77777777" w:rsidR="00B37944" w:rsidRPr="0033759C" w:rsidRDefault="00B37944">
      <w:pPr>
        <w:rPr>
          <w:rFonts w:ascii="Cambria" w:hAnsi="Cambria"/>
          <w:color w:val="000000"/>
          <w:sz w:val="28"/>
          <w:szCs w:val="28"/>
          <w:lang w:val="sr-Latn-CS"/>
        </w:rPr>
      </w:pPr>
    </w:p>
    <w:p w14:paraId="09683540" w14:textId="77777777" w:rsidR="00B37944" w:rsidRPr="0033759C" w:rsidRDefault="00B37944">
      <w:pPr>
        <w:rPr>
          <w:rFonts w:ascii="Cambria" w:hAnsi="Cambria"/>
          <w:color w:val="000000"/>
          <w:sz w:val="28"/>
          <w:szCs w:val="28"/>
          <w:lang w:val="sr-Latn-CS"/>
        </w:rPr>
      </w:pPr>
    </w:p>
    <w:p w14:paraId="7DCF87C0" w14:textId="77777777" w:rsidR="00B37944" w:rsidRPr="0033759C" w:rsidRDefault="00B37944">
      <w:pPr>
        <w:rPr>
          <w:rFonts w:ascii="Cambria" w:hAnsi="Cambria"/>
          <w:color w:val="000000"/>
          <w:sz w:val="28"/>
          <w:szCs w:val="28"/>
          <w:lang w:val="sr-Latn-CS"/>
        </w:rPr>
      </w:pPr>
    </w:p>
    <w:p w14:paraId="1D97D719" w14:textId="77777777" w:rsidR="00B37944" w:rsidRPr="0033759C" w:rsidRDefault="00B37944">
      <w:pPr>
        <w:rPr>
          <w:rFonts w:ascii="Cambria" w:hAnsi="Cambria"/>
          <w:color w:val="000000"/>
          <w:sz w:val="28"/>
          <w:szCs w:val="28"/>
          <w:lang w:val="sr-Latn-CS"/>
        </w:rPr>
      </w:pPr>
    </w:p>
    <w:p w14:paraId="6523A7C8" w14:textId="77777777" w:rsidR="00B37944" w:rsidRPr="0033759C" w:rsidRDefault="00B37944">
      <w:pPr>
        <w:rPr>
          <w:rFonts w:ascii="Cambria" w:hAnsi="Cambria"/>
          <w:color w:val="000000"/>
          <w:sz w:val="28"/>
          <w:szCs w:val="28"/>
          <w:lang w:val="sr-Latn-CS"/>
        </w:rPr>
      </w:pPr>
    </w:p>
    <w:p w14:paraId="23E88B5C" w14:textId="77777777" w:rsidR="00B37944" w:rsidRPr="0033759C" w:rsidRDefault="00B37944">
      <w:pPr>
        <w:rPr>
          <w:rFonts w:ascii="Cambria" w:hAnsi="Cambria"/>
          <w:color w:val="000000"/>
          <w:sz w:val="28"/>
          <w:szCs w:val="28"/>
          <w:lang w:val="sr-Latn-CS"/>
        </w:rPr>
      </w:pPr>
    </w:p>
    <w:p w14:paraId="2B370AE3" w14:textId="77777777" w:rsidR="00B37944" w:rsidRPr="0033759C" w:rsidRDefault="00B37944">
      <w:pPr>
        <w:rPr>
          <w:rFonts w:ascii="Cambria" w:hAnsi="Cambria"/>
          <w:color w:val="000000"/>
          <w:sz w:val="28"/>
          <w:szCs w:val="28"/>
          <w:lang w:val="sr-Latn-CS"/>
        </w:rPr>
      </w:pPr>
    </w:p>
    <w:p w14:paraId="79A95E5C" w14:textId="77777777" w:rsidR="00B37944" w:rsidRPr="0033759C" w:rsidRDefault="00B37944">
      <w:pPr>
        <w:rPr>
          <w:rFonts w:ascii="Cambria" w:hAnsi="Cambria"/>
          <w:color w:val="000000"/>
          <w:sz w:val="28"/>
          <w:szCs w:val="28"/>
          <w:lang w:val="sr-Latn-CS"/>
        </w:rPr>
      </w:pPr>
    </w:p>
    <w:p w14:paraId="7195DC97" w14:textId="77777777" w:rsidR="00B37944" w:rsidRPr="0033759C" w:rsidRDefault="00B37944">
      <w:pPr>
        <w:rPr>
          <w:rFonts w:ascii="Cambria" w:hAnsi="Cambria"/>
          <w:color w:val="000000"/>
          <w:sz w:val="28"/>
          <w:szCs w:val="28"/>
          <w:lang w:val="sr-Latn-CS"/>
        </w:rPr>
      </w:pPr>
    </w:p>
    <w:p w14:paraId="1D3C7FB9" w14:textId="77777777" w:rsidR="00B37944" w:rsidRPr="0033759C" w:rsidRDefault="00B37944">
      <w:pPr>
        <w:rPr>
          <w:rFonts w:ascii="Cambria" w:hAnsi="Cambria"/>
          <w:color w:val="000000"/>
          <w:sz w:val="28"/>
          <w:szCs w:val="28"/>
          <w:lang w:val="sr-Latn-CS"/>
        </w:rPr>
      </w:pPr>
    </w:p>
    <w:p w14:paraId="34FCA138" w14:textId="77777777" w:rsidR="00B37944" w:rsidRPr="0033759C" w:rsidRDefault="00B37944">
      <w:pPr>
        <w:rPr>
          <w:rFonts w:ascii="Cambria" w:hAnsi="Cambria"/>
          <w:color w:val="000000"/>
          <w:sz w:val="28"/>
          <w:szCs w:val="28"/>
          <w:lang w:val="sr-Latn-CS"/>
        </w:rPr>
      </w:pPr>
    </w:p>
    <w:p w14:paraId="5AC19FFC" w14:textId="77777777" w:rsidR="00B37944" w:rsidRPr="0033759C" w:rsidRDefault="00B37944">
      <w:pPr>
        <w:rPr>
          <w:rFonts w:ascii="Cambria" w:hAnsi="Cambria"/>
          <w:color w:val="000000"/>
          <w:sz w:val="28"/>
          <w:szCs w:val="28"/>
          <w:lang w:val="sr-Latn-CS"/>
        </w:rPr>
      </w:pPr>
    </w:p>
    <w:p w14:paraId="51235AB1" w14:textId="77777777" w:rsidR="00B37944" w:rsidRPr="0033759C" w:rsidRDefault="00B37944">
      <w:pPr>
        <w:rPr>
          <w:rFonts w:ascii="Cambria" w:hAnsi="Cambria"/>
          <w:b/>
          <w:color w:val="000000"/>
          <w:sz w:val="28"/>
          <w:szCs w:val="28"/>
          <w:lang w:val="sr-Latn-CS"/>
        </w:rPr>
      </w:pPr>
    </w:p>
    <w:p w14:paraId="545B1177" w14:textId="77777777" w:rsidR="0098067F" w:rsidRPr="0033759C" w:rsidRDefault="00DB7F35" w:rsidP="00D92A49">
      <w:pPr>
        <w:jc w:val="center"/>
        <w:rPr>
          <w:rFonts w:ascii="Cambria" w:hAnsi="Cambria"/>
          <w:b/>
          <w:i/>
          <w:iCs/>
          <w:color w:val="000000"/>
          <w:sz w:val="28"/>
          <w:szCs w:val="28"/>
          <w:lang w:val="sr-Latn-CS"/>
        </w:rPr>
      </w:pPr>
      <w:r w:rsidRPr="0033759C">
        <w:rPr>
          <w:rFonts w:ascii="Cambria" w:hAnsi="Cambria"/>
          <w:b/>
          <w:i/>
          <w:iCs/>
          <w:color w:val="000000"/>
          <w:sz w:val="28"/>
          <w:szCs w:val="28"/>
          <w:lang w:val="sr-Latn-CS"/>
        </w:rPr>
        <w:t>NAPOMENE</w:t>
      </w:r>
    </w:p>
    <w:p w14:paraId="28199A3E" w14:textId="77777777" w:rsidR="0033759C" w:rsidRDefault="00DD3A57" w:rsidP="00D92A49">
      <w:pPr>
        <w:jc w:val="center"/>
        <w:rPr>
          <w:rFonts w:ascii="Cambria" w:hAnsi="Cambria"/>
          <w:b/>
          <w:i/>
          <w:iCs/>
          <w:color w:val="000000"/>
          <w:sz w:val="28"/>
          <w:szCs w:val="28"/>
          <w:lang w:val="sr-Latn-CS"/>
        </w:rPr>
      </w:pPr>
      <w:r w:rsidRPr="0033759C">
        <w:rPr>
          <w:rFonts w:ascii="Cambria" w:hAnsi="Cambria"/>
          <w:b/>
          <w:i/>
          <w:iCs/>
          <w:color w:val="000000"/>
          <w:sz w:val="28"/>
          <w:szCs w:val="28"/>
          <w:lang w:val="sr-Latn-CS"/>
        </w:rPr>
        <w:t xml:space="preserve"> uz finansijske izvještaje </w:t>
      </w:r>
      <w:r w:rsidR="00FF5E1F" w:rsidRPr="0033759C">
        <w:rPr>
          <w:rFonts w:ascii="Cambria" w:hAnsi="Cambria"/>
          <w:b/>
          <w:i/>
          <w:iCs/>
          <w:color w:val="000000"/>
          <w:sz w:val="28"/>
          <w:szCs w:val="28"/>
          <w:lang w:val="sr-Latn-CS"/>
        </w:rPr>
        <w:t>OA</w:t>
      </w:r>
      <w:r w:rsidR="00007F24" w:rsidRPr="0033759C">
        <w:rPr>
          <w:rFonts w:ascii="Cambria" w:hAnsi="Cambria"/>
          <w:b/>
          <w:i/>
          <w:iCs/>
          <w:color w:val="000000"/>
          <w:sz w:val="28"/>
          <w:szCs w:val="28"/>
          <w:lang w:val="sr-Latn-CS"/>
        </w:rPr>
        <w:t>IF</w:t>
      </w:r>
      <w:r w:rsidRPr="0033759C">
        <w:rPr>
          <w:rFonts w:ascii="Cambria" w:hAnsi="Cambria"/>
          <w:b/>
          <w:i/>
          <w:iCs/>
          <w:color w:val="000000"/>
          <w:sz w:val="28"/>
          <w:szCs w:val="28"/>
          <w:lang w:val="sr-Latn-CS"/>
        </w:rPr>
        <w:t xml:space="preserve">-a </w:t>
      </w:r>
      <w:r w:rsidR="00FF5E1F" w:rsidRPr="0033759C">
        <w:rPr>
          <w:rFonts w:ascii="Cambria" w:hAnsi="Cambria"/>
          <w:b/>
          <w:i/>
          <w:iCs/>
          <w:color w:val="000000"/>
          <w:sz w:val="28"/>
          <w:szCs w:val="28"/>
          <w:lang w:val="sr-Latn-CS"/>
        </w:rPr>
        <w:t>Adriatic Balanced</w:t>
      </w:r>
      <w:r w:rsidR="004E3F72" w:rsidRPr="0033759C">
        <w:rPr>
          <w:rFonts w:ascii="Cambria" w:hAnsi="Cambria"/>
          <w:b/>
          <w:i/>
          <w:iCs/>
          <w:color w:val="000000"/>
          <w:sz w:val="28"/>
          <w:szCs w:val="28"/>
          <w:lang w:val="sr-Latn-CS"/>
        </w:rPr>
        <w:t xml:space="preserve"> </w:t>
      </w:r>
    </w:p>
    <w:p w14:paraId="44B9E1EA" w14:textId="5BC177B1" w:rsidR="00B37944" w:rsidRPr="0033759C" w:rsidRDefault="004E3F72" w:rsidP="00D92A49">
      <w:pPr>
        <w:jc w:val="center"/>
        <w:rPr>
          <w:rFonts w:ascii="Cambria" w:hAnsi="Cambria"/>
          <w:b/>
          <w:i/>
          <w:iCs/>
          <w:color w:val="000000"/>
          <w:sz w:val="28"/>
          <w:szCs w:val="28"/>
          <w:lang w:val="sr-Latn-CS"/>
        </w:rPr>
      </w:pPr>
      <w:r w:rsidRPr="0033759C">
        <w:rPr>
          <w:rFonts w:ascii="Cambria" w:hAnsi="Cambria"/>
          <w:b/>
          <w:i/>
          <w:iCs/>
          <w:color w:val="000000"/>
          <w:sz w:val="28"/>
          <w:szCs w:val="28"/>
          <w:lang w:val="sr-Latn-CS"/>
        </w:rPr>
        <w:t xml:space="preserve">za period od </w:t>
      </w:r>
      <w:r w:rsidR="0033759C" w:rsidRPr="0033759C">
        <w:rPr>
          <w:rFonts w:ascii="Cambria" w:hAnsi="Cambria"/>
          <w:b/>
          <w:i/>
          <w:iCs/>
          <w:color w:val="000000"/>
          <w:sz w:val="28"/>
          <w:szCs w:val="28"/>
          <w:lang w:val="sr-Latn-CS"/>
        </w:rPr>
        <w:t>01.01.-30.06.2018.</w:t>
      </w:r>
      <w:r w:rsidR="00DD3A57" w:rsidRPr="0033759C">
        <w:rPr>
          <w:rFonts w:ascii="Cambria" w:hAnsi="Cambria"/>
          <w:b/>
          <w:i/>
          <w:iCs/>
          <w:color w:val="000000"/>
          <w:sz w:val="28"/>
          <w:szCs w:val="28"/>
          <w:lang w:val="sr-Latn-CS"/>
        </w:rPr>
        <w:t xml:space="preserve"> godine</w:t>
      </w:r>
    </w:p>
    <w:p w14:paraId="2A1CA620" w14:textId="77777777" w:rsidR="00B37944" w:rsidRPr="0033759C" w:rsidRDefault="00B37944" w:rsidP="00B37944">
      <w:pPr>
        <w:jc w:val="center"/>
        <w:rPr>
          <w:rFonts w:asciiTheme="majorHAnsi" w:hAnsiTheme="majorHAnsi"/>
          <w:i/>
          <w:iCs/>
          <w:color w:val="000000"/>
          <w:sz w:val="22"/>
          <w:szCs w:val="22"/>
          <w:lang w:val="sr-Latn-CS"/>
        </w:rPr>
      </w:pPr>
    </w:p>
    <w:p w14:paraId="281DE47B" w14:textId="77777777" w:rsidR="00B37944" w:rsidRPr="0033759C" w:rsidRDefault="00B37944" w:rsidP="00B37944">
      <w:pPr>
        <w:jc w:val="center"/>
        <w:rPr>
          <w:rFonts w:asciiTheme="majorHAnsi" w:hAnsiTheme="majorHAnsi"/>
          <w:color w:val="000000"/>
          <w:sz w:val="22"/>
          <w:szCs w:val="22"/>
          <w:lang w:val="sr-Latn-CS"/>
        </w:rPr>
      </w:pPr>
    </w:p>
    <w:p w14:paraId="1DD307C5" w14:textId="77777777" w:rsidR="00B37944" w:rsidRPr="0033759C" w:rsidRDefault="00B37944" w:rsidP="00B37944">
      <w:pPr>
        <w:jc w:val="center"/>
        <w:rPr>
          <w:rFonts w:asciiTheme="majorHAnsi" w:hAnsiTheme="majorHAnsi"/>
          <w:color w:val="000000"/>
          <w:sz w:val="22"/>
          <w:szCs w:val="22"/>
          <w:lang w:val="sr-Latn-CS"/>
        </w:rPr>
      </w:pPr>
    </w:p>
    <w:p w14:paraId="43DDD62D" w14:textId="77777777" w:rsidR="00B37944" w:rsidRPr="0033759C" w:rsidRDefault="00B37944" w:rsidP="00B37944">
      <w:pPr>
        <w:jc w:val="center"/>
        <w:rPr>
          <w:rFonts w:asciiTheme="majorHAnsi" w:hAnsiTheme="majorHAnsi"/>
          <w:color w:val="000000"/>
          <w:sz w:val="22"/>
          <w:szCs w:val="22"/>
          <w:lang w:val="sr-Latn-CS"/>
        </w:rPr>
      </w:pPr>
    </w:p>
    <w:p w14:paraId="306E4C5F" w14:textId="77777777" w:rsidR="00B37944" w:rsidRPr="0033759C" w:rsidRDefault="00B37944" w:rsidP="00B37944">
      <w:pPr>
        <w:jc w:val="center"/>
        <w:rPr>
          <w:rFonts w:asciiTheme="majorHAnsi" w:hAnsiTheme="majorHAnsi"/>
          <w:color w:val="000000"/>
          <w:sz w:val="22"/>
          <w:szCs w:val="22"/>
          <w:lang w:val="sr-Latn-CS"/>
        </w:rPr>
      </w:pPr>
    </w:p>
    <w:p w14:paraId="1274B20E" w14:textId="77777777" w:rsidR="00B37944" w:rsidRPr="0033759C" w:rsidRDefault="00B37944" w:rsidP="00B37944">
      <w:pPr>
        <w:jc w:val="center"/>
        <w:rPr>
          <w:rFonts w:asciiTheme="majorHAnsi" w:hAnsiTheme="majorHAnsi"/>
          <w:color w:val="000000"/>
          <w:sz w:val="22"/>
          <w:szCs w:val="22"/>
          <w:lang w:val="sr-Latn-CS"/>
        </w:rPr>
      </w:pPr>
    </w:p>
    <w:p w14:paraId="21DF78E3" w14:textId="77777777" w:rsidR="00B37944" w:rsidRPr="0033759C" w:rsidRDefault="00B37944" w:rsidP="00B37944">
      <w:pPr>
        <w:jc w:val="both"/>
        <w:rPr>
          <w:rFonts w:asciiTheme="majorHAnsi" w:hAnsiTheme="majorHAnsi"/>
          <w:color w:val="000000"/>
          <w:sz w:val="22"/>
          <w:szCs w:val="22"/>
          <w:lang w:val="sr-Cyrl-CS"/>
        </w:rPr>
      </w:pPr>
    </w:p>
    <w:p w14:paraId="152D5FFA" w14:textId="77777777" w:rsidR="00B37944" w:rsidRPr="0033759C" w:rsidRDefault="00B37944" w:rsidP="00B37944">
      <w:pPr>
        <w:jc w:val="both"/>
        <w:rPr>
          <w:rFonts w:asciiTheme="majorHAnsi" w:hAnsiTheme="majorHAnsi"/>
          <w:color w:val="000000"/>
          <w:sz w:val="22"/>
          <w:szCs w:val="22"/>
          <w:lang w:val="sr-Latn-CS"/>
        </w:rPr>
      </w:pPr>
    </w:p>
    <w:p w14:paraId="08C7C68D" w14:textId="77777777" w:rsidR="00B37944" w:rsidRPr="0033759C" w:rsidRDefault="00B37944" w:rsidP="00B37944">
      <w:pPr>
        <w:jc w:val="both"/>
        <w:rPr>
          <w:rFonts w:asciiTheme="majorHAnsi" w:hAnsiTheme="majorHAnsi"/>
          <w:color w:val="000000"/>
          <w:sz w:val="22"/>
          <w:szCs w:val="22"/>
          <w:lang w:val="sr-Latn-CS"/>
        </w:rPr>
      </w:pPr>
    </w:p>
    <w:p w14:paraId="7318C2B2" w14:textId="77777777" w:rsidR="00B37944" w:rsidRPr="0033759C" w:rsidRDefault="00B37944" w:rsidP="00B37944">
      <w:pPr>
        <w:jc w:val="both"/>
        <w:rPr>
          <w:rFonts w:asciiTheme="majorHAnsi" w:hAnsiTheme="majorHAnsi"/>
          <w:color w:val="000000"/>
          <w:sz w:val="22"/>
          <w:szCs w:val="22"/>
          <w:lang w:val="sr-Latn-CS"/>
        </w:rPr>
      </w:pPr>
    </w:p>
    <w:p w14:paraId="17F21EB4" w14:textId="77777777" w:rsidR="00B37944" w:rsidRPr="0033759C" w:rsidRDefault="00B37944" w:rsidP="00B37944">
      <w:pPr>
        <w:jc w:val="both"/>
        <w:rPr>
          <w:rFonts w:asciiTheme="majorHAnsi" w:hAnsiTheme="majorHAnsi"/>
          <w:color w:val="000000"/>
          <w:sz w:val="22"/>
          <w:szCs w:val="22"/>
          <w:lang w:val="sr-Latn-CS"/>
        </w:rPr>
      </w:pPr>
    </w:p>
    <w:p w14:paraId="3E909291" w14:textId="77777777" w:rsidR="00B37944" w:rsidRPr="0033759C" w:rsidRDefault="00B37944" w:rsidP="00B37944">
      <w:pPr>
        <w:jc w:val="both"/>
        <w:rPr>
          <w:rFonts w:asciiTheme="majorHAnsi" w:hAnsiTheme="majorHAnsi"/>
          <w:color w:val="000000"/>
          <w:sz w:val="22"/>
          <w:szCs w:val="22"/>
          <w:lang w:val="sr-Latn-CS"/>
        </w:rPr>
      </w:pPr>
    </w:p>
    <w:p w14:paraId="4B53A0D6" w14:textId="77777777" w:rsidR="00B37944" w:rsidRPr="0033759C" w:rsidRDefault="00B37944" w:rsidP="00B37944">
      <w:pPr>
        <w:jc w:val="both"/>
        <w:rPr>
          <w:rFonts w:asciiTheme="majorHAnsi" w:hAnsiTheme="majorHAnsi"/>
          <w:color w:val="000000"/>
          <w:sz w:val="22"/>
          <w:szCs w:val="22"/>
          <w:lang w:val="sr-Latn-CS"/>
        </w:rPr>
      </w:pPr>
    </w:p>
    <w:p w14:paraId="624E1B9D" w14:textId="77777777" w:rsidR="00B37944" w:rsidRPr="0033759C" w:rsidRDefault="00B37944" w:rsidP="00B37944">
      <w:pPr>
        <w:jc w:val="both"/>
        <w:rPr>
          <w:rFonts w:asciiTheme="majorHAnsi" w:hAnsiTheme="majorHAnsi"/>
          <w:color w:val="000000"/>
          <w:sz w:val="22"/>
          <w:szCs w:val="22"/>
          <w:lang w:val="sr-Cyrl-BA"/>
        </w:rPr>
      </w:pPr>
    </w:p>
    <w:p w14:paraId="6986491F" w14:textId="77777777" w:rsidR="00B37944" w:rsidRPr="0033759C" w:rsidRDefault="00B37944" w:rsidP="00B37944">
      <w:pPr>
        <w:jc w:val="both"/>
        <w:rPr>
          <w:rFonts w:asciiTheme="majorHAnsi" w:hAnsiTheme="majorHAnsi"/>
          <w:color w:val="000000"/>
          <w:sz w:val="22"/>
          <w:szCs w:val="22"/>
          <w:lang w:val="sr-Latn-CS"/>
        </w:rPr>
      </w:pPr>
    </w:p>
    <w:p w14:paraId="5FB02A76" w14:textId="77777777" w:rsidR="00B37944" w:rsidRPr="0033759C" w:rsidRDefault="00B37944" w:rsidP="00B37944">
      <w:pPr>
        <w:jc w:val="both"/>
        <w:rPr>
          <w:rFonts w:asciiTheme="majorHAnsi" w:hAnsiTheme="majorHAnsi"/>
          <w:color w:val="000000"/>
          <w:sz w:val="22"/>
          <w:szCs w:val="22"/>
          <w:lang w:val="sr-Latn-CS"/>
        </w:rPr>
      </w:pPr>
    </w:p>
    <w:p w14:paraId="0459E8E8" w14:textId="77777777" w:rsidR="00B37944" w:rsidRPr="0033759C" w:rsidRDefault="00B37944" w:rsidP="00B37944">
      <w:pPr>
        <w:jc w:val="both"/>
        <w:rPr>
          <w:rFonts w:asciiTheme="majorHAnsi" w:hAnsiTheme="majorHAnsi"/>
          <w:color w:val="000000"/>
          <w:sz w:val="22"/>
          <w:szCs w:val="22"/>
          <w:lang w:val="sr-Latn-CS"/>
        </w:rPr>
      </w:pPr>
    </w:p>
    <w:p w14:paraId="0848BF50" w14:textId="77777777" w:rsidR="00B37944" w:rsidRPr="0033759C" w:rsidRDefault="00B37944" w:rsidP="00B37944">
      <w:pPr>
        <w:jc w:val="both"/>
        <w:rPr>
          <w:rFonts w:asciiTheme="majorHAnsi" w:hAnsiTheme="majorHAnsi"/>
          <w:b/>
          <w:color w:val="000000"/>
          <w:sz w:val="22"/>
          <w:szCs w:val="22"/>
          <w:lang w:val="sr-Latn-CS"/>
        </w:rPr>
      </w:pPr>
    </w:p>
    <w:p w14:paraId="69E007EC" w14:textId="77777777" w:rsidR="00B37944" w:rsidRPr="0033759C" w:rsidRDefault="00B37944" w:rsidP="00B37944">
      <w:pPr>
        <w:jc w:val="center"/>
        <w:rPr>
          <w:rFonts w:asciiTheme="majorHAnsi" w:hAnsiTheme="majorHAnsi"/>
          <w:color w:val="000000"/>
          <w:sz w:val="22"/>
          <w:szCs w:val="22"/>
          <w:lang w:val="sr-Latn-CS"/>
        </w:rPr>
      </w:pPr>
    </w:p>
    <w:p w14:paraId="529CDAD9" w14:textId="77777777" w:rsidR="00F87CF5" w:rsidRPr="0033759C" w:rsidRDefault="00506F62">
      <w:pPr>
        <w:rPr>
          <w:rFonts w:asciiTheme="majorHAnsi" w:hAnsiTheme="majorHAnsi"/>
          <w:color w:val="000000"/>
          <w:sz w:val="22"/>
          <w:szCs w:val="22"/>
          <w:lang w:val="sr-Latn-CS"/>
        </w:rPr>
      </w:pPr>
      <w:r w:rsidRPr="0033759C">
        <w:rPr>
          <w:rFonts w:asciiTheme="majorHAnsi" w:hAnsiTheme="majorHAnsi"/>
          <w:color w:val="000000"/>
          <w:sz w:val="22"/>
          <w:szCs w:val="22"/>
          <w:lang w:val="sr-Latn-CS"/>
        </w:rPr>
        <w:t xml:space="preserve">Banja Luka, </w:t>
      </w:r>
      <w:r w:rsidR="00FF5E1F" w:rsidRPr="0033759C">
        <w:rPr>
          <w:rFonts w:asciiTheme="majorHAnsi" w:hAnsiTheme="majorHAnsi"/>
          <w:color w:val="000000"/>
          <w:sz w:val="22"/>
          <w:szCs w:val="22"/>
          <w:lang w:val="sr-Latn-CS"/>
        </w:rPr>
        <w:t>jul</w:t>
      </w:r>
      <w:r w:rsidR="00131929" w:rsidRPr="0033759C">
        <w:rPr>
          <w:rFonts w:asciiTheme="majorHAnsi" w:hAnsiTheme="majorHAnsi"/>
          <w:color w:val="000000"/>
          <w:sz w:val="22"/>
          <w:szCs w:val="22"/>
          <w:lang w:val="sr-Latn-CS"/>
        </w:rPr>
        <w:t>i</w:t>
      </w:r>
      <w:r w:rsidR="00FF5E1F" w:rsidRPr="0033759C">
        <w:rPr>
          <w:rFonts w:asciiTheme="majorHAnsi" w:hAnsiTheme="majorHAnsi"/>
          <w:color w:val="000000"/>
          <w:sz w:val="22"/>
          <w:szCs w:val="22"/>
          <w:lang w:val="sr-Latn-CS"/>
        </w:rPr>
        <w:t xml:space="preserve"> 201</w:t>
      </w:r>
      <w:r w:rsidR="00131929" w:rsidRPr="0033759C">
        <w:rPr>
          <w:rFonts w:asciiTheme="majorHAnsi" w:hAnsiTheme="majorHAnsi"/>
          <w:color w:val="000000"/>
          <w:sz w:val="22"/>
          <w:szCs w:val="22"/>
          <w:lang w:val="sr-Latn-CS"/>
        </w:rPr>
        <w:t>9</w:t>
      </w:r>
      <w:r w:rsidR="00B75BE9" w:rsidRPr="0033759C">
        <w:rPr>
          <w:rFonts w:asciiTheme="majorHAnsi" w:hAnsiTheme="majorHAnsi"/>
          <w:color w:val="000000"/>
          <w:sz w:val="22"/>
          <w:szCs w:val="22"/>
          <w:lang w:val="sr-Latn-CS"/>
        </w:rPr>
        <w:t>. godine</w:t>
      </w:r>
    </w:p>
    <w:p w14:paraId="6684A92C" w14:textId="2614C997" w:rsidR="00CC43D6" w:rsidRPr="0033759C" w:rsidRDefault="008E2954" w:rsidP="0033759C">
      <w:pPr>
        <w:pStyle w:val="Heading1"/>
        <w:numPr>
          <w:ilvl w:val="0"/>
          <w:numId w:val="14"/>
        </w:numPr>
        <w:rPr>
          <w:rFonts w:asciiTheme="majorHAnsi" w:hAnsiTheme="majorHAnsi"/>
          <w:color w:val="000000"/>
          <w:sz w:val="22"/>
          <w:szCs w:val="22"/>
          <w:lang w:val="sr-Cyrl-CS"/>
        </w:rPr>
      </w:pPr>
      <w:r w:rsidRPr="0033759C">
        <w:rPr>
          <w:rFonts w:asciiTheme="majorHAnsi" w:hAnsiTheme="majorHAnsi"/>
          <w:color w:val="000000"/>
          <w:sz w:val="22"/>
          <w:szCs w:val="22"/>
          <w:lang w:val="sr-Latn-CS"/>
        </w:rPr>
        <w:lastRenderedPageBreak/>
        <w:t xml:space="preserve">OSNOVNI PODACI </w:t>
      </w:r>
    </w:p>
    <w:p w14:paraId="0A5ADDDF" w14:textId="77777777" w:rsidR="002764ED" w:rsidRPr="0033759C" w:rsidRDefault="002764ED" w:rsidP="002764ED">
      <w:pPr>
        <w:jc w:val="both"/>
        <w:rPr>
          <w:rFonts w:asciiTheme="majorHAnsi" w:hAnsiTheme="majorHAnsi"/>
          <w:sz w:val="22"/>
          <w:szCs w:val="22"/>
          <w:lang w:val="hr-HR"/>
        </w:rPr>
      </w:pPr>
      <w:r w:rsidRPr="0033759C">
        <w:rPr>
          <w:rFonts w:asciiTheme="majorHAnsi" w:hAnsiTheme="majorHAnsi"/>
          <w:sz w:val="22"/>
          <w:szCs w:val="22"/>
          <w:lang w:val="hr-HR"/>
        </w:rPr>
        <w:t xml:space="preserve">Rješenjem Komisije za hartije od vrijednosti Republike Srpske Broj: 01-UP-51-104-4/18 odobreno je djelimično preoblikovanje AZIF-a u preoblikovanju „Polara Invest Fond“ a.d. Banja Luka. Datim rješenjem Društvu je odobreno izdvajanje dijela imovine radi osnivanja Otvorenog akcijskog investicionog fonda Adriatic Balanced </w:t>
      </w:r>
      <w:r w:rsidR="004611F5" w:rsidRPr="0033759C">
        <w:rPr>
          <w:rFonts w:asciiTheme="majorHAnsi" w:hAnsiTheme="majorHAnsi"/>
          <w:sz w:val="22"/>
          <w:szCs w:val="22"/>
          <w:lang w:val="hr-HR"/>
        </w:rPr>
        <w:t>u skladu sa Odlukom o djelimični</w:t>
      </w:r>
      <w:r w:rsidRPr="0033759C">
        <w:rPr>
          <w:rFonts w:asciiTheme="majorHAnsi" w:hAnsiTheme="majorHAnsi"/>
          <w:sz w:val="22"/>
          <w:szCs w:val="22"/>
          <w:lang w:val="hr-HR"/>
        </w:rPr>
        <w:t>m preoblikovanju AZIF-a u preoblikovanju „Polara Invest Fond“ a.d. Banja Luka</w:t>
      </w:r>
      <w:r w:rsidRPr="0033759C">
        <w:rPr>
          <w:rFonts w:asciiTheme="majorHAnsi" w:hAnsiTheme="majorHAnsi"/>
          <w:color w:val="FF0000"/>
          <w:sz w:val="22"/>
          <w:szCs w:val="22"/>
          <w:lang w:val="hr-HR"/>
        </w:rPr>
        <w:t xml:space="preserve"> </w:t>
      </w:r>
      <w:r w:rsidRPr="0033759C">
        <w:rPr>
          <w:rFonts w:asciiTheme="majorHAnsi" w:hAnsiTheme="majorHAnsi"/>
          <w:sz w:val="22"/>
          <w:szCs w:val="22"/>
          <w:lang w:val="hr-HR"/>
        </w:rPr>
        <w:t>(prečišćen tekst) broj SK 149/17 od 30.11.2017. godine, te smanjenje osnovnog kapitala AZIF-a u preoblikovanju „Polara Invest Fond“ a.d. Banja Luka izdvajanjem imovine za osnivanje otvorenog investicionog fonda i iznos pripadajućih gubitaka vezanih za odvojenu imovinu.</w:t>
      </w:r>
    </w:p>
    <w:p w14:paraId="5AFE622B" w14:textId="77777777" w:rsidR="002764ED" w:rsidRPr="0033759C" w:rsidRDefault="002764ED" w:rsidP="002764ED">
      <w:pPr>
        <w:jc w:val="both"/>
        <w:rPr>
          <w:rFonts w:asciiTheme="majorHAnsi" w:hAnsiTheme="majorHAnsi"/>
          <w:sz w:val="22"/>
          <w:szCs w:val="22"/>
          <w:lang w:val="hr-HR"/>
        </w:rPr>
      </w:pPr>
      <w:r w:rsidRPr="0033759C">
        <w:rPr>
          <w:rFonts w:asciiTheme="majorHAnsi" w:hAnsiTheme="majorHAnsi"/>
          <w:sz w:val="22"/>
          <w:szCs w:val="22"/>
          <w:lang w:val="hr-HR"/>
        </w:rPr>
        <w:t xml:space="preserve">Dana 26.05.2018. godine Centralni registar hartija od vrijednosti izvršio je registraciju hartija od vrijednosti rješenjem broj 01-6575/18, prva emisija-osnivanje otvorenog investicionog fonda. Udjeli su registrovani kod Komisije za hartije od vrijednosti Republike Srpske pod identifikacionim brojem JP-M-7. </w:t>
      </w:r>
    </w:p>
    <w:p w14:paraId="6C08E143" w14:textId="77777777" w:rsidR="002764ED" w:rsidRPr="0033759C" w:rsidRDefault="002764ED" w:rsidP="002764ED">
      <w:pPr>
        <w:jc w:val="both"/>
        <w:rPr>
          <w:rFonts w:asciiTheme="majorHAnsi" w:hAnsiTheme="majorHAnsi"/>
          <w:sz w:val="22"/>
          <w:szCs w:val="22"/>
          <w:lang w:val="hr-HR"/>
        </w:rPr>
      </w:pPr>
      <w:r w:rsidRPr="0033759C">
        <w:rPr>
          <w:rFonts w:asciiTheme="majorHAnsi" w:hAnsiTheme="majorHAnsi"/>
          <w:sz w:val="22"/>
          <w:szCs w:val="22"/>
          <w:lang w:val="hr-HR"/>
        </w:rPr>
        <w:t xml:space="preserve">Nakon upisa prve emisije,udjeli fonda nose oznaku </w:t>
      </w:r>
      <w:r w:rsidRPr="0033759C">
        <w:rPr>
          <w:rFonts w:asciiTheme="majorHAnsi" w:hAnsiTheme="majorHAnsi"/>
          <w:color w:val="000000"/>
          <w:sz w:val="22"/>
          <w:szCs w:val="22"/>
          <w:lang w:val="sr-Latn-CS"/>
        </w:rPr>
        <w:t>ADBP-U-A, a od 14.06.2018. godine kotiraju na Banjalučkoj berzi a.d.</w:t>
      </w:r>
    </w:p>
    <w:p w14:paraId="2BB6B8C8" w14:textId="556DB49C" w:rsidR="000D16AB" w:rsidRDefault="000D16AB" w:rsidP="000D16AB">
      <w:pPr>
        <w:jc w:val="both"/>
        <w:rPr>
          <w:rFonts w:asciiTheme="majorHAnsi" w:hAnsiTheme="majorHAnsi"/>
          <w:color w:val="000000"/>
          <w:sz w:val="22"/>
          <w:szCs w:val="22"/>
          <w:lang w:val="sr-Latn-CS"/>
        </w:rPr>
      </w:pPr>
      <w:r w:rsidRPr="0033759C">
        <w:rPr>
          <w:rFonts w:asciiTheme="majorHAnsi" w:hAnsiTheme="majorHAnsi"/>
          <w:color w:val="000000"/>
          <w:sz w:val="22"/>
          <w:szCs w:val="22"/>
          <w:lang w:val="sr-Latn-CS"/>
        </w:rPr>
        <w:t xml:space="preserve">Poslove Depozitara obavlja </w:t>
      </w:r>
      <w:r w:rsidRPr="0033759C">
        <w:rPr>
          <w:rFonts w:asciiTheme="majorHAnsi" w:hAnsiTheme="majorHAnsi"/>
          <w:sz w:val="22"/>
          <w:szCs w:val="22"/>
          <w:lang w:val="hr-HR"/>
        </w:rPr>
        <w:t>Centralni registar hartija od vrijednosti</w:t>
      </w:r>
      <w:r w:rsidRPr="0033759C">
        <w:rPr>
          <w:rFonts w:asciiTheme="majorHAnsi" w:hAnsiTheme="majorHAnsi"/>
          <w:color w:val="000000"/>
          <w:sz w:val="22"/>
          <w:szCs w:val="22"/>
          <w:lang w:val="sr-Latn-CS"/>
        </w:rPr>
        <w:t xml:space="preserve"> Banja Luka  (u daljem tekstu Depozitar)  na osnovu Zakona, Pravilnika i Ugovora o obavljanju poslova depozitara.</w:t>
      </w:r>
    </w:p>
    <w:p w14:paraId="6CB6AFD1" w14:textId="77777777" w:rsidR="00204447" w:rsidRPr="0033759C" w:rsidRDefault="00204447" w:rsidP="000D16AB">
      <w:pPr>
        <w:jc w:val="both"/>
        <w:rPr>
          <w:rFonts w:asciiTheme="majorHAnsi" w:hAnsiTheme="majorHAnsi"/>
          <w:color w:val="000000"/>
          <w:sz w:val="22"/>
          <w:szCs w:val="22"/>
          <w:lang w:val="sr-Latn-CS"/>
        </w:rPr>
      </w:pPr>
    </w:p>
    <w:p w14:paraId="0253CC9B" w14:textId="77777777" w:rsidR="0033759C" w:rsidRPr="0083526E" w:rsidRDefault="0033759C" w:rsidP="0033759C">
      <w:pPr>
        <w:rPr>
          <w:rFonts w:ascii="Cambria" w:hAnsi="Cambria"/>
          <w:b/>
          <w:color w:val="000000"/>
          <w:sz w:val="22"/>
          <w:szCs w:val="22"/>
          <w:lang w:val="sr-Latn-CS"/>
        </w:rPr>
      </w:pPr>
      <w:r>
        <w:rPr>
          <w:rFonts w:ascii="Cambria" w:hAnsi="Cambria"/>
          <w:b/>
          <w:color w:val="000000"/>
          <w:sz w:val="22"/>
          <w:szCs w:val="22"/>
          <w:lang w:val="sr-Latn-CS"/>
        </w:rPr>
        <w:t xml:space="preserve">2. </w:t>
      </w:r>
      <w:r>
        <w:rPr>
          <w:rFonts w:ascii="Cambria" w:hAnsi="Cambria"/>
          <w:b/>
          <w:color w:val="000000"/>
          <w:sz w:val="22"/>
          <w:szCs w:val="22"/>
          <w:lang w:val="sr-Latn-CS"/>
        </w:rPr>
        <w:tab/>
      </w:r>
      <w:r w:rsidRPr="0083526E">
        <w:rPr>
          <w:rFonts w:ascii="Cambria" w:hAnsi="Cambria"/>
          <w:b/>
          <w:color w:val="000000"/>
          <w:sz w:val="22"/>
          <w:szCs w:val="22"/>
          <w:lang w:val="sr-Latn-CS"/>
        </w:rPr>
        <w:t>OSNOVA ZA SASTAVLJANJE I OBJAVLJIVANJE FINANSIJSKIH IZVJEŠTAJA</w:t>
      </w:r>
    </w:p>
    <w:p w14:paraId="63DD0AE8" w14:textId="77777777" w:rsidR="0033759C" w:rsidRPr="0083526E" w:rsidRDefault="0033759C" w:rsidP="0033759C">
      <w:pPr>
        <w:jc w:val="both"/>
        <w:rPr>
          <w:rFonts w:ascii="Cambria" w:hAnsi="Cambria"/>
          <w:color w:val="000000"/>
          <w:sz w:val="22"/>
          <w:szCs w:val="22"/>
          <w:lang w:val="sr-Latn-CS"/>
        </w:rPr>
      </w:pPr>
    </w:p>
    <w:p w14:paraId="31F853C1" w14:textId="77777777" w:rsidR="0033759C" w:rsidRPr="0083526E" w:rsidRDefault="0033759C" w:rsidP="0033759C">
      <w:pPr>
        <w:jc w:val="both"/>
        <w:rPr>
          <w:rFonts w:ascii="Cambria" w:hAnsi="Cambria"/>
          <w:color w:val="000000"/>
          <w:sz w:val="22"/>
          <w:szCs w:val="22"/>
          <w:lang w:val="sr-Latn-CS"/>
        </w:rPr>
      </w:pPr>
      <w:r w:rsidRPr="0083526E">
        <w:rPr>
          <w:rFonts w:ascii="Cambria" w:hAnsi="Cambria"/>
          <w:color w:val="000000"/>
          <w:sz w:val="22"/>
          <w:szCs w:val="22"/>
          <w:lang w:val="sr-Latn-CS"/>
        </w:rPr>
        <w:t>Zakonom o računovodstvu i reviziji Republike Srpske, predviđeno je da se u Republici Srpskoj pri sastavljanju finansijskih izvještaja primjenjuju:</w:t>
      </w:r>
    </w:p>
    <w:p w14:paraId="1EB1EC0E" w14:textId="77777777" w:rsidR="0033759C" w:rsidRPr="0083526E" w:rsidRDefault="0033759C" w:rsidP="0033759C">
      <w:pPr>
        <w:jc w:val="both"/>
        <w:rPr>
          <w:rFonts w:ascii="Cambria" w:hAnsi="Cambria"/>
          <w:color w:val="000000"/>
          <w:sz w:val="22"/>
          <w:szCs w:val="22"/>
          <w:lang w:val="sr-Latn-CS"/>
        </w:rPr>
      </w:pPr>
    </w:p>
    <w:p w14:paraId="2AB99FDE" w14:textId="77777777" w:rsidR="0033759C" w:rsidRPr="0083526E" w:rsidRDefault="0033759C" w:rsidP="0033759C">
      <w:pPr>
        <w:numPr>
          <w:ilvl w:val="0"/>
          <w:numId w:val="8"/>
        </w:numPr>
        <w:jc w:val="both"/>
        <w:rPr>
          <w:rFonts w:ascii="Cambria" w:hAnsi="Cambria"/>
          <w:color w:val="000000"/>
          <w:sz w:val="22"/>
          <w:szCs w:val="22"/>
          <w:lang w:val="sr-Latn-CS"/>
        </w:rPr>
      </w:pPr>
      <w:r w:rsidRPr="0083526E">
        <w:rPr>
          <w:rFonts w:ascii="Cambria" w:hAnsi="Cambria"/>
          <w:color w:val="000000"/>
          <w:sz w:val="22"/>
          <w:szCs w:val="22"/>
          <w:lang w:val="sr-Latn-CS"/>
        </w:rPr>
        <w:t>Međunarodni računovodstveni standardi (MRS) i Međunarodni standardi finansijskog izvještavanja (MSFI).</w:t>
      </w:r>
    </w:p>
    <w:p w14:paraId="2E36C5C4" w14:textId="77777777" w:rsidR="0033759C" w:rsidRPr="0083526E" w:rsidRDefault="0033759C" w:rsidP="0033759C">
      <w:pPr>
        <w:numPr>
          <w:ilvl w:val="0"/>
          <w:numId w:val="8"/>
        </w:numPr>
        <w:jc w:val="both"/>
        <w:rPr>
          <w:rFonts w:ascii="Cambria" w:hAnsi="Cambria"/>
          <w:color w:val="000000"/>
          <w:sz w:val="22"/>
          <w:szCs w:val="22"/>
          <w:lang w:val="sr-Latn-CS"/>
        </w:rPr>
      </w:pPr>
      <w:r w:rsidRPr="0083526E">
        <w:rPr>
          <w:rFonts w:ascii="Cambria" w:hAnsi="Cambria"/>
          <w:color w:val="000000"/>
          <w:sz w:val="22"/>
          <w:szCs w:val="22"/>
          <w:lang w:val="sr-Latn-CS"/>
        </w:rPr>
        <w:t>Prateća uputstva, objašnjenja i smjernice koje donosi Odbor za međunarodne računovodstvene standarde.</w:t>
      </w:r>
    </w:p>
    <w:p w14:paraId="064DB9F0" w14:textId="77777777" w:rsidR="0033759C" w:rsidRPr="0083526E" w:rsidRDefault="0033759C" w:rsidP="0033759C">
      <w:pPr>
        <w:jc w:val="both"/>
        <w:rPr>
          <w:rFonts w:ascii="Cambria" w:hAnsi="Cambria"/>
          <w:color w:val="000000"/>
          <w:sz w:val="22"/>
          <w:szCs w:val="22"/>
          <w:lang w:val="sr-Latn-CS"/>
        </w:rPr>
      </w:pPr>
    </w:p>
    <w:p w14:paraId="6EE2D578" w14:textId="77777777" w:rsidR="0033759C" w:rsidRPr="0083526E" w:rsidRDefault="0033759C" w:rsidP="0033759C">
      <w:pPr>
        <w:jc w:val="both"/>
        <w:rPr>
          <w:rFonts w:ascii="Cambria" w:hAnsi="Cambria"/>
          <w:color w:val="000000"/>
          <w:sz w:val="22"/>
          <w:szCs w:val="22"/>
          <w:lang w:val="sr-Latn-CS"/>
        </w:rPr>
      </w:pPr>
      <w:r w:rsidRPr="0083526E">
        <w:rPr>
          <w:rFonts w:ascii="Cambria" w:hAnsi="Cambria"/>
          <w:color w:val="000000"/>
          <w:sz w:val="22"/>
          <w:szCs w:val="22"/>
          <w:lang w:val="sr-Latn-CS"/>
        </w:rPr>
        <w:t xml:space="preserve">Osnovu za sastavljanje i objavljivanje finansijskih izvještaja OMIF-a Privrednik  Invest čini slijedeća zakonska i podzakonska regulativa:  </w:t>
      </w:r>
    </w:p>
    <w:p w14:paraId="0F246005" w14:textId="77777777" w:rsidR="0033759C" w:rsidRPr="0083526E" w:rsidRDefault="0033759C" w:rsidP="0033759C">
      <w:pPr>
        <w:jc w:val="both"/>
        <w:rPr>
          <w:rFonts w:ascii="Cambria" w:hAnsi="Cambria"/>
          <w:color w:val="000000"/>
          <w:sz w:val="22"/>
          <w:szCs w:val="22"/>
          <w:lang w:val="sr-Latn-CS"/>
        </w:rPr>
      </w:pPr>
    </w:p>
    <w:p w14:paraId="01846A60" w14:textId="77777777" w:rsidR="0033759C" w:rsidRPr="00226EB9" w:rsidRDefault="0033759C" w:rsidP="0033759C">
      <w:pPr>
        <w:pStyle w:val="ListParagraph"/>
        <w:numPr>
          <w:ilvl w:val="0"/>
          <w:numId w:val="15"/>
        </w:numPr>
        <w:rPr>
          <w:rFonts w:ascii="Cambria" w:hAnsi="Cambria"/>
          <w:color w:val="000000"/>
          <w:sz w:val="22"/>
          <w:szCs w:val="22"/>
          <w:lang w:val="sr-Latn-CS"/>
        </w:rPr>
      </w:pPr>
      <w:r w:rsidRPr="00226EB9">
        <w:rPr>
          <w:rFonts w:ascii="Cambria" w:hAnsi="Cambria"/>
          <w:color w:val="000000"/>
          <w:sz w:val="22"/>
          <w:szCs w:val="22"/>
          <w:lang w:val="sr-Latn-CS"/>
        </w:rPr>
        <w:t>Zakon o računovodstvu i reviziji Republike Srpske ,</w:t>
      </w:r>
    </w:p>
    <w:p w14:paraId="4FF18E16" w14:textId="77777777" w:rsidR="0033759C" w:rsidRPr="00226EB9" w:rsidRDefault="0033759C" w:rsidP="0033759C">
      <w:pPr>
        <w:pStyle w:val="ListParagraph"/>
        <w:numPr>
          <w:ilvl w:val="0"/>
          <w:numId w:val="15"/>
        </w:numPr>
        <w:rPr>
          <w:rFonts w:ascii="Cambria" w:hAnsi="Cambria"/>
          <w:color w:val="000000"/>
          <w:sz w:val="22"/>
          <w:szCs w:val="22"/>
          <w:lang w:val="sr-Latn-CS"/>
        </w:rPr>
      </w:pPr>
      <w:r w:rsidRPr="00226EB9">
        <w:rPr>
          <w:rFonts w:ascii="Cambria" w:hAnsi="Cambria"/>
          <w:color w:val="000000"/>
          <w:sz w:val="22"/>
          <w:szCs w:val="22"/>
          <w:lang w:val="sr-Latn-CS"/>
        </w:rPr>
        <w:t>Zakon o tržištu hartija od vrijednosti i podzakonska regulativa donesena od strane Komisije za hartije od vrijednosti,</w:t>
      </w:r>
    </w:p>
    <w:p w14:paraId="00E4B817" w14:textId="77777777" w:rsidR="0033759C" w:rsidRPr="00226EB9" w:rsidRDefault="0033759C" w:rsidP="0033759C">
      <w:pPr>
        <w:pStyle w:val="ListParagraph"/>
        <w:numPr>
          <w:ilvl w:val="0"/>
          <w:numId w:val="15"/>
        </w:numPr>
        <w:rPr>
          <w:rFonts w:ascii="Cambria" w:hAnsi="Cambria"/>
          <w:color w:val="000000"/>
          <w:sz w:val="22"/>
          <w:szCs w:val="22"/>
          <w:lang w:val="sr-Latn-CS"/>
        </w:rPr>
      </w:pPr>
      <w:r w:rsidRPr="00226EB9">
        <w:rPr>
          <w:rFonts w:ascii="Cambria" w:hAnsi="Cambria"/>
          <w:color w:val="000000"/>
          <w:sz w:val="22"/>
          <w:szCs w:val="22"/>
          <w:lang w:val="sr-Latn-CS"/>
        </w:rPr>
        <w:t>Zakon o investicionim fondovima Republike Srpske,</w:t>
      </w:r>
    </w:p>
    <w:p w14:paraId="6176FDFB" w14:textId="77777777" w:rsidR="0033759C" w:rsidRPr="00226EB9" w:rsidRDefault="0033759C" w:rsidP="0033759C">
      <w:pPr>
        <w:pStyle w:val="ListParagraph"/>
        <w:numPr>
          <w:ilvl w:val="0"/>
          <w:numId w:val="15"/>
        </w:numPr>
        <w:rPr>
          <w:rFonts w:ascii="Cambria" w:hAnsi="Cambria"/>
          <w:color w:val="000000"/>
          <w:sz w:val="22"/>
          <w:szCs w:val="22"/>
          <w:lang w:val="sr-Latn-CS"/>
        </w:rPr>
      </w:pPr>
      <w:r w:rsidRPr="00226EB9">
        <w:rPr>
          <w:rFonts w:ascii="Cambria" w:hAnsi="Cambria"/>
          <w:color w:val="000000"/>
          <w:sz w:val="22"/>
          <w:szCs w:val="22"/>
          <w:lang w:val="sr-Latn-CS"/>
        </w:rPr>
        <w:t>Zakon o privrednim društvima,</w:t>
      </w:r>
    </w:p>
    <w:p w14:paraId="2CFA65CB" w14:textId="77777777" w:rsidR="0033759C" w:rsidRPr="00226EB9" w:rsidRDefault="0033759C" w:rsidP="0033759C">
      <w:pPr>
        <w:pStyle w:val="ListParagraph"/>
        <w:numPr>
          <w:ilvl w:val="0"/>
          <w:numId w:val="15"/>
        </w:numPr>
        <w:rPr>
          <w:rFonts w:ascii="Cambria" w:hAnsi="Cambria"/>
          <w:color w:val="000000"/>
          <w:sz w:val="22"/>
          <w:szCs w:val="22"/>
          <w:lang w:val="sr-Latn-CS"/>
        </w:rPr>
      </w:pPr>
      <w:r w:rsidRPr="00226EB9">
        <w:rPr>
          <w:rFonts w:ascii="Cambria" w:hAnsi="Cambria"/>
          <w:color w:val="000000"/>
          <w:sz w:val="22"/>
          <w:szCs w:val="22"/>
          <w:lang w:val="sr-Latn-CS"/>
        </w:rPr>
        <w:t>Pravilnik o utvrđivanju vrijednosti imovine investicionog fonda i obračunu neto vrijednosti imovine fonda po udjelu ili po akciji investicionog fonda,</w:t>
      </w:r>
    </w:p>
    <w:p w14:paraId="1D1FF95C" w14:textId="77777777" w:rsidR="0033759C" w:rsidRPr="00226EB9" w:rsidRDefault="0033759C" w:rsidP="0033759C">
      <w:pPr>
        <w:pStyle w:val="ListParagraph"/>
        <w:numPr>
          <w:ilvl w:val="0"/>
          <w:numId w:val="15"/>
        </w:numPr>
        <w:rPr>
          <w:rFonts w:ascii="Cambria" w:hAnsi="Cambria"/>
          <w:color w:val="000000"/>
          <w:sz w:val="22"/>
          <w:szCs w:val="22"/>
          <w:lang w:val="sr-Latn-CS"/>
        </w:rPr>
      </w:pPr>
      <w:r w:rsidRPr="00226EB9">
        <w:rPr>
          <w:rFonts w:ascii="Cambria" w:hAnsi="Cambria"/>
          <w:color w:val="000000"/>
          <w:sz w:val="22"/>
          <w:szCs w:val="22"/>
          <w:lang w:val="sr-Latn-CS"/>
        </w:rPr>
        <w:t>Pravilnik o kontnom okviru, sadržini računa u kontnom okviru i sadržini i formi finansijkih izvještaja za investicione fondove,</w:t>
      </w:r>
    </w:p>
    <w:p w14:paraId="6EAE0560" w14:textId="77777777" w:rsidR="0033759C" w:rsidRPr="00226EB9" w:rsidRDefault="0033759C" w:rsidP="0033759C">
      <w:pPr>
        <w:pStyle w:val="ListParagraph"/>
        <w:numPr>
          <w:ilvl w:val="0"/>
          <w:numId w:val="15"/>
        </w:numPr>
        <w:rPr>
          <w:rFonts w:ascii="Cambria" w:hAnsi="Cambria"/>
          <w:color w:val="000000"/>
          <w:sz w:val="22"/>
          <w:szCs w:val="22"/>
          <w:lang w:val="sr-Latn-CS"/>
        </w:rPr>
      </w:pPr>
      <w:r w:rsidRPr="00226EB9">
        <w:rPr>
          <w:rFonts w:ascii="Cambria" w:hAnsi="Cambria"/>
          <w:color w:val="000000"/>
          <w:sz w:val="22"/>
          <w:szCs w:val="22"/>
          <w:lang w:val="sr-Latn-CS"/>
        </w:rPr>
        <w:t>Pravilnik o sadržaju, rokovima i obliku izvještaja investicionih fondova, društava za upravljanje i banke depozitara,</w:t>
      </w:r>
    </w:p>
    <w:p w14:paraId="2511349B" w14:textId="77777777" w:rsidR="0033759C" w:rsidRDefault="0033759C" w:rsidP="0033759C">
      <w:pPr>
        <w:pStyle w:val="ListParagraph"/>
        <w:numPr>
          <w:ilvl w:val="0"/>
          <w:numId w:val="15"/>
        </w:numPr>
        <w:rPr>
          <w:rFonts w:ascii="Cambria" w:hAnsi="Cambria"/>
          <w:color w:val="000000"/>
          <w:sz w:val="22"/>
          <w:szCs w:val="22"/>
          <w:lang w:val="sr-Latn-CS"/>
        </w:rPr>
      </w:pPr>
      <w:r w:rsidRPr="00226EB9">
        <w:rPr>
          <w:rFonts w:ascii="Cambria" w:hAnsi="Cambria"/>
          <w:color w:val="000000"/>
          <w:sz w:val="22"/>
          <w:szCs w:val="22"/>
          <w:lang w:val="sr-Latn-CS"/>
        </w:rPr>
        <w:t>Pravilnik o depozitarima otvorenih investicionih fondova.</w:t>
      </w:r>
    </w:p>
    <w:p w14:paraId="201BD42F" w14:textId="77777777" w:rsidR="0033759C" w:rsidRPr="00226EB9" w:rsidRDefault="0033759C" w:rsidP="0033759C">
      <w:pPr>
        <w:pStyle w:val="ListParagraph"/>
        <w:rPr>
          <w:rFonts w:ascii="Cambria" w:hAnsi="Cambria"/>
          <w:color w:val="000000"/>
          <w:sz w:val="22"/>
          <w:szCs w:val="22"/>
          <w:lang w:val="sr-Latn-CS"/>
        </w:rPr>
      </w:pPr>
    </w:p>
    <w:p w14:paraId="66A7D98D" w14:textId="3783DB63" w:rsidR="0033759C" w:rsidRDefault="0033759C" w:rsidP="0033759C">
      <w:pPr>
        <w:rPr>
          <w:rFonts w:ascii="Cambria" w:hAnsi="Cambria"/>
          <w:sz w:val="22"/>
          <w:szCs w:val="22"/>
          <w:lang w:val="sr-Latn-CS"/>
        </w:rPr>
      </w:pPr>
      <w:r w:rsidRPr="00226EB9">
        <w:rPr>
          <w:rFonts w:ascii="Cambria" w:hAnsi="Cambria"/>
          <w:sz w:val="22"/>
          <w:szCs w:val="22"/>
          <w:lang w:val="sr-Latn-CS"/>
        </w:rPr>
        <w:t>Imovina Fona je vrednovana u skladu sa Pravilnikomo o utvrđivanju vrijednosti imovine investicionog fonda  i obračunu neto vrijednosti imovine po udjelu ili akciji investicionog fonda kojeg je donio regulatorni organa Komisije za hartije od vrijednosti Republike Srpske.</w:t>
      </w:r>
    </w:p>
    <w:p w14:paraId="5884458C" w14:textId="77777777" w:rsidR="00204447" w:rsidRDefault="00204447" w:rsidP="0033759C">
      <w:pPr>
        <w:rPr>
          <w:rFonts w:ascii="Cambria" w:hAnsi="Cambria"/>
          <w:sz w:val="22"/>
          <w:szCs w:val="22"/>
          <w:lang w:val="sr-Latn-CS"/>
        </w:rPr>
      </w:pPr>
    </w:p>
    <w:p w14:paraId="5051E531" w14:textId="77777777" w:rsidR="0033759C" w:rsidRDefault="0033759C" w:rsidP="0033759C">
      <w:pPr>
        <w:rPr>
          <w:rFonts w:ascii="Cambria" w:hAnsi="Cambria"/>
          <w:sz w:val="22"/>
          <w:szCs w:val="22"/>
          <w:lang w:val="sr-Latn-CS"/>
        </w:rPr>
      </w:pPr>
    </w:p>
    <w:p w14:paraId="70D26303" w14:textId="77777777" w:rsidR="0033759C" w:rsidRPr="00575193" w:rsidRDefault="0033759C" w:rsidP="0033759C">
      <w:pPr>
        <w:rPr>
          <w:rFonts w:ascii="Cambria" w:hAnsi="Cambria"/>
          <w:b/>
          <w:bCs/>
          <w:sz w:val="22"/>
          <w:szCs w:val="22"/>
          <w:lang w:val="sr-Latn-CS"/>
        </w:rPr>
      </w:pPr>
      <w:r w:rsidRPr="00575193">
        <w:rPr>
          <w:rFonts w:ascii="Cambria" w:hAnsi="Cambria"/>
          <w:b/>
          <w:bCs/>
          <w:sz w:val="22"/>
          <w:szCs w:val="22"/>
          <w:lang w:val="sr-Latn-CS"/>
        </w:rPr>
        <w:lastRenderedPageBreak/>
        <w:t>3.</w:t>
      </w:r>
      <w:r w:rsidRPr="00575193">
        <w:rPr>
          <w:rFonts w:ascii="Cambria" w:hAnsi="Cambria"/>
          <w:b/>
          <w:bCs/>
          <w:sz w:val="22"/>
          <w:szCs w:val="22"/>
          <w:lang w:val="sr-Latn-CS"/>
        </w:rPr>
        <w:tab/>
        <w:t>PREGLED ZNAČAJNIH RAČUNOVODSTVENIH POLITIKA</w:t>
      </w:r>
    </w:p>
    <w:p w14:paraId="522D5E9A" w14:textId="77777777" w:rsidR="0033759C" w:rsidRPr="00226EB9" w:rsidRDefault="0033759C" w:rsidP="0033759C">
      <w:pPr>
        <w:rPr>
          <w:rFonts w:ascii="Cambria" w:hAnsi="Cambria"/>
          <w:sz w:val="22"/>
          <w:szCs w:val="22"/>
          <w:lang w:val="sr-Latn-CS"/>
        </w:rPr>
      </w:pPr>
    </w:p>
    <w:p w14:paraId="3193252B" w14:textId="77777777" w:rsidR="0033759C" w:rsidRPr="00226EB9" w:rsidRDefault="0033759C" w:rsidP="0033759C">
      <w:pPr>
        <w:rPr>
          <w:rFonts w:ascii="Cambria" w:hAnsi="Cambria"/>
          <w:b/>
          <w:bCs/>
          <w:i/>
          <w:iCs/>
          <w:sz w:val="22"/>
          <w:szCs w:val="22"/>
          <w:lang w:val="sr-Latn-CS"/>
        </w:rPr>
      </w:pPr>
      <w:r w:rsidRPr="00226EB9">
        <w:rPr>
          <w:rFonts w:ascii="Cambria" w:hAnsi="Cambria"/>
          <w:b/>
          <w:bCs/>
          <w:i/>
          <w:iCs/>
          <w:sz w:val="22"/>
          <w:szCs w:val="22"/>
          <w:lang w:val="sr-Latn-CS"/>
        </w:rPr>
        <w:t>Poslovni prihodi</w:t>
      </w:r>
    </w:p>
    <w:p w14:paraId="7505B9AF"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 xml:space="preserve">Poslovni prihodi obuhvataju prihode od dividendi od domaćih i stranih emitenata, prihodi od kamata , prihodi od amortizacije premije (diskonta ) HOV sa rokom dospijeća i drugi. </w:t>
      </w:r>
    </w:p>
    <w:p w14:paraId="77B17152"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Prihodi od dividendi  se se evidentiraju po donošenju odluke i utvrđivanju vlasničkog prava na isplatu, a ako je naplata povezana sa visokim rizikom, tada se prihodi priznaju u trenutku naplate.</w:t>
      </w:r>
    </w:p>
    <w:p w14:paraId="6D5555A4"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Prihodi od kamata i amortizacije premije (diskonta) po osnovu HOV sa fiksnim rokom dospijeća predstavljaju prihode koje fond ostvaruje po osnovu dužničkih hartija od vrijednosti i po osnovu depozita i amortizovani dio razlike nominalne i tržišne cijene hartija od vrijednosti.</w:t>
      </w:r>
    </w:p>
    <w:p w14:paraId="7DC36258"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Ostali poslovni prihodi podrazumijevaju ostale poslovne prihode koji nisu sadržani u napred navedenim prihodima. Ostali prihodi se knjiže po načelu uzročnosti.</w:t>
      </w:r>
    </w:p>
    <w:p w14:paraId="4BA0CE38" w14:textId="77777777" w:rsidR="0033759C" w:rsidRPr="00226EB9" w:rsidRDefault="0033759C" w:rsidP="0033759C">
      <w:pPr>
        <w:jc w:val="both"/>
        <w:rPr>
          <w:rFonts w:ascii="Cambria" w:hAnsi="Cambria"/>
          <w:sz w:val="22"/>
          <w:szCs w:val="22"/>
          <w:lang w:val="sr-Latn-CS"/>
        </w:rPr>
      </w:pPr>
    </w:p>
    <w:p w14:paraId="731404BF" w14:textId="77777777" w:rsidR="0033759C" w:rsidRPr="00226EB9" w:rsidRDefault="0033759C" w:rsidP="0033759C">
      <w:pPr>
        <w:jc w:val="both"/>
        <w:rPr>
          <w:rFonts w:ascii="Cambria" w:hAnsi="Cambria"/>
          <w:b/>
          <w:bCs/>
          <w:i/>
          <w:iCs/>
          <w:sz w:val="22"/>
          <w:szCs w:val="22"/>
          <w:lang w:val="sr-Latn-CS"/>
        </w:rPr>
      </w:pPr>
      <w:r w:rsidRPr="00226EB9">
        <w:rPr>
          <w:rFonts w:ascii="Cambria" w:hAnsi="Cambria"/>
          <w:b/>
          <w:bCs/>
          <w:i/>
          <w:iCs/>
          <w:sz w:val="22"/>
          <w:szCs w:val="22"/>
          <w:lang w:val="sr-Latn-CS"/>
        </w:rPr>
        <w:t>Poslovni rashodi</w:t>
      </w:r>
    </w:p>
    <w:p w14:paraId="6206FB63"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Poslovni rashodi se evidentiraju na dan njihovog nastanka. Poslovne rashode Fonda čine naknada po osnovu provizije za upravljanje Fondom, troškovi kupovine i prodaje ulaganja, troškovi eksterne revizije, naknada banci depozitaru, realizovani gubici od ulaganja i ostali dozvoljeni rashodi fonda.</w:t>
      </w:r>
    </w:p>
    <w:p w14:paraId="40E6E34D" w14:textId="77777777" w:rsidR="0033759C" w:rsidRPr="00226EB9" w:rsidRDefault="0033759C" w:rsidP="0033759C">
      <w:pPr>
        <w:jc w:val="both"/>
        <w:rPr>
          <w:rFonts w:ascii="Cambria" w:hAnsi="Cambria"/>
          <w:sz w:val="22"/>
          <w:szCs w:val="22"/>
          <w:lang w:val="sr-Latn-CS"/>
        </w:rPr>
      </w:pPr>
    </w:p>
    <w:p w14:paraId="74AACEBF" w14:textId="77777777" w:rsidR="0033759C" w:rsidRPr="00226EB9" w:rsidRDefault="0033759C" w:rsidP="0033759C">
      <w:pPr>
        <w:jc w:val="both"/>
        <w:rPr>
          <w:rFonts w:ascii="Cambria" w:hAnsi="Cambria"/>
          <w:b/>
          <w:bCs/>
          <w:i/>
          <w:iCs/>
          <w:sz w:val="22"/>
          <w:szCs w:val="22"/>
          <w:lang w:val="sr-Latn-CS"/>
        </w:rPr>
      </w:pPr>
      <w:r w:rsidRPr="00226EB9">
        <w:rPr>
          <w:rFonts w:ascii="Cambria" w:hAnsi="Cambria"/>
          <w:b/>
          <w:bCs/>
          <w:i/>
          <w:iCs/>
          <w:sz w:val="22"/>
          <w:szCs w:val="22"/>
          <w:lang w:val="sr-Latn-CS"/>
        </w:rPr>
        <w:t>Naknada društvu za upravljanje</w:t>
      </w:r>
    </w:p>
    <w:p w14:paraId="57CA640E"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Članom 94. Zakona o investicionim fondovima je definisano da se naknada za upravljanje obračunava na  neto vrijednost imovine fonda na dnevnoj osnovi.</w:t>
      </w:r>
    </w:p>
    <w:p w14:paraId="0A6D51DE" w14:textId="77777777" w:rsidR="0033759C" w:rsidRPr="00226EB9" w:rsidRDefault="0033759C" w:rsidP="0033759C">
      <w:pPr>
        <w:jc w:val="both"/>
        <w:rPr>
          <w:rFonts w:ascii="Cambria" w:hAnsi="Cambria"/>
          <w:sz w:val="22"/>
          <w:szCs w:val="22"/>
          <w:lang w:val="sr-Latn-CS"/>
        </w:rPr>
      </w:pPr>
    </w:p>
    <w:p w14:paraId="1EEA70E4" w14:textId="77777777" w:rsidR="0033759C" w:rsidRPr="00226EB9" w:rsidRDefault="0033759C" w:rsidP="0033759C">
      <w:pPr>
        <w:jc w:val="both"/>
        <w:rPr>
          <w:rFonts w:ascii="Cambria" w:hAnsi="Cambria"/>
          <w:b/>
          <w:bCs/>
          <w:i/>
          <w:iCs/>
          <w:sz w:val="22"/>
          <w:szCs w:val="22"/>
          <w:lang w:val="sr-Latn-CS"/>
        </w:rPr>
      </w:pPr>
      <w:r w:rsidRPr="00226EB9">
        <w:rPr>
          <w:rFonts w:ascii="Cambria" w:hAnsi="Cambria"/>
          <w:b/>
          <w:bCs/>
          <w:i/>
          <w:iCs/>
          <w:sz w:val="22"/>
          <w:szCs w:val="22"/>
          <w:lang w:val="sr-Latn-CS"/>
        </w:rPr>
        <w:t>Realizovani dobici i gubici od ulaganja</w:t>
      </w:r>
    </w:p>
    <w:p w14:paraId="22F999FF"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 xml:space="preserve">Prihode i rashode  Fonda čine i realizovani dobici odnosno gubici od transakcija sa ulaganjima. Njihovo evidentiranje u poslovnim knjigama se vrši na dan  transakcije. </w:t>
      </w:r>
    </w:p>
    <w:p w14:paraId="5C9583D5"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Realizovani dobici i gubici po osnovu prodaje ulaganja obračunavaju se kao razlika ostvarene prodajne vrijednosti i nabavne vrijednosti.</w:t>
      </w:r>
    </w:p>
    <w:p w14:paraId="6EEF650F" w14:textId="77777777" w:rsidR="0033759C" w:rsidRPr="00226EB9" w:rsidRDefault="0033759C" w:rsidP="0033759C">
      <w:pPr>
        <w:jc w:val="both"/>
        <w:rPr>
          <w:rFonts w:ascii="Cambria" w:hAnsi="Cambria"/>
          <w:sz w:val="22"/>
          <w:szCs w:val="22"/>
          <w:lang w:val="sr-Latn-CS"/>
        </w:rPr>
      </w:pPr>
    </w:p>
    <w:p w14:paraId="7104D2C1" w14:textId="77777777" w:rsidR="0033759C" w:rsidRPr="00226EB9" w:rsidRDefault="0033759C" w:rsidP="0033759C">
      <w:pPr>
        <w:jc w:val="both"/>
        <w:rPr>
          <w:rFonts w:ascii="Cambria" w:hAnsi="Cambria"/>
          <w:b/>
          <w:bCs/>
          <w:i/>
          <w:iCs/>
          <w:sz w:val="22"/>
          <w:szCs w:val="22"/>
          <w:lang w:val="sr-Latn-CS"/>
        </w:rPr>
      </w:pPr>
      <w:r w:rsidRPr="00226EB9">
        <w:rPr>
          <w:rFonts w:ascii="Cambria" w:hAnsi="Cambria"/>
          <w:b/>
          <w:bCs/>
          <w:i/>
          <w:iCs/>
          <w:sz w:val="22"/>
          <w:szCs w:val="22"/>
          <w:lang w:val="sr-Latn-CS"/>
        </w:rPr>
        <w:t>Ulaganje i vrednovanje portfelja ulaganja</w:t>
      </w:r>
    </w:p>
    <w:p w14:paraId="61161BF0"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Utvrđivanje vrijednosti finasijskih sredstava fonda vrši se u skladu sa:</w:t>
      </w:r>
    </w:p>
    <w:p w14:paraId="283AC0B2"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w:t>
      </w:r>
      <w:r w:rsidRPr="00226EB9">
        <w:rPr>
          <w:rFonts w:ascii="Cambria" w:hAnsi="Cambria"/>
          <w:sz w:val="22"/>
          <w:szCs w:val="22"/>
          <w:lang w:val="sr-Latn-CS"/>
        </w:rPr>
        <w:tab/>
        <w:t xml:space="preserve">Međunarodnim računovodstvenim standardima (MRS), </w:t>
      </w:r>
    </w:p>
    <w:p w14:paraId="70FF45D3"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w:t>
      </w:r>
      <w:r w:rsidRPr="00226EB9">
        <w:rPr>
          <w:rFonts w:ascii="Cambria" w:hAnsi="Cambria"/>
          <w:sz w:val="22"/>
          <w:szCs w:val="22"/>
          <w:lang w:val="sr-Latn-CS"/>
        </w:rPr>
        <w:tab/>
        <w:t>Međunarodnim standardima finansijskog izvještavanja (MSFI).</w:t>
      </w:r>
    </w:p>
    <w:p w14:paraId="0C26B5B4"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w:t>
      </w:r>
      <w:r w:rsidRPr="00226EB9">
        <w:rPr>
          <w:rFonts w:ascii="Cambria" w:hAnsi="Cambria"/>
          <w:sz w:val="22"/>
          <w:szCs w:val="22"/>
          <w:lang w:val="sr-Latn-CS"/>
        </w:rPr>
        <w:tab/>
        <w:t>Pravilnikom o utvrđivanju vrijednosti imovine investicionog fonda i obračunu neto vrijednosti imovine po udjelu ili po akciji investicionog fonda te u skladu sa Zakonom o investicionim Fondovima.</w:t>
      </w:r>
    </w:p>
    <w:p w14:paraId="44156C38" w14:textId="77777777" w:rsidR="0033759C" w:rsidRPr="00226EB9" w:rsidRDefault="0033759C" w:rsidP="0033759C">
      <w:pPr>
        <w:jc w:val="both"/>
        <w:rPr>
          <w:rFonts w:ascii="Cambria" w:hAnsi="Cambria"/>
          <w:sz w:val="22"/>
          <w:szCs w:val="22"/>
          <w:lang w:val="sr-Latn-CS"/>
        </w:rPr>
      </w:pPr>
    </w:p>
    <w:p w14:paraId="04E5722B"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Početno priznavanje finansijskih sredstava raspoloživih za prodaju vrši se po kupovnoj cijeni, na dan trgovanja, koja u cijenu pojedinačne transakcije uključuje transakcione troškove koji su direktno povezani sa sticanjem finansijskih sredstava .</w:t>
      </w:r>
    </w:p>
    <w:p w14:paraId="71599C95" w14:textId="77777777" w:rsidR="0033759C" w:rsidRPr="00226EB9" w:rsidRDefault="0033759C" w:rsidP="0033759C">
      <w:pPr>
        <w:jc w:val="both"/>
        <w:rPr>
          <w:rFonts w:ascii="Cambria" w:hAnsi="Cambria"/>
          <w:sz w:val="22"/>
          <w:szCs w:val="22"/>
          <w:lang w:val="sr-Latn-CS"/>
        </w:rPr>
      </w:pPr>
    </w:p>
    <w:p w14:paraId="15D8EC7A" w14:textId="77777777" w:rsidR="0033759C" w:rsidRDefault="0033759C" w:rsidP="0033759C">
      <w:pPr>
        <w:jc w:val="both"/>
        <w:rPr>
          <w:rFonts w:ascii="Cambria" w:hAnsi="Cambria"/>
          <w:sz w:val="22"/>
          <w:szCs w:val="22"/>
          <w:lang w:val="sr-Latn-CS"/>
        </w:rPr>
      </w:pPr>
      <w:r w:rsidRPr="00226EB9">
        <w:rPr>
          <w:rFonts w:ascii="Cambria" w:hAnsi="Cambria"/>
          <w:sz w:val="22"/>
          <w:szCs w:val="22"/>
          <w:lang w:val="sr-Latn-CS"/>
        </w:rPr>
        <w:t>Naknadno vrednovanje finansijskih sredstava raspoloživih za prodaju vrši se po fer vrijednosti na dan bilansiranja koje vrednovanje uključuje povećanje odnosno smanjenje vrijednosti sredstava preko ispravke njihove vrijednosti i povećanje odnosno smanjenje vrijednosti kapitala preko revalorizacionih rezervi iskazanih u bilansu stanja.</w:t>
      </w:r>
    </w:p>
    <w:p w14:paraId="3DF4D0F9" w14:textId="77777777" w:rsidR="0033759C" w:rsidRDefault="0033759C" w:rsidP="0033759C">
      <w:pPr>
        <w:jc w:val="both"/>
        <w:rPr>
          <w:rFonts w:ascii="Cambria" w:hAnsi="Cambria"/>
          <w:sz w:val="22"/>
          <w:szCs w:val="22"/>
          <w:lang w:val="sr-Latn-CS"/>
        </w:rPr>
      </w:pPr>
    </w:p>
    <w:p w14:paraId="7401B353" w14:textId="77777777" w:rsidR="0033759C" w:rsidRPr="0083526E" w:rsidRDefault="0033759C" w:rsidP="0033759C">
      <w:pPr>
        <w:jc w:val="both"/>
        <w:rPr>
          <w:rFonts w:ascii="Cambria" w:hAnsi="Cambria"/>
          <w:color w:val="000000"/>
          <w:sz w:val="22"/>
          <w:szCs w:val="22"/>
          <w:lang w:val="sr-Latn-CS"/>
        </w:rPr>
      </w:pPr>
      <w:r w:rsidRPr="0083526E">
        <w:rPr>
          <w:rFonts w:ascii="Cambria" w:hAnsi="Cambria"/>
          <w:color w:val="000000"/>
          <w:sz w:val="22"/>
          <w:szCs w:val="22"/>
          <w:lang w:val="sr-Latn-CS"/>
        </w:rPr>
        <w:t xml:space="preserve">Za hartije od vrijednosti koje su pribavljene u stranoj valuti za denominaciju u izvještajnu valutu primjenjivan je srednji kurs Centralne banke Bosne i Hercegovine važeći na dan transakcije. Za hartije od vrijednosti čija se izvještajna valuta ne nalazi na listi valuta Centralne banke Bosne i Hercegovine primjenjen je preračun date valute prema srednjem kursu nacionalnih centralnih </w:t>
      </w:r>
      <w:r w:rsidRPr="0083526E">
        <w:rPr>
          <w:rFonts w:ascii="Cambria" w:hAnsi="Cambria"/>
          <w:color w:val="000000"/>
          <w:sz w:val="22"/>
          <w:szCs w:val="22"/>
          <w:lang w:val="sr-Latn-CS"/>
        </w:rPr>
        <w:lastRenderedPageBreak/>
        <w:t>banaka za euro na dan transakcije, preračunate u konvertibilne marke po srednjem kursu Centralne banke Bosne i Hercegovine važećem na dan transakcije.</w:t>
      </w:r>
    </w:p>
    <w:p w14:paraId="00497350" w14:textId="77777777" w:rsidR="0033759C" w:rsidRPr="00226EB9" w:rsidRDefault="0033759C" w:rsidP="0033759C">
      <w:pPr>
        <w:jc w:val="both"/>
        <w:rPr>
          <w:rFonts w:ascii="Cambria" w:hAnsi="Cambria"/>
          <w:sz w:val="22"/>
          <w:szCs w:val="22"/>
          <w:lang w:val="sr-Latn-CS"/>
        </w:rPr>
      </w:pPr>
    </w:p>
    <w:p w14:paraId="1CD976CB"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Na osnovu važećeg Pravilnika o utvrđivanju vrijednosti imovine investicionih fondova,  imovina fonda vrednuje se na sledeći način:</w:t>
      </w:r>
    </w:p>
    <w:p w14:paraId="5DAEFC19" w14:textId="77777777" w:rsidR="0033759C" w:rsidRPr="00226EB9" w:rsidRDefault="0033759C" w:rsidP="0033759C">
      <w:pPr>
        <w:jc w:val="both"/>
        <w:rPr>
          <w:rFonts w:ascii="Cambria" w:hAnsi="Cambria"/>
          <w:sz w:val="22"/>
          <w:szCs w:val="22"/>
          <w:lang w:val="sr-Latn-CS"/>
        </w:rPr>
      </w:pPr>
    </w:p>
    <w:p w14:paraId="1D0A35B5"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 xml:space="preserve">Za vlasničke hartije od vrijednosti (akcije),kojima se trguje na tržištu Republike Srpske i Federacije Bosne i Hercegovine, fer vrijednost na dan utvrđivanja vrijednosti imovine se računa primjenom prosječne ponderisane cijene za ostvarene transakcije na berzi u poslednjih 10 dana  kad je bilo trgovanja određenom vlasničkom hartijom u poslednjoj godini. </w:t>
      </w:r>
    </w:p>
    <w:p w14:paraId="2BBB2670"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 xml:space="preserve">U slučaju da nije bilo najmanje 10 dana trgovanja u godini fer vrijednost se utvrđuje u iznosu koji je manji od procjenjene vrijednosti ili poslednje ponderisane tržišne cijene kada je bilo trgovanje </w:t>
      </w:r>
    </w:p>
    <w:p w14:paraId="45BE6DAE" w14:textId="77777777" w:rsidR="0033759C" w:rsidRPr="00226EB9" w:rsidRDefault="0033759C" w:rsidP="0033759C">
      <w:pPr>
        <w:jc w:val="both"/>
        <w:rPr>
          <w:rFonts w:ascii="Cambria" w:hAnsi="Cambria"/>
          <w:sz w:val="22"/>
          <w:szCs w:val="22"/>
          <w:lang w:val="sr-Latn-CS"/>
        </w:rPr>
      </w:pPr>
    </w:p>
    <w:p w14:paraId="358281A1"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 xml:space="preserve">Vlasničke hartije od vrijednosti (akcije) kojima se trguje u inostranstvu na uređenim tržištima u državi članici EU,OECD I CEFTA fer vrijednost se izračunava na osnovu poslednje cijene ostvarene tog dana na matičnoj berzi emitenta ili berzi koja je definisana kao primarni izvor cijene odnosne hartije od vrijednosti koja je uvrštena na berzansko tržište. </w:t>
      </w:r>
    </w:p>
    <w:p w14:paraId="6AB3DA06"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 xml:space="preserve">U slučaju trgovanja na uređenim tržištima izvan tržišta država članica EU,OECD I CEFTA, fer vrijednost vlasničkih hartija izračunava se na osnovu ponderisane prosiječne cijene te hartije na berzanskom tržištu ostvarenih na dan vrednovanja. </w:t>
      </w:r>
    </w:p>
    <w:p w14:paraId="10BFFE89"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U slučaju nepostojanja cijene na dan obračuna uzima se poslednja cijena u periodu od 90 dana prije dana vrednovanja. Preračunavanje cijene u konvertibilne marke vrši se po kursnoj listi CB BiH na dan utvrđivanja vrijednosti imovine.</w:t>
      </w:r>
    </w:p>
    <w:p w14:paraId="309485E4"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Ukoliko nije bilo trgovanja u poslednjih 90 dana tada se fer vrijednost utvrđuje u iznosu koji je manji od procjenjene ili cijene na zatvaranju na dan kada je poslednji put bilo trgovanja.</w:t>
      </w:r>
    </w:p>
    <w:p w14:paraId="4CE1578A" w14:textId="77777777" w:rsidR="0033759C" w:rsidRPr="00226EB9" w:rsidRDefault="0033759C" w:rsidP="0033759C">
      <w:pPr>
        <w:jc w:val="both"/>
        <w:rPr>
          <w:rFonts w:ascii="Cambria" w:hAnsi="Cambria"/>
          <w:sz w:val="22"/>
          <w:szCs w:val="22"/>
          <w:lang w:val="sr-Latn-CS"/>
        </w:rPr>
      </w:pPr>
    </w:p>
    <w:p w14:paraId="7BE82F8E"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Udjeli u otvorenim investicionim fondovima vrednuju se po vrijednosti neto imovine po udjelu fonda čiji su udjeli stečeni, a koja je objavljena, odnosno važeća na dan vrednovanja.</w:t>
      </w:r>
    </w:p>
    <w:p w14:paraId="15756668"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Ako na dan vrednovanja nije bilo objave ili vrijednost po udjelu nije bila dostupna , fer vrijednost stečenog udjela investicionog fonda je cijena udjela od prethodnih dana vrednovanja.</w:t>
      </w:r>
    </w:p>
    <w:p w14:paraId="53E65528" w14:textId="77777777" w:rsidR="0033759C" w:rsidRPr="00226EB9" w:rsidRDefault="0033759C" w:rsidP="0033759C">
      <w:pPr>
        <w:jc w:val="both"/>
        <w:rPr>
          <w:rFonts w:ascii="Cambria" w:hAnsi="Cambria"/>
          <w:sz w:val="22"/>
          <w:szCs w:val="22"/>
          <w:lang w:val="sr-Latn-CS"/>
        </w:rPr>
      </w:pPr>
    </w:p>
    <w:p w14:paraId="465DD445"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Dužničke hartije od vrijednosti kojima se trguje u Republici Srpskoj i Federaciji Bosne i Hercegovine vredniju se primjenom prosječne ponderisane cijene trgovanja postignute na dan vrednovanja, a dužničke hartije kojima se trguje u inostranstvu na tržištima država članica EU,OECD I CEFTA vrednuju se na osnovu poslednje  cijene ostvarene tog dana  na matičnoj berzi emitenta ili berzi koja je definisana kao primarni izvor cijene odnosne hartije koja je uvrštena na berzansko tržište. Dužničke hartije kojima se trguje izvan tržišta zemalja članica EU,OECD I CEFTA vrednuju se po prosječnoj ponderisanoj cijeni te hartije ostvarenoj na berzi na dan vrednovanja.</w:t>
      </w:r>
    </w:p>
    <w:p w14:paraId="18A534C2"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U slučju nepostojanja cijene na dan vrednovanja uzima se poslednja cijena ostvarena u periodu  od 90 dana prije dana vrednovanja. Preračunavanje cijene u konvertibilne marke vrši se po kursnoj listi CB BiH na dan utvrđivanja vrijednosti imovine.</w:t>
      </w:r>
    </w:p>
    <w:p w14:paraId="14E5BA37" w14:textId="77777777" w:rsidR="0033759C" w:rsidRPr="00226EB9" w:rsidRDefault="0033759C" w:rsidP="0033759C">
      <w:pPr>
        <w:jc w:val="both"/>
        <w:rPr>
          <w:rFonts w:ascii="Cambria" w:hAnsi="Cambria"/>
          <w:sz w:val="22"/>
          <w:szCs w:val="22"/>
          <w:lang w:val="sr-Latn-CS"/>
        </w:rPr>
      </w:pPr>
    </w:p>
    <w:p w14:paraId="4C258B40"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Ukoliko nije bilo trgovanja u poslednjih 90 dana tada se fer vrijednost utvrđuje  diskontovanjem tokova gotovine pri čemu se kao diskontna stopa koristi preovlađujuća tržišna kamatna stopa za te hartije odnosno za dužničke hartije od vrijednosti koje imaju isti ili približan rok dospijeća ili isti kreditni rejting.</w:t>
      </w:r>
    </w:p>
    <w:p w14:paraId="575BE3BA" w14:textId="77777777" w:rsidR="0033759C" w:rsidRPr="00226EB9" w:rsidRDefault="0033759C" w:rsidP="0033759C">
      <w:pPr>
        <w:jc w:val="both"/>
        <w:rPr>
          <w:rFonts w:ascii="Cambria" w:hAnsi="Cambria"/>
          <w:sz w:val="22"/>
          <w:szCs w:val="22"/>
          <w:lang w:val="sr-Latn-CS"/>
        </w:rPr>
      </w:pPr>
    </w:p>
    <w:p w14:paraId="7B3C295D" w14:textId="656CEADE" w:rsidR="0033759C" w:rsidRDefault="0033759C" w:rsidP="0033759C">
      <w:pPr>
        <w:jc w:val="both"/>
        <w:rPr>
          <w:rFonts w:ascii="Cambria" w:hAnsi="Cambria"/>
          <w:sz w:val="22"/>
          <w:szCs w:val="22"/>
          <w:lang w:val="sr-Latn-CS"/>
        </w:rPr>
      </w:pPr>
      <w:r w:rsidRPr="00226EB9">
        <w:rPr>
          <w:rFonts w:ascii="Cambria" w:hAnsi="Cambria"/>
          <w:sz w:val="22"/>
          <w:szCs w:val="22"/>
          <w:lang w:val="sr-Latn-CS"/>
        </w:rPr>
        <w:t>Vrijednost neto imovine izračunava se svakog dana.</w:t>
      </w:r>
    </w:p>
    <w:p w14:paraId="1E7B2CC7" w14:textId="77777777" w:rsidR="00204447" w:rsidRPr="00226EB9" w:rsidRDefault="00204447" w:rsidP="0033759C">
      <w:pPr>
        <w:jc w:val="both"/>
        <w:rPr>
          <w:rFonts w:ascii="Cambria" w:hAnsi="Cambria"/>
          <w:sz w:val="22"/>
          <w:szCs w:val="22"/>
          <w:lang w:val="sr-Latn-CS"/>
        </w:rPr>
      </w:pPr>
    </w:p>
    <w:p w14:paraId="4E0BC9F9" w14:textId="77777777" w:rsidR="0033759C" w:rsidRPr="00226EB9" w:rsidRDefault="0033759C" w:rsidP="0033759C">
      <w:pPr>
        <w:jc w:val="both"/>
        <w:rPr>
          <w:rFonts w:ascii="Cambria" w:hAnsi="Cambria"/>
          <w:b/>
          <w:bCs/>
          <w:i/>
          <w:iCs/>
          <w:sz w:val="22"/>
          <w:szCs w:val="22"/>
          <w:lang w:val="sr-Latn-CS"/>
        </w:rPr>
      </w:pPr>
      <w:r w:rsidRPr="00226EB9">
        <w:rPr>
          <w:rFonts w:ascii="Cambria" w:hAnsi="Cambria"/>
          <w:b/>
          <w:bCs/>
          <w:i/>
          <w:iCs/>
          <w:sz w:val="22"/>
          <w:szCs w:val="22"/>
          <w:lang w:val="sr-Latn-CS"/>
        </w:rPr>
        <w:lastRenderedPageBreak/>
        <w:t>Gotovina i gotovinski ekvivalenti</w:t>
      </w:r>
    </w:p>
    <w:p w14:paraId="35503298"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Pod gotovinom i gotovinskim ekvivalentima se podrazumijevaju sredstva na žiro računu i vrednuju se po nominalnoj vrijednosti.</w:t>
      </w:r>
    </w:p>
    <w:p w14:paraId="60B1C297" w14:textId="77777777" w:rsidR="0033759C" w:rsidRPr="00226EB9" w:rsidRDefault="0033759C" w:rsidP="0033759C">
      <w:pPr>
        <w:jc w:val="both"/>
        <w:rPr>
          <w:rFonts w:ascii="Cambria" w:hAnsi="Cambria"/>
          <w:sz w:val="22"/>
          <w:szCs w:val="22"/>
          <w:lang w:val="sr-Latn-CS"/>
        </w:rPr>
      </w:pPr>
    </w:p>
    <w:p w14:paraId="1E82FEBD" w14:textId="77777777" w:rsidR="0033759C" w:rsidRPr="00226EB9" w:rsidRDefault="0033759C" w:rsidP="0033759C">
      <w:pPr>
        <w:jc w:val="both"/>
        <w:rPr>
          <w:rFonts w:ascii="Cambria" w:hAnsi="Cambria"/>
          <w:b/>
          <w:bCs/>
          <w:i/>
          <w:iCs/>
          <w:sz w:val="22"/>
          <w:szCs w:val="22"/>
          <w:lang w:val="sr-Latn-CS"/>
        </w:rPr>
      </w:pPr>
      <w:r w:rsidRPr="00226EB9">
        <w:rPr>
          <w:rFonts w:ascii="Cambria" w:hAnsi="Cambria"/>
          <w:b/>
          <w:bCs/>
          <w:i/>
          <w:iCs/>
          <w:sz w:val="22"/>
          <w:szCs w:val="22"/>
          <w:lang w:val="sr-Latn-CS"/>
        </w:rPr>
        <w:t>Potraživanje po osnovu prodaje finansijskih sredstava</w:t>
      </w:r>
    </w:p>
    <w:p w14:paraId="22735102"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Na dan transakcije prodaje u imovini fonda instrumenat se prestaje priznavati, a potraživanje za zaključenu prodaju se počinje priznavati.</w:t>
      </w:r>
    </w:p>
    <w:p w14:paraId="3CF783FB" w14:textId="77777777" w:rsidR="0033759C" w:rsidRPr="00226EB9" w:rsidRDefault="0033759C" w:rsidP="0033759C">
      <w:pPr>
        <w:jc w:val="both"/>
        <w:rPr>
          <w:rFonts w:ascii="Cambria" w:hAnsi="Cambria"/>
          <w:sz w:val="22"/>
          <w:szCs w:val="22"/>
          <w:lang w:val="sr-Latn-CS"/>
        </w:rPr>
      </w:pPr>
    </w:p>
    <w:p w14:paraId="7E8F0E3E" w14:textId="77777777" w:rsidR="0033759C" w:rsidRPr="00226EB9" w:rsidRDefault="0033759C" w:rsidP="0033759C">
      <w:pPr>
        <w:jc w:val="both"/>
        <w:rPr>
          <w:rFonts w:ascii="Cambria" w:hAnsi="Cambria"/>
          <w:b/>
          <w:bCs/>
          <w:i/>
          <w:iCs/>
          <w:sz w:val="22"/>
          <w:szCs w:val="22"/>
          <w:lang w:val="sr-Latn-CS"/>
        </w:rPr>
      </w:pPr>
      <w:r w:rsidRPr="00226EB9">
        <w:rPr>
          <w:rFonts w:ascii="Cambria" w:hAnsi="Cambria"/>
          <w:b/>
          <w:bCs/>
          <w:i/>
          <w:iCs/>
          <w:sz w:val="22"/>
          <w:szCs w:val="22"/>
          <w:lang w:val="sr-Latn-CS"/>
        </w:rPr>
        <w:t>Aktivna vremenska razgraničenja</w:t>
      </w:r>
    </w:p>
    <w:p w14:paraId="51226D76" w14:textId="77777777" w:rsidR="0033759C" w:rsidRDefault="0033759C" w:rsidP="0033759C">
      <w:pPr>
        <w:jc w:val="both"/>
        <w:rPr>
          <w:rFonts w:ascii="Cambria" w:hAnsi="Cambria"/>
          <w:sz w:val="22"/>
          <w:szCs w:val="22"/>
          <w:lang w:val="sr-Latn-CS"/>
        </w:rPr>
      </w:pPr>
      <w:r w:rsidRPr="00226EB9">
        <w:rPr>
          <w:rFonts w:ascii="Cambria" w:hAnsi="Cambria"/>
          <w:sz w:val="22"/>
          <w:szCs w:val="22"/>
          <w:lang w:val="sr-Latn-CS"/>
        </w:rPr>
        <w:t>U ovoj grupi se evidentiraju unaprijed plaćeni troškovi i obračunati prihodi koji se odnose na obračunski period a dospijevaju na naplatu po isteku obračunskog perioda.</w:t>
      </w:r>
    </w:p>
    <w:p w14:paraId="30CE3B55" w14:textId="77777777" w:rsidR="0033759C" w:rsidRPr="00226EB9" w:rsidRDefault="0033759C" w:rsidP="0033759C">
      <w:pPr>
        <w:jc w:val="both"/>
        <w:rPr>
          <w:rFonts w:ascii="Cambria" w:hAnsi="Cambria"/>
          <w:sz w:val="22"/>
          <w:szCs w:val="22"/>
          <w:lang w:val="sr-Latn-CS"/>
        </w:rPr>
      </w:pPr>
    </w:p>
    <w:p w14:paraId="4C303E89" w14:textId="77777777" w:rsidR="0033759C" w:rsidRDefault="0033759C" w:rsidP="0033759C">
      <w:pPr>
        <w:jc w:val="both"/>
        <w:rPr>
          <w:rFonts w:ascii="Cambria" w:hAnsi="Cambria"/>
          <w:b/>
          <w:bCs/>
          <w:i/>
          <w:iCs/>
          <w:sz w:val="22"/>
          <w:szCs w:val="22"/>
          <w:lang w:val="sr-Latn-CS"/>
        </w:rPr>
      </w:pPr>
      <w:r w:rsidRPr="00226EB9">
        <w:rPr>
          <w:rFonts w:ascii="Cambria" w:hAnsi="Cambria"/>
          <w:b/>
          <w:bCs/>
          <w:i/>
          <w:iCs/>
          <w:sz w:val="22"/>
          <w:szCs w:val="22"/>
          <w:lang w:val="sr-Latn-CS"/>
        </w:rPr>
        <w:t>Obaveze po osnovu kupovine finansijskih sredstava</w:t>
      </w:r>
    </w:p>
    <w:p w14:paraId="71DBE176"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Kupovina finansijskih sredstava uključuje se u vrednovanje imovine fonda na dan kupovine transakcije. Zaključena transakcija kupovine priznaje se u imovini fonda prema klasifikaciji finansijskih sredstava  uz istovremeno formiranje obaveze za poravnanje.</w:t>
      </w:r>
    </w:p>
    <w:p w14:paraId="1B65736A"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Obaveze u stranoj valuti procjenju se po srednjem kursu strane valute na dan bilansa. Zastarjele obaveze isknjižavaju se u korist prihoda.</w:t>
      </w:r>
    </w:p>
    <w:p w14:paraId="1E09739D" w14:textId="77777777" w:rsidR="0033759C" w:rsidRPr="00226EB9" w:rsidRDefault="0033759C" w:rsidP="0033759C">
      <w:pPr>
        <w:jc w:val="both"/>
        <w:rPr>
          <w:rFonts w:ascii="Cambria" w:hAnsi="Cambria"/>
          <w:sz w:val="22"/>
          <w:szCs w:val="22"/>
          <w:lang w:val="sr-Latn-CS"/>
        </w:rPr>
      </w:pPr>
    </w:p>
    <w:p w14:paraId="6BA51A29" w14:textId="77777777" w:rsidR="0033759C" w:rsidRPr="00226EB9" w:rsidRDefault="0033759C" w:rsidP="0033759C">
      <w:pPr>
        <w:jc w:val="both"/>
        <w:rPr>
          <w:rFonts w:ascii="Cambria" w:hAnsi="Cambria"/>
          <w:b/>
          <w:bCs/>
          <w:i/>
          <w:iCs/>
          <w:sz w:val="22"/>
          <w:szCs w:val="22"/>
          <w:lang w:val="sr-Latn-CS"/>
        </w:rPr>
      </w:pPr>
      <w:r w:rsidRPr="00226EB9">
        <w:rPr>
          <w:rFonts w:ascii="Cambria" w:hAnsi="Cambria"/>
          <w:b/>
          <w:bCs/>
          <w:i/>
          <w:iCs/>
          <w:sz w:val="22"/>
          <w:szCs w:val="22"/>
          <w:lang w:val="sr-Latn-CS"/>
        </w:rPr>
        <w:t>Povezana lica fonda</w:t>
      </w:r>
    </w:p>
    <w:p w14:paraId="37E985B7"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U skladu sa odredbama Zakona o investicionim fondovima Sl.glasnik RS broj 92/06 i 102/15 pod povezanim licima fonda se smatraju:</w:t>
      </w:r>
    </w:p>
    <w:p w14:paraId="14BB89D6"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  društvo za upravljanje , zaposleni i lica u organima društva,</w:t>
      </w:r>
    </w:p>
    <w:p w14:paraId="79A38DBD"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  banka depozitar,</w:t>
      </w:r>
    </w:p>
    <w:p w14:paraId="128171F1" w14:textId="77777777" w:rsidR="0033759C" w:rsidRPr="00226EB9" w:rsidRDefault="0033759C" w:rsidP="0033759C">
      <w:pPr>
        <w:jc w:val="both"/>
        <w:rPr>
          <w:rFonts w:ascii="Cambria" w:hAnsi="Cambria"/>
          <w:sz w:val="22"/>
          <w:szCs w:val="22"/>
          <w:lang w:val="sr-Latn-CS"/>
        </w:rPr>
      </w:pPr>
      <w:r w:rsidRPr="00226EB9">
        <w:rPr>
          <w:rFonts w:ascii="Cambria" w:hAnsi="Cambria"/>
          <w:sz w:val="22"/>
          <w:szCs w:val="22"/>
          <w:lang w:val="sr-Latn-CS"/>
        </w:rPr>
        <w:t>-  advokat odnosno advokatska kancelarija,</w:t>
      </w:r>
    </w:p>
    <w:p w14:paraId="0AFCDBC8" w14:textId="77777777" w:rsidR="0033759C" w:rsidRDefault="0033759C" w:rsidP="0033759C">
      <w:pPr>
        <w:jc w:val="both"/>
        <w:rPr>
          <w:rFonts w:ascii="Cambria" w:hAnsi="Cambria"/>
          <w:sz w:val="22"/>
          <w:szCs w:val="22"/>
          <w:lang w:val="sr-Latn-CS"/>
        </w:rPr>
      </w:pPr>
      <w:r w:rsidRPr="00226EB9">
        <w:rPr>
          <w:rFonts w:ascii="Cambria" w:hAnsi="Cambria"/>
          <w:sz w:val="22"/>
          <w:szCs w:val="22"/>
          <w:lang w:val="sr-Latn-CS"/>
        </w:rPr>
        <w:t xml:space="preserve">-  revizor i poreski savjetnik koji se nalaze u ugovornom odnosu po osnovu pružanja usluga </w:t>
      </w:r>
    </w:p>
    <w:p w14:paraId="21884819" w14:textId="77777777" w:rsidR="0033759C" w:rsidRPr="00226EB9" w:rsidRDefault="0033759C" w:rsidP="0033759C">
      <w:pPr>
        <w:jc w:val="both"/>
        <w:rPr>
          <w:rFonts w:ascii="Cambria" w:hAnsi="Cambria"/>
          <w:sz w:val="22"/>
          <w:szCs w:val="22"/>
          <w:lang w:val="sr-Latn-CS"/>
        </w:rPr>
      </w:pPr>
      <w:r>
        <w:rPr>
          <w:rFonts w:ascii="Cambria" w:hAnsi="Cambria"/>
          <w:sz w:val="22"/>
          <w:szCs w:val="22"/>
          <w:lang w:val="sr-Latn-CS"/>
        </w:rPr>
        <w:t xml:space="preserve">   </w:t>
      </w:r>
      <w:r w:rsidRPr="00226EB9">
        <w:rPr>
          <w:rFonts w:ascii="Cambria" w:hAnsi="Cambria"/>
          <w:sz w:val="22"/>
          <w:szCs w:val="22"/>
          <w:lang w:val="sr-Latn-CS"/>
        </w:rPr>
        <w:t>fondu,</w:t>
      </w:r>
    </w:p>
    <w:p w14:paraId="0442A2A7" w14:textId="77777777" w:rsidR="0033759C" w:rsidRDefault="0033759C" w:rsidP="0033759C">
      <w:pPr>
        <w:jc w:val="both"/>
        <w:rPr>
          <w:rFonts w:ascii="Cambria" w:hAnsi="Cambria"/>
          <w:sz w:val="22"/>
          <w:szCs w:val="22"/>
          <w:lang w:val="sr-Latn-CS"/>
        </w:rPr>
      </w:pPr>
      <w:r w:rsidRPr="00226EB9">
        <w:rPr>
          <w:rFonts w:ascii="Cambria" w:hAnsi="Cambria"/>
          <w:sz w:val="22"/>
          <w:szCs w:val="22"/>
          <w:lang w:val="sr-Latn-CS"/>
        </w:rPr>
        <w:t xml:space="preserve">-  svako drugo lice koje je u prethodne dvije kalendarske godine zaključilo ugovor o obavljanju </w:t>
      </w:r>
    </w:p>
    <w:p w14:paraId="0B66A3A8" w14:textId="77777777" w:rsidR="0033759C" w:rsidRPr="0083526E" w:rsidRDefault="0033759C" w:rsidP="0033759C">
      <w:pPr>
        <w:rPr>
          <w:lang w:val="sr-Latn-CS"/>
        </w:rPr>
      </w:pPr>
      <w:r>
        <w:rPr>
          <w:lang w:val="sr-Latn-CS"/>
        </w:rPr>
        <w:t xml:space="preserve">   </w:t>
      </w:r>
      <w:r w:rsidRPr="00226EB9">
        <w:rPr>
          <w:lang w:val="sr-Latn-CS"/>
        </w:rPr>
        <w:t>usluga za potrebe fonda.</w:t>
      </w:r>
    </w:p>
    <w:p w14:paraId="7BA12657" w14:textId="77777777" w:rsidR="0033759C" w:rsidRDefault="0033759C" w:rsidP="0033759C">
      <w:pPr>
        <w:pStyle w:val="Heading1"/>
        <w:numPr>
          <w:ilvl w:val="0"/>
          <w:numId w:val="0"/>
        </w:numPr>
        <w:rPr>
          <w:rFonts w:ascii="Cambria" w:hAnsi="Cambria"/>
          <w:color w:val="000000"/>
          <w:sz w:val="22"/>
          <w:szCs w:val="22"/>
          <w:lang w:val="sr-Latn-CS"/>
        </w:rPr>
      </w:pPr>
    </w:p>
    <w:p w14:paraId="7048CE4A" w14:textId="77777777" w:rsidR="0033759C" w:rsidRDefault="0033759C" w:rsidP="0033759C">
      <w:pPr>
        <w:pStyle w:val="Heading1"/>
        <w:numPr>
          <w:ilvl w:val="0"/>
          <w:numId w:val="0"/>
        </w:numPr>
        <w:rPr>
          <w:rFonts w:ascii="Cambria" w:hAnsi="Cambria"/>
          <w:color w:val="000000"/>
          <w:sz w:val="22"/>
          <w:szCs w:val="22"/>
          <w:lang w:val="sr-Latn-CS"/>
        </w:rPr>
      </w:pPr>
      <w:r w:rsidRPr="00162040">
        <w:rPr>
          <w:rFonts w:ascii="Cambria" w:hAnsi="Cambria"/>
          <w:color w:val="000000"/>
          <w:sz w:val="22"/>
          <w:szCs w:val="22"/>
          <w:lang w:val="sr-Latn-CS"/>
        </w:rPr>
        <w:t>4.</w:t>
      </w:r>
      <w:r w:rsidRPr="00162040">
        <w:rPr>
          <w:rFonts w:ascii="Cambria" w:hAnsi="Cambria"/>
          <w:color w:val="000000"/>
          <w:sz w:val="22"/>
          <w:szCs w:val="22"/>
          <w:lang w:val="sr-Latn-CS"/>
        </w:rPr>
        <w:tab/>
        <w:t>NAPOMENE UZ FINANSIJSKE IZVJEŠTAJE</w:t>
      </w:r>
    </w:p>
    <w:p w14:paraId="341EE24C" w14:textId="77777777" w:rsidR="0033759C" w:rsidRPr="005A3421" w:rsidRDefault="0033759C" w:rsidP="0033759C">
      <w:pPr>
        <w:jc w:val="both"/>
        <w:rPr>
          <w:rFonts w:ascii="Cambria" w:hAnsi="Cambria"/>
          <w:b/>
          <w:bCs/>
          <w:i/>
          <w:iCs/>
          <w:color w:val="000000"/>
          <w:sz w:val="22"/>
          <w:szCs w:val="22"/>
          <w:lang w:val="sr-Latn-CS"/>
        </w:rPr>
      </w:pPr>
      <w:bookmarkStart w:id="0" w:name="OLE_LINK3"/>
      <w:bookmarkStart w:id="1" w:name="OLE_LINK7"/>
      <w:bookmarkStart w:id="2" w:name="OLE_LINK15"/>
      <w:bookmarkStart w:id="3" w:name="OLE_LINK152"/>
      <w:bookmarkStart w:id="4" w:name="OLE_LINK159"/>
      <w:r>
        <w:rPr>
          <w:rFonts w:ascii="Cambria" w:hAnsi="Cambria"/>
          <w:b/>
          <w:bCs/>
          <w:i/>
          <w:iCs/>
          <w:color w:val="000000"/>
          <w:sz w:val="22"/>
          <w:szCs w:val="22"/>
          <w:lang w:val="sr-Latn-CS"/>
        </w:rPr>
        <w:t>Bilans stanja</w:t>
      </w:r>
    </w:p>
    <w:p w14:paraId="1FDC495D" w14:textId="77777777" w:rsidR="0033759C" w:rsidRDefault="0033759C" w:rsidP="0033759C">
      <w:pPr>
        <w:jc w:val="both"/>
        <w:rPr>
          <w:rFonts w:ascii="Cambria" w:hAnsi="Cambria"/>
          <w:color w:val="000000"/>
          <w:sz w:val="22"/>
          <w:szCs w:val="22"/>
          <w:lang w:val="sr-Latn-CS"/>
        </w:rPr>
      </w:pPr>
    </w:p>
    <w:p w14:paraId="60F740C3" w14:textId="008F7A6F" w:rsidR="0033759C" w:rsidRDefault="0033759C" w:rsidP="0033759C">
      <w:pPr>
        <w:jc w:val="both"/>
        <w:rPr>
          <w:rFonts w:ascii="Cambria" w:hAnsi="Cambria"/>
          <w:color w:val="000000"/>
          <w:sz w:val="22"/>
          <w:szCs w:val="22"/>
          <w:lang w:val="sr-Latn-CS"/>
        </w:rPr>
      </w:pPr>
      <w:r w:rsidRPr="008B3A18">
        <w:rPr>
          <w:rFonts w:ascii="Cambria" w:hAnsi="Cambria"/>
          <w:color w:val="000000"/>
          <w:sz w:val="22"/>
          <w:szCs w:val="22"/>
          <w:u w:val="single"/>
          <w:lang w:val="sr-Latn-CS"/>
        </w:rPr>
        <w:t>Ulaganja fonda</w:t>
      </w:r>
      <w:r w:rsidRPr="0083526E">
        <w:rPr>
          <w:rFonts w:ascii="Cambria" w:hAnsi="Cambria"/>
          <w:color w:val="000000"/>
          <w:sz w:val="22"/>
          <w:szCs w:val="22"/>
          <w:lang w:val="sr-Latn-CS"/>
        </w:rPr>
        <w:t xml:space="preserve"> u </w:t>
      </w:r>
      <w:r w:rsidRPr="0083526E">
        <w:rPr>
          <w:rFonts w:ascii="Cambria" w:hAnsi="Cambria"/>
          <w:i/>
          <w:color w:val="000000"/>
          <w:sz w:val="22"/>
          <w:szCs w:val="22"/>
          <w:lang w:val="sr-Latn-CS"/>
        </w:rPr>
        <w:t>Finansijska sredstva raspoloživa za prodaju</w:t>
      </w:r>
      <w:r w:rsidRPr="0083526E">
        <w:rPr>
          <w:rFonts w:ascii="Cambria" w:hAnsi="Cambria"/>
          <w:color w:val="000000"/>
          <w:sz w:val="22"/>
          <w:szCs w:val="22"/>
          <w:lang w:val="sr-Latn-CS"/>
        </w:rPr>
        <w:t xml:space="preserve"> na dan 3</w:t>
      </w:r>
      <w:r>
        <w:rPr>
          <w:rFonts w:ascii="Cambria" w:hAnsi="Cambria"/>
          <w:color w:val="000000"/>
          <w:sz w:val="22"/>
          <w:szCs w:val="22"/>
          <w:lang w:val="sr-Latn-CS"/>
        </w:rPr>
        <w:t>0</w:t>
      </w:r>
      <w:r w:rsidRPr="0083526E">
        <w:rPr>
          <w:rFonts w:ascii="Cambria" w:hAnsi="Cambria"/>
          <w:color w:val="000000"/>
          <w:sz w:val="22"/>
          <w:szCs w:val="22"/>
          <w:lang w:val="sr-Latn-CS"/>
        </w:rPr>
        <w:t>.0</w:t>
      </w:r>
      <w:r>
        <w:rPr>
          <w:rFonts w:ascii="Cambria" w:hAnsi="Cambria"/>
          <w:color w:val="000000"/>
          <w:sz w:val="22"/>
          <w:szCs w:val="22"/>
          <w:lang w:val="sr-Latn-CS"/>
        </w:rPr>
        <w:t>6</w:t>
      </w:r>
      <w:r w:rsidRPr="0083526E">
        <w:rPr>
          <w:rFonts w:ascii="Cambria" w:hAnsi="Cambria"/>
          <w:color w:val="000000"/>
          <w:sz w:val="22"/>
          <w:szCs w:val="22"/>
          <w:lang w:val="sr-Latn-CS"/>
        </w:rPr>
        <w:t xml:space="preserve">.2019. godine iznose </w:t>
      </w:r>
      <w:r>
        <w:rPr>
          <w:rFonts w:ascii="Cambria" w:hAnsi="Cambria" w:cs="Arial"/>
          <w:sz w:val="20"/>
          <w:szCs w:val="20"/>
        </w:rPr>
        <w:t xml:space="preserve">7,104,162.46 </w:t>
      </w:r>
      <w:r w:rsidRPr="0083526E">
        <w:rPr>
          <w:rFonts w:ascii="Cambria" w:hAnsi="Cambria"/>
          <w:i/>
          <w:color w:val="000000"/>
          <w:sz w:val="22"/>
          <w:szCs w:val="22"/>
          <w:lang w:val="sr-Latn-CS"/>
        </w:rPr>
        <w:t xml:space="preserve">KM. </w:t>
      </w:r>
      <w:r w:rsidRPr="0083526E">
        <w:rPr>
          <w:rFonts w:ascii="Cambria" w:hAnsi="Cambria"/>
          <w:color w:val="000000"/>
          <w:sz w:val="22"/>
          <w:szCs w:val="22"/>
          <w:lang w:val="sr-Latn-CS"/>
        </w:rPr>
        <w:t>Finansijska sredstva klasifikovana u ovu kategoriju uključuju:</w:t>
      </w:r>
    </w:p>
    <w:p w14:paraId="087C59BA" w14:textId="77777777" w:rsidR="0033759C" w:rsidRDefault="0033759C" w:rsidP="0033759C">
      <w:pPr>
        <w:jc w:val="both"/>
        <w:rPr>
          <w:rFonts w:ascii="Cambria" w:hAnsi="Cambria"/>
          <w:color w:val="000000"/>
          <w:sz w:val="22"/>
          <w:szCs w:val="22"/>
          <w:lang w:val="sr-Latn-CS"/>
        </w:rPr>
      </w:pPr>
      <w:r>
        <w:rPr>
          <w:rFonts w:ascii="Cambria" w:hAnsi="Cambria"/>
          <w:color w:val="000000"/>
          <w:sz w:val="22"/>
          <w:szCs w:val="22"/>
          <w:lang w:val="sr-Latn-CS"/>
        </w:rPr>
        <w:tab/>
      </w:r>
      <w:r>
        <w:rPr>
          <w:rFonts w:ascii="Cambria" w:hAnsi="Cambria"/>
          <w:color w:val="000000"/>
          <w:sz w:val="22"/>
          <w:szCs w:val="22"/>
          <w:lang w:val="sr-Latn-CS"/>
        </w:rPr>
        <w:tab/>
      </w:r>
      <w:r>
        <w:rPr>
          <w:rFonts w:ascii="Cambria" w:hAnsi="Cambria"/>
          <w:color w:val="000000"/>
          <w:sz w:val="22"/>
          <w:szCs w:val="22"/>
          <w:lang w:val="sr-Latn-CS"/>
        </w:rPr>
        <w:tab/>
      </w:r>
    </w:p>
    <w:p w14:paraId="258AE2BA" w14:textId="168237A6" w:rsidR="0033759C" w:rsidRPr="00162040" w:rsidRDefault="0033759C" w:rsidP="0033759C">
      <w:pPr>
        <w:jc w:val="both"/>
        <w:rPr>
          <w:rFonts w:ascii="Cambria" w:hAnsi="Cambria"/>
          <w:color w:val="000000"/>
          <w:sz w:val="22"/>
          <w:szCs w:val="22"/>
          <w:lang w:val="sr-Latn-CS"/>
        </w:rPr>
      </w:pPr>
      <w:r w:rsidRPr="00162040">
        <w:rPr>
          <w:rFonts w:ascii="Cambria" w:hAnsi="Cambria"/>
          <w:color w:val="000000"/>
          <w:sz w:val="22"/>
          <w:szCs w:val="22"/>
          <w:lang w:val="sr-Latn-CS"/>
        </w:rPr>
        <w:t>Akcije</w:t>
      </w:r>
      <w:r w:rsidRPr="00162040">
        <w:rPr>
          <w:rFonts w:ascii="Cambria" w:hAnsi="Cambria"/>
          <w:color w:val="000000"/>
          <w:sz w:val="22"/>
          <w:szCs w:val="22"/>
          <w:lang w:val="sr-Latn-CS"/>
        </w:rPr>
        <w:tab/>
      </w:r>
      <w:r>
        <w:rPr>
          <w:rFonts w:ascii="Cambria" w:hAnsi="Cambria"/>
          <w:color w:val="000000"/>
          <w:sz w:val="22"/>
          <w:szCs w:val="22"/>
          <w:lang w:val="sr-Latn-CS"/>
        </w:rPr>
        <w:tab/>
      </w:r>
      <w:r>
        <w:rPr>
          <w:rFonts w:ascii="Cambria" w:hAnsi="Cambria"/>
          <w:color w:val="000000"/>
          <w:sz w:val="22"/>
          <w:szCs w:val="22"/>
          <w:lang w:val="sr-Latn-CS"/>
        </w:rPr>
        <w:tab/>
      </w:r>
      <w:r>
        <w:rPr>
          <w:rFonts w:ascii="Cambria" w:hAnsi="Cambria"/>
          <w:color w:val="000000"/>
          <w:sz w:val="22"/>
          <w:szCs w:val="22"/>
          <w:lang w:val="sr-Latn-CS"/>
        </w:rPr>
        <w:tab/>
      </w:r>
      <w:r>
        <w:rPr>
          <w:rFonts w:ascii="Cambria" w:hAnsi="Cambria"/>
          <w:color w:val="000000"/>
          <w:sz w:val="22"/>
          <w:szCs w:val="22"/>
          <w:lang w:val="sr-Latn-CS"/>
        </w:rPr>
        <w:tab/>
      </w:r>
      <w:r w:rsidRPr="0033759C">
        <w:rPr>
          <w:rFonts w:ascii="Cambria" w:hAnsi="Cambria"/>
          <w:color w:val="000000"/>
          <w:sz w:val="22"/>
          <w:szCs w:val="22"/>
          <w:lang w:val="sr-Latn-CS"/>
        </w:rPr>
        <w:t>7,099,307.39</w:t>
      </w:r>
      <w:r>
        <w:rPr>
          <w:rFonts w:ascii="Cambria" w:hAnsi="Cambria"/>
          <w:color w:val="000000"/>
          <w:sz w:val="22"/>
          <w:szCs w:val="22"/>
          <w:lang w:val="sr-Latn-CS"/>
        </w:rPr>
        <w:t xml:space="preserve"> KM</w:t>
      </w:r>
    </w:p>
    <w:p w14:paraId="24A23C10" w14:textId="5EA17565" w:rsidR="0033759C" w:rsidRPr="00162040" w:rsidRDefault="0033759C" w:rsidP="0033759C">
      <w:pPr>
        <w:jc w:val="both"/>
        <w:rPr>
          <w:rFonts w:ascii="Cambria" w:hAnsi="Cambria"/>
          <w:color w:val="000000"/>
          <w:sz w:val="22"/>
          <w:szCs w:val="22"/>
          <w:lang w:val="sr-Latn-CS"/>
        </w:rPr>
      </w:pPr>
      <w:r w:rsidRPr="00162040">
        <w:rPr>
          <w:rFonts w:ascii="Cambria" w:hAnsi="Cambria"/>
          <w:color w:val="000000"/>
          <w:sz w:val="22"/>
          <w:szCs w:val="22"/>
          <w:lang w:val="sr-Latn-CS"/>
        </w:rPr>
        <w:t>Оstale hartije od vrijednosti</w:t>
      </w:r>
      <w:r>
        <w:rPr>
          <w:rFonts w:ascii="Cambria" w:hAnsi="Cambria"/>
          <w:color w:val="000000"/>
          <w:sz w:val="22"/>
          <w:szCs w:val="22"/>
          <w:lang w:val="sr-Latn-CS"/>
        </w:rPr>
        <w:t xml:space="preserve">/udjeli </w:t>
      </w:r>
      <w:r>
        <w:rPr>
          <w:rFonts w:ascii="Cambria" w:hAnsi="Cambria"/>
          <w:color w:val="000000"/>
          <w:sz w:val="22"/>
          <w:szCs w:val="22"/>
          <w:lang w:val="sr-Latn-CS"/>
        </w:rPr>
        <w:tab/>
        <w:t xml:space="preserve">         </w:t>
      </w:r>
      <w:r w:rsidRPr="0033759C">
        <w:rPr>
          <w:rFonts w:ascii="Cambria" w:hAnsi="Cambria"/>
          <w:color w:val="000000"/>
          <w:sz w:val="22"/>
          <w:szCs w:val="22"/>
          <w:lang w:val="sr-Latn-CS"/>
        </w:rPr>
        <w:t>4,855.05</w:t>
      </w:r>
      <w:r>
        <w:rPr>
          <w:rFonts w:ascii="Cambria" w:hAnsi="Cambria"/>
          <w:color w:val="000000"/>
          <w:sz w:val="22"/>
          <w:szCs w:val="22"/>
          <w:lang w:val="sr-Latn-CS"/>
        </w:rPr>
        <w:t xml:space="preserve"> KM</w:t>
      </w:r>
    </w:p>
    <w:p w14:paraId="7EE6E56F" w14:textId="5FAF3483" w:rsidR="0033759C" w:rsidRPr="00162040" w:rsidRDefault="0033759C" w:rsidP="0033759C">
      <w:pPr>
        <w:jc w:val="both"/>
        <w:rPr>
          <w:rFonts w:ascii="Cambria" w:hAnsi="Cambria"/>
          <w:color w:val="000000"/>
          <w:sz w:val="22"/>
          <w:szCs w:val="22"/>
          <w:lang w:val="sr-Latn-CS"/>
        </w:rPr>
      </w:pPr>
      <w:r w:rsidRPr="00162040">
        <w:rPr>
          <w:rFonts w:ascii="Cambria" w:hAnsi="Cambria"/>
          <w:color w:val="000000"/>
          <w:sz w:val="22"/>
          <w:szCs w:val="22"/>
          <w:lang w:val="sr-Latn-CS"/>
        </w:rPr>
        <w:t>Gotovine i gotovinski ekvivalenti</w:t>
      </w:r>
      <w:r w:rsidRPr="00162040">
        <w:rPr>
          <w:rFonts w:ascii="Cambria" w:hAnsi="Cambria"/>
          <w:color w:val="000000"/>
          <w:sz w:val="22"/>
          <w:szCs w:val="22"/>
          <w:lang w:val="sr-Latn-CS"/>
        </w:rPr>
        <w:tab/>
      </w:r>
      <w:r w:rsidRPr="0033759C">
        <w:rPr>
          <w:rFonts w:ascii="Cambria" w:hAnsi="Cambria"/>
          <w:color w:val="000000"/>
          <w:sz w:val="22"/>
          <w:szCs w:val="22"/>
          <w:lang w:val="sr-Latn-CS"/>
        </w:rPr>
        <w:t>1,657,474.31</w:t>
      </w:r>
      <w:r>
        <w:rPr>
          <w:rFonts w:ascii="Cambria" w:hAnsi="Cambria"/>
          <w:color w:val="000000"/>
          <w:sz w:val="22"/>
          <w:szCs w:val="22"/>
          <w:lang w:val="sr-Latn-CS"/>
        </w:rPr>
        <w:t xml:space="preserve"> KM</w:t>
      </w:r>
    </w:p>
    <w:p w14:paraId="7AFCD94B" w14:textId="77777777" w:rsidR="0033759C" w:rsidRDefault="0033759C" w:rsidP="0033759C">
      <w:pPr>
        <w:jc w:val="both"/>
        <w:rPr>
          <w:rFonts w:ascii="Cambria" w:hAnsi="Cambria"/>
          <w:color w:val="000000"/>
          <w:sz w:val="22"/>
          <w:szCs w:val="22"/>
          <w:lang w:val="sr-Latn-CS"/>
        </w:rPr>
      </w:pPr>
      <w:bookmarkStart w:id="5" w:name="OLE_LINK14"/>
      <w:bookmarkStart w:id="6" w:name="OLE_LINK25"/>
      <w:bookmarkStart w:id="7" w:name="OLE_LINK41"/>
      <w:bookmarkStart w:id="8" w:name="OLE_LINK33"/>
      <w:bookmarkStart w:id="9" w:name="OLE_LINK18"/>
    </w:p>
    <w:p w14:paraId="512909C2" w14:textId="1333162E" w:rsidR="0033759C" w:rsidRDefault="0033759C" w:rsidP="0033759C">
      <w:pPr>
        <w:jc w:val="both"/>
        <w:rPr>
          <w:rFonts w:ascii="Cambria" w:hAnsi="Cambria"/>
          <w:color w:val="000000"/>
          <w:sz w:val="22"/>
          <w:szCs w:val="22"/>
          <w:lang w:val="sr-Latn-CS"/>
        </w:rPr>
      </w:pPr>
      <w:r w:rsidRPr="0083526E">
        <w:rPr>
          <w:rFonts w:ascii="Cambria" w:hAnsi="Cambria"/>
          <w:color w:val="000000"/>
          <w:sz w:val="22"/>
          <w:szCs w:val="22"/>
          <w:lang w:val="sr-Latn-CS"/>
        </w:rPr>
        <w:t>Kratkoročn</w:t>
      </w:r>
      <w:r>
        <w:rPr>
          <w:rFonts w:ascii="Cambria" w:hAnsi="Cambria"/>
          <w:color w:val="000000"/>
          <w:sz w:val="22"/>
          <w:szCs w:val="22"/>
          <w:lang w:val="sr-Latn-CS"/>
        </w:rPr>
        <w:t>i</w:t>
      </w:r>
      <w:r w:rsidRPr="0083526E">
        <w:rPr>
          <w:rFonts w:ascii="Cambria" w:hAnsi="Cambria"/>
          <w:color w:val="000000"/>
          <w:sz w:val="22"/>
          <w:szCs w:val="22"/>
          <w:lang w:val="sr-Latn-CS"/>
        </w:rPr>
        <w:t xml:space="preserve"> or</w:t>
      </w:r>
      <w:r>
        <w:rPr>
          <w:rFonts w:ascii="Cambria" w:hAnsi="Cambria"/>
          <w:color w:val="000000"/>
          <w:sz w:val="22"/>
          <w:szCs w:val="22"/>
          <w:lang w:val="sr-Latn-CS"/>
        </w:rPr>
        <w:t>o</w:t>
      </w:r>
      <w:r w:rsidRPr="0083526E">
        <w:rPr>
          <w:rFonts w:ascii="Cambria" w:hAnsi="Cambria"/>
          <w:color w:val="000000"/>
          <w:sz w:val="22"/>
          <w:szCs w:val="22"/>
          <w:lang w:val="sr-Latn-CS"/>
        </w:rPr>
        <w:t xml:space="preserve">čeni depoziti kod banaka </w:t>
      </w:r>
      <w:r>
        <w:rPr>
          <w:rFonts w:ascii="Cambria" w:hAnsi="Cambria"/>
          <w:color w:val="000000"/>
          <w:sz w:val="22"/>
          <w:szCs w:val="22"/>
          <w:lang w:val="sr-Latn-CS"/>
        </w:rPr>
        <w:t xml:space="preserve">iznose </w:t>
      </w:r>
      <w:r w:rsidR="007D5BBB">
        <w:rPr>
          <w:rFonts w:ascii="Cambria" w:hAnsi="Cambria"/>
          <w:color w:val="000000"/>
          <w:sz w:val="22"/>
          <w:szCs w:val="22"/>
          <w:lang w:val="sr-Latn-CS"/>
        </w:rPr>
        <w:t>2</w:t>
      </w:r>
      <w:r w:rsidRPr="0083526E">
        <w:rPr>
          <w:rFonts w:ascii="Cambria" w:hAnsi="Cambria"/>
          <w:color w:val="000000"/>
          <w:sz w:val="22"/>
          <w:szCs w:val="22"/>
          <w:lang w:val="sr-Latn-CS"/>
        </w:rPr>
        <w:t>00.000,00 KM</w:t>
      </w:r>
      <w:r>
        <w:rPr>
          <w:rFonts w:ascii="Cambria" w:hAnsi="Cambria"/>
          <w:color w:val="000000"/>
          <w:sz w:val="22"/>
          <w:szCs w:val="22"/>
          <w:lang w:val="sr-Latn-CS"/>
        </w:rPr>
        <w:t>.</w:t>
      </w:r>
    </w:p>
    <w:p w14:paraId="2E682687" w14:textId="77777777" w:rsidR="0033759C" w:rsidRDefault="0033759C" w:rsidP="0033759C">
      <w:pPr>
        <w:jc w:val="both"/>
        <w:rPr>
          <w:rFonts w:ascii="Cambria" w:hAnsi="Cambria"/>
          <w:color w:val="000000"/>
          <w:sz w:val="22"/>
          <w:szCs w:val="22"/>
          <w:lang w:val="sr-Latn-CS"/>
        </w:rPr>
      </w:pPr>
    </w:p>
    <w:tbl>
      <w:tblPr>
        <w:tblW w:w="10516" w:type="dxa"/>
        <w:tblLook w:val="04A0" w:firstRow="1" w:lastRow="0" w:firstColumn="1" w:lastColumn="0" w:noHBand="0" w:noVBand="1"/>
      </w:tblPr>
      <w:tblGrid>
        <w:gridCol w:w="3712"/>
        <w:gridCol w:w="1715"/>
        <w:gridCol w:w="1286"/>
        <w:gridCol w:w="999"/>
        <w:gridCol w:w="1286"/>
        <w:gridCol w:w="1518"/>
      </w:tblGrid>
      <w:tr w:rsidR="00204447" w:rsidRPr="00204447" w14:paraId="3F03CA7E" w14:textId="77777777" w:rsidTr="002A5CB1">
        <w:trPr>
          <w:trHeight w:val="562"/>
        </w:trPr>
        <w:tc>
          <w:tcPr>
            <w:tcW w:w="3712" w:type="dxa"/>
            <w:tcBorders>
              <w:top w:val="single" w:sz="4" w:space="0" w:color="808080"/>
              <w:left w:val="single" w:sz="4" w:space="0" w:color="808080"/>
              <w:bottom w:val="single" w:sz="4" w:space="0" w:color="808080"/>
              <w:right w:val="single" w:sz="4" w:space="0" w:color="808080"/>
            </w:tcBorders>
            <w:shd w:val="clear" w:color="000000" w:fill="F0F0F0"/>
            <w:vAlign w:val="center"/>
            <w:hideMark/>
          </w:tcPr>
          <w:p w14:paraId="6C9AD4B8" w14:textId="77777777" w:rsidR="0033759C" w:rsidRPr="00204447" w:rsidRDefault="0033759C" w:rsidP="002A5CB1">
            <w:pPr>
              <w:jc w:val="center"/>
              <w:rPr>
                <w:rFonts w:ascii="Cambria" w:hAnsi="Cambria"/>
                <w:sz w:val="18"/>
                <w:szCs w:val="18"/>
              </w:rPr>
            </w:pPr>
            <w:proofErr w:type="spellStart"/>
            <w:r w:rsidRPr="00204447">
              <w:rPr>
                <w:rFonts w:ascii="Cambria" w:hAnsi="Cambria"/>
                <w:sz w:val="18"/>
                <w:szCs w:val="18"/>
              </w:rPr>
              <w:t>Broj</w:t>
            </w:r>
            <w:proofErr w:type="spellEnd"/>
            <w:r w:rsidRPr="00204447">
              <w:rPr>
                <w:rFonts w:ascii="Cambria" w:hAnsi="Cambria"/>
                <w:sz w:val="18"/>
                <w:szCs w:val="18"/>
              </w:rPr>
              <w:t xml:space="preserve"> </w:t>
            </w:r>
            <w:proofErr w:type="spellStart"/>
            <w:r w:rsidRPr="00204447">
              <w:rPr>
                <w:rFonts w:ascii="Cambria" w:hAnsi="Cambria"/>
                <w:sz w:val="18"/>
                <w:szCs w:val="18"/>
              </w:rPr>
              <w:t>ugovora</w:t>
            </w:r>
            <w:proofErr w:type="spellEnd"/>
          </w:p>
        </w:tc>
        <w:tc>
          <w:tcPr>
            <w:tcW w:w="1715" w:type="dxa"/>
            <w:tcBorders>
              <w:top w:val="single" w:sz="4" w:space="0" w:color="808080"/>
              <w:left w:val="nil"/>
              <w:bottom w:val="single" w:sz="4" w:space="0" w:color="808080"/>
              <w:right w:val="single" w:sz="4" w:space="0" w:color="808080"/>
            </w:tcBorders>
            <w:shd w:val="clear" w:color="000000" w:fill="F0F0F0"/>
            <w:vAlign w:val="center"/>
            <w:hideMark/>
          </w:tcPr>
          <w:p w14:paraId="0ADF8238" w14:textId="77777777" w:rsidR="0033759C" w:rsidRPr="00204447" w:rsidRDefault="0033759C" w:rsidP="002A5CB1">
            <w:pPr>
              <w:jc w:val="center"/>
              <w:rPr>
                <w:rFonts w:ascii="Cambria" w:hAnsi="Cambria"/>
                <w:sz w:val="18"/>
                <w:szCs w:val="18"/>
              </w:rPr>
            </w:pPr>
            <w:r w:rsidRPr="00204447">
              <w:rPr>
                <w:rFonts w:ascii="Cambria" w:hAnsi="Cambria"/>
                <w:sz w:val="18"/>
                <w:szCs w:val="18"/>
              </w:rPr>
              <w:t xml:space="preserve">Datum </w:t>
            </w:r>
            <w:proofErr w:type="spellStart"/>
            <w:r w:rsidRPr="00204447">
              <w:rPr>
                <w:rFonts w:ascii="Cambria" w:hAnsi="Cambria"/>
                <w:sz w:val="18"/>
                <w:szCs w:val="18"/>
              </w:rPr>
              <w:t>ugovora</w:t>
            </w:r>
            <w:proofErr w:type="spellEnd"/>
          </w:p>
        </w:tc>
        <w:tc>
          <w:tcPr>
            <w:tcW w:w="1286" w:type="dxa"/>
            <w:tcBorders>
              <w:top w:val="single" w:sz="4" w:space="0" w:color="808080"/>
              <w:left w:val="nil"/>
              <w:bottom w:val="single" w:sz="4" w:space="0" w:color="808080"/>
              <w:right w:val="single" w:sz="4" w:space="0" w:color="808080"/>
            </w:tcBorders>
            <w:shd w:val="clear" w:color="000000" w:fill="F0F0F0"/>
            <w:vAlign w:val="center"/>
            <w:hideMark/>
          </w:tcPr>
          <w:p w14:paraId="3B935D0F" w14:textId="77777777" w:rsidR="0033759C" w:rsidRPr="00204447" w:rsidRDefault="0033759C" w:rsidP="002A5CB1">
            <w:pPr>
              <w:jc w:val="center"/>
              <w:rPr>
                <w:rFonts w:ascii="Cambria" w:hAnsi="Cambria"/>
                <w:sz w:val="18"/>
                <w:szCs w:val="18"/>
              </w:rPr>
            </w:pPr>
            <w:proofErr w:type="spellStart"/>
            <w:r w:rsidRPr="00204447">
              <w:rPr>
                <w:rFonts w:ascii="Cambria" w:hAnsi="Cambria"/>
                <w:sz w:val="18"/>
                <w:szCs w:val="18"/>
              </w:rPr>
              <w:t>Iznos</w:t>
            </w:r>
            <w:proofErr w:type="spellEnd"/>
            <w:r w:rsidRPr="00204447">
              <w:rPr>
                <w:rFonts w:ascii="Cambria" w:hAnsi="Cambria"/>
                <w:sz w:val="18"/>
                <w:szCs w:val="18"/>
              </w:rPr>
              <w:t xml:space="preserve"> </w:t>
            </w:r>
            <w:proofErr w:type="spellStart"/>
            <w:r w:rsidRPr="00204447">
              <w:rPr>
                <w:rFonts w:ascii="Cambria" w:hAnsi="Cambria"/>
                <w:sz w:val="18"/>
                <w:szCs w:val="18"/>
              </w:rPr>
              <w:t>depozita</w:t>
            </w:r>
            <w:proofErr w:type="spellEnd"/>
          </w:p>
        </w:tc>
        <w:tc>
          <w:tcPr>
            <w:tcW w:w="999" w:type="dxa"/>
            <w:tcBorders>
              <w:top w:val="single" w:sz="4" w:space="0" w:color="808080"/>
              <w:left w:val="nil"/>
              <w:bottom w:val="single" w:sz="4" w:space="0" w:color="808080"/>
              <w:right w:val="single" w:sz="4" w:space="0" w:color="808080"/>
            </w:tcBorders>
            <w:shd w:val="clear" w:color="000000" w:fill="F0F0F0"/>
            <w:vAlign w:val="center"/>
            <w:hideMark/>
          </w:tcPr>
          <w:p w14:paraId="1F65E390" w14:textId="77777777" w:rsidR="0033759C" w:rsidRPr="00204447" w:rsidRDefault="0033759C" w:rsidP="002A5CB1">
            <w:pPr>
              <w:jc w:val="center"/>
              <w:rPr>
                <w:rFonts w:ascii="Cambria" w:hAnsi="Cambria"/>
                <w:sz w:val="18"/>
                <w:szCs w:val="18"/>
              </w:rPr>
            </w:pPr>
            <w:proofErr w:type="spellStart"/>
            <w:r w:rsidRPr="00204447">
              <w:rPr>
                <w:rFonts w:ascii="Cambria" w:hAnsi="Cambria"/>
                <w:sz w:val="18"/>
                <w:szCs w:val="18"/>
              </w:rPr>
              <w:t>Stopa</w:t>
            </w:r>
            <w:proofErr w:type="spellEnd"/>
          </w:p>
        </w:tc>
        <w:tc>
          <w:tcPr>
            <w:tcW w:w="1286" w:type="dxa"/>
            <w:tcBorders>
              <w:top w:val="single" w:sz="4" w:space="0" w:color="808080"/>
              <w:left w:val="nil"/>
              <w:bottom w:val="single" w:sz="4" w:space="0" w:color="808080"/>
              <w:right w:val="single" w:sz="4" w:space="0" w:color="808080"/>
            </w:tcBorders>
            <w:shd w:val="clear" w:color="000000" w:fill="F0F0F0"/>
            <w:vAlign w:val="center"/>
            <w:hideMark/>
          </w:tcPr>
          <w:p w14:paraId="22D7E05C" w14:textId="77777777" w:rsidR="0033759C" w:rsidRPr="00204447" w:rsidRDefault="0033759C" w:rsidP="002A5CB1">
            <w:pPr>
              <w:jc w:val="center"/>
              <w:rPr>
                <w:rFonts w:ascii="Cambria" w:hAnsi="Cambria"/>
                <w:sz w:val="18"/>
                <w:szCs w:val="18"/>
              </w:rPr>
            </w:pPr>
            <w:r w:rsidRPr="00204447">
              <w:rPr>
                <w:rFonts w:ascii="Cambria" w:hAnsi="Cambria"/>
                <w:sz w:val="18"/>
                <w:szCs w:val="18"/>
              </w:rPr>
              <w:t xml:space="preserve">Datum </w:t>
            </w:r>
            <w:proofErr w:type="spellStart"/>
            <w:r w:rsidRPr="00204447">
              <w:rPr>
                <w:rFonts w:ascii="Cambria" w:hAnsi="Cambria"/>
                <w:sz w:val="18"/>
                <w:szCs w:val="18"/>
              </w:rPr>
              <w:t>početka</w:t>
            </w:r>
            <w:proofErr w:type="spellEnd"/>
          </w:p>
        </w:tc>
        <w:tc>
          <w:tcPr>
            <w:tcW w:w="1518" w:type="dxa"/>
            <w:tcBorders>
              <w:top w:val="single" w:sz="4" w:space="0" w:color="808080"/>
              <w:left w:val="nil"/>
              <w:bottom w:val="single" w:sz="4" w:space="0" w:color="808080"/>
              <w:right w:val="single" w:sz="4" w:space="0" w:color="808080"/>
            </w:tcBorders>
            <w:shd w:val="clear" w:color="000000" w:fill="F0F0F0"/>
            <w:vAlign w:val="center"/>
            <w:hideMark/>
          </w:tcPr>
          <w:p w14:paraId="4EC6E31E" w14:textId="77777777" w:rsidR="0033759C" w:rsidRPr="00204447" w:rsidRDefault="0033759C" w:rsidP="002A5CB1">
            <w:pPr>
              <w:jc w:val="center"/>
              <w:rPr>
                <w:rFonts w:ascii="Cambria" w:hAnsi="Cambria"/>
                <w:sz w:val="18"/>
                <w:szCs w:val="18"/>
              </w:rPr>
            </w:pPr>
            <w:r w:rsidRPr="00204447">
              <w:rPr>
                <w:rFonts w:ascii="Cambria" w:hAnsi="Cambria"/>
                <w:sz w:val="18"/>
                <w:szCs w:val="18"/>
              </w:rPr>
              <w:t xml:space="preserve">Datum </w:t>
            </w:r>
            <w:proofErr w:type="spellStart"/>
            <w:r w:rsidRPr="00204447">
              <w:rPr>
                <w:rFonts w:ascii="Cambria" w:hAnsi="Cambria"/>
                <w:sz w:val="18"/>
                <w:szCs w:val="18"/>
              </w:rPr>
              <w:t>završetka</w:t>
            </w:r>
            <w:proofErr w:type="spellEnd"/>
          </w:p>
        </w:tc>
      </w:tr>
      <w:tr w:rsidR="00204447" w:rsidRPr="00204447" w14:paraId="4F92424B" w14:textId="77777777" w:rsidTr="002A5CB1">
        <w:trPr>
          <w:trHeight w:val="232"/>
        </w:trPr>
        <w:tc>
          <w:tcPr>
            <w:tcW w:w="3712"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0F7C2063" w14:textId="5218F835" w:rsidR="0033759C" w:rsidRPr="00204447" w:rsidRDefault="0033759C" w:rsidP="002A5CB1">
            <w:pPr>
              <w:rPr>
                <w:rFonts w:ascii="Cambria" w:hAnsi="Cambria"/>
                <w:sz w:val="18"/>
                <w:szCs w:val="18"/>
              </w:rPr>
            </w:pPr>
            <w:r w:rsidRPr="00204447">
              <w:rPr>
                <w:rFonts w:ascii="Cambria" w:hAnsi="Cambria"/>
                <w:sz w:val="18"/>
                <w:szCs w:val="18"/>
              </w:rPr>
              <w:t>10021170</w:t>
            </w:r>
            <w:r w:rsidR="00204447" w:rsidRPr="00204447">
              <w:rPr>
                <w:rFonts w:ascii="Cambria" w:hAnsi="Cambria"/>
                <w:sz w:val="18"/>
                <w:szCs w:val="18"/>
              </w:rPr>
              <w:t>17</w:t>
            </w:r>
            <w:r w:rsidRPr="00204447">
              <w:rPr>
                <w:rFonts w:ascii="Cambria" w:hAnsi="Cambria"/>
                <w:sz w:val="18"/>
                <w:szCs w:val="18"/>
              </w:rPr>
              <w:t xml:space="preserve"> - Nova </w:t>
            </w:r>
            <w:proofErr w:type="spellStart"/>
            <w:r w:rsidRPr="00204447">
              <w:rPr>
                <w:rFonts w:ascii="Cambria" w:hAnsi="Cambria"/>
                <w:sz w:val="18"/>
                <w:szCs w:val="18"/>
              </w:rPr>
              <w:t>banka</w:t>
            </w:r>
            <w:proofErr w:type="spellEnd"/>
            <w:r w:rsidRPr="00204447">
              <w:rPr>
                <w:rFonts w:ascii="Cambria" w:hAnsi="Cambria"/>
                <w:sz w:val="18"/>
                <w:szCs w:val="18"/>
              </w:rPr>
              <w:t xml:space="preserve"> </w:t>
            </w:r>
            <w:proofErr w:type="spellStart"/>
            <w:r w:rsidRPr="00204447">
              <w:rPr>
                <w:rFonts w:ascii="Cambria" w:hAnsi="Cambria"/>
                <w:sz w:val="18"/>
                <w:szCs w:val="18"/>
              </w:rPr>
              <w:t>a.d.</w:t>
            </w:r>
            <w:proofErr w:type="spellEnd"/>
            <w:r w:rsidRPr="00204447">
              <w:rPr>
                <w:rFonts w:ascii="Cambria" w:hAnsi="Cambria"/>
                <w:sz w:val="18"/>
                <w:szCs w:val="18"/>
              </w:rPr>
              <w:t xml:space="preserve"> Banja Luka</w:t>
            </w:r>
          </w:p>
        </w:tc>
        <w:tc>
          <w:tcPr>
            <w:tcW w:w="1715" w:type="dxa"/>
            <w:tcBorders>
              <w:top w:val="single" w:sz="4" w:space="0" w:color="808080"/>
              <w:left w:val="nil"/>
              <w:bottom w:val="single" w:sz="4" w:space="0" w:color="808080"/>
              <w:right w:val="single" w:sz="4" w:space="0" w:color="808080"/>
            </w:tcBorders>
            <w:shd w:val="clear" w:color="000000" w:fill="FFFFFF"/>
            <w:vAlign w:val="center"/>
            <w:hideMark/>
          </w:tcPr>
          <w:p w14:paraId="27F33CEC" w14:textId="77777777" w:rsidR="0033759C" w:rsidRPr="00204447" w:rsidRDefault="0033759C" w:rsidP="002A5CB1">
            <w:pPr>
              <w:jc w:val="center"/>
              <w:rPr>
                <w:rFonts w:ascii="Cambria" w:hAnsi="Cambria"/>
                <w:sz w:val="18"/>
                <w:szCs w:val="18"/>
              </w:rPr>
            </w:pPr>
            <w:r w:rsidRPr="00204447">
              <w:rPr>
                <w:rFonts w:ascii="Cambria" w:hAnsi="Cambria"/>
                <w:sz w:val="18"/>
                <w:szCs w:val="18"/>
              </w:rPr>
              <w:t>22.01.2019</w:t>
            </w:r>
          </w:p>
        </w:tc>
        <w:tc>
          <w:tcPr>
            <w:tcW w:w="1286" w:type="dxa"/>
            <w:tcBorders>
              <w:top w:val="nil"/>
              <w:left w:val="nil"/>
              <w:bottom w:val="single" w:sz="4" w:space="0" w:color="808080"/>
              <w:right w:val="single" w:sz="4" w:space="0" w:color="808080"/>
            </w:tcBorders>
            <w:shd w:val="clear" w:color="000000" w:fill="FFFFFF"/>
            <w:vAlign w:val="center"/>
            <w:hideMark/>
          </w:tcPr>
          <w:p w14:paraId="39750419" w14:textId="77777777" w:rsidR="0033759C" w:rsidRPr="00204447" w:rsidRDefault="0033759C" w:rsidP="002A5CB1">
            <w:pPr>
              <w:jc w:val="right"/>
              <w:rPr>
                <w:rFonts w:ascii="Cambria" w:hAnsi="Cambria"/>
                <w:sz w:val="18"/>
                <w:szCs w:val="18"/>
              </w:rPr>
            </w:pPr>
            <w:r w:rsidRPr="00204447">
              <w:rPr>
                <w:rFonts w:ascii="Cambria" w:hAnsi="Cambria"/>
                <w:sz w:val="18"/>
                <w:szCs w:val="18"/>
              </w:rPr>
              <w:t>100.000,00</w:t>
            </w:r>
          </w:p>
        </w:tc>
        <w:tc>
          <w:tcPr>
            <w:tcW w:w="999" w:type="dxa"/>
            <w:tcBorders>
              <w:top w:val="nil"/>
              <w:left w:val="nil"/>
              <w:bottom w:val="single" w:sz="4" w:space="0" w:color="808080"/>
              <w:right w:val="single" w:sz="4" w:space="0" w:color="808080"/>
            </w:tcBorders>
            <w:shd w:val="clear" w:color="000000" w:fill="FFFFFF"/>
            <w:vAlign w:val="center"/>
            <w:hideMark/>
          </w:tcPr>
          <w:p w14:paraId="592B0F2B" w14:textId="77777777" w:rsidR="0033759C" w:rsidRPr="00204447" w:rsidRDefault="0033759C" w:rsidP="002A5CB1">
            <w:pPr>
              <w:jc w:val="right"/>
              <w:rPr>
                <w:rFonts w:ascii="Cambria" w:hAnsi="Cambria"/>
                <w:sz w:val="18"/>
                <w:szCs w:val="18"/>
              </w:rPr>
            </w:pPr>
            <w:r w:rsidRPr="00204447">
              <w:rPr>
                <w:rFonts w:ascii="Cambria" w:hAnsi="Cambria"/>
                <w:sz w:val="18"/>
                <w:szCs w:val="18"/>
              </w:rPr>
              <w:t>1,00</w:t>
            </w:r>
          </w:p>
        </w:tc>
        <w:tc>
          <w:tcPr>
            <w:tcW w:w="1286" w:type="dxa"/>
            <w:tcBorders>
              <w:top w:val="single" w:sz="4" w:space="0" w:color="808080"/>
              <w:left w:val="nil"/>
              <w:bottom w:val="single" w:sz="4" w:space="0" w:color="808080"/>
              <w:right w:val="single" w:sz="4" w:space="0" w:color="808080"/>
            </w:tcBorders>
            <w:shd w:val="clear" w:color="000000" w:fill="FFFFFF"/>
            <w:vAlign w:val="center"/>
            <w:hideMark/>
          </w:tcPr>
          <w:p w14:paraId="63F1C786" w14:textId="77777777" w:rsidR="0033759C" w:rsidRPr="00204447" w:rsidRDefault="0033759C" w:rsidP="002A5CB1">
            <w:pPr>
              <w:jc w:val="center"/>
              <w:rPr>
                <w:rFonts w:ascii="Cambria" w:hAnsi="Cambria"/>
                <w:sz w:val="18"/>
                <w:szCs w:val="18"/>
              </w:rPr>
            </w:pPr>
            <w:r w:rsidRPr="00204447">
              <w:rPr>
                <w:rFonts w:ascii="Cambria" w:hAnsi="Cambria"/>
                <w:sz w:val="18"/>
                <w:szCs w:val="18"/>
              </w:rPr>
              <w:t>22.01.2019</w:t>
            </w:r>
          </w:p>
        </w:tc>
        <w:tc>
          <w:tcPr>
            <w:tcW w:w="1518" w:type="dxa"/>
            <w:tcBorders>
              <w:top w:val="nil"/>
              <w:left w:val="nil"/>
              <w:bottom w:val="single" w:sz="4" w:space="0" w:color="808080"/>
              <w:right w:val="single" w:sz="4" w:space="0" w:color="808080"/>
            </w:tcBorders>
            <w:shd w:val="clear" w:color="000000" w:fill="FFFFFF"/>
            <w:vAlign w:val="center"/>
            <w:hideMark/>
          </w:tcPr>
          <w:p w14:paraId="4D8056E4" w14:textId="77777777" w:rsidR="0033759C" w:rsidRPr="00204447" w:rsidRDefault="0033759C" w:rsidP="002A5CB1">
            <w:pPr>
              <w:jc w:val="center"/>
              <w:rPr>
                <w:rFonts w:ascii="Cambria" w:hAnsi="Cambria"/>
                <w:sz w:val="18"/>
                <w:szCs w:val="18"/>
              </w:rPr>
            </w:pPr>
            <w:r w:rsidRPr="00204447">
              <w:rPr>
                <w:rFonts w:ascii="Cambria" w:hAnsi="Cambria"/>
                <w:sz w:val="18"/>
                <w:szCs w:val="18"/>
              </w:rPr>
              <w:t>22.01.2020</w:t>
            </w:r>
          </w:p>
        </w:tc>
      </w:tr>
      <w:tr w:rsidR="00204447" w:rsidRPr="00204447" w14:paraId="44B41548" w14:textId="77777777" w:rsidTr="002A5CB1">
        <w:trPr>
          <w:trHeight w:val="232"/>
        </w:trPr>
        <w:tc>
          <w:tcPr>
            <w:tcW w:w="3712"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39060C71" w14:textId="21C88AF9" w:rsidR="0033759C" w:rsidRPr="00204447" w:rsidRDefault="0033759C" w:rsidP="002A5CB1">
            <w:pPr>
              <w:rPr>
                <w:rFonts w:ascii="Cambria" w:hAnsi="Cambria"/>
                <w:sz w:val="18"/>
                <w:szCs w:val="18"/>
              </w:rPr>
            </w:pPr>
            <w:r w:rsidRPr="00204447">
              <w:rPr>
                <w:rFonts w:ascii="Cambria" w:hAnsi="Cambria"/>
                <w:sz w:val="18"/>
                <w:szCs w:val="18"/>
              </w:rPr>
              <w:t>10021170</w:t>
            </w:r>
            <w:r w:rsidR="00204447" w:rsidRPr="00204447">
              <w:rPr>
                <w:rFonts w:ascii="Cambria" w:hAnsi="Cambria"/>
                <w:sz w:val="18"/>
                <w:szCs w:val="18"/>
              </w:rPr>
              <w:t>41</w:t>
            </w:r>
            <w:r w:rsidRPr="00204447">
              <w:rPr>
                <w:rFonts w:ascii="Cambria" w:hAnsi="Cambria"/>
                <w:sz w:val="18"/>
                <w:szCs w:val="18"/>
              </w:rPr>
              <w:t xml:space="preserve"> - Nova </w:t>
            </w:r>
            <w:proofErr w:type="spellStart"/>
            <w:r w:rsidRPr="00204447">
              <w:rPr>
                <w:rFonts w:ascii="Cambria" w:hAnsi="Cambria"/>
                <w:sz w:val="18"/>
                <w:szCs w:val="18"/>
              </w:rPr>
              <w:t>banka</w:t>
            </w:r>
            <w:proofErr w:type="spellEnd"/>
            <w:r w:rsidRPr="00204447">
              <w:rPr>
                <w:rFonts w:ascii="Cambria" w:hAnsi="Cambria"/>
                <w:sz w:val="18"/>
                <w:szCs w:val="18"/>
              </w:rPr>
              <w:t xml:space="preserve"> </w:t>
            </w:r>
            <w:proofErr w:type="spellStart"/>
            <w:r w:rsidRPr="00204447">
              <w:rPr>
                <w:rFonts w:ascii="Cambria" w:hAnsi="Cambria"/>
                <w:sz w:val="18"/>
                <w:szCs w:val="18"/>
              </w:rPr>
              <w:t>a.d.</w:t>
            </w:r>
            <w:proofErr w:type="spellEnd"/>
            <w:r w:rsidRPr="00204447">
              <w:rPr>
                <w:rFonts w:ascii="Cambria" w:hAnsi="Cambria"/>
                <w:sz w:val="18"/>
                <w:szCs w:val="18"/>
              </w:rPr>
              <w:t xml:space="preserve"> Banja Luka</w:t>
            </w:r>
          </w:p>
        </w:tc>
        <w:tc>
          <w:tcPr>
            <w:tcW w:w="1715" w:type="dxa"/>
            <w:tcBorders>
              <w:top w:val="single" w:sz="4" w:space="0" w:color="808080"/>
              <w:left w:val="nil"/>
              <w:bottom w:val="single" w:sz="4" w:space="0" w:color="808080"/>
              <w:right w:val="single" w:sz="4" w:space="0" w:color="808080"/>
            </w:tcBorders>
            <w:shd w:val="clear" w:color="000000" w:fill="FFFFFF"/>
            <w:vAlign w:val="center"/>
            <w:hideMark/>
          </w:tcPr>
          <w:p w14:paraId="381812AF" w14:textId="77777777" w:rsidR="0033759C" w:rsidRPr="00204447" w:rsidRDefault="0033759C" w:rsidP="002A5CB1">
            <w:pPr>
              <w:jc w:val="center"/>
              <w:rPr>
                <w:rFonts w:ascii="Cambria" w:hAnsi="Cambria"/>
                <w:sz w:val="18"/>
                <w:szCs w:val="18"/>
              </w:rPr>
            </w:pPr>
            <w:r w:rsidRPr="00204447">
              <w:rPr>
                <w:rFonts w:ascii="Cambria" w:hAnsi="Cambria"/>
                <w:sz w:val="18"/>
                <w:szCs w:val="18"/>
              </w:rPr>
              <w:t>22.01.2019</w:t>
            </w:r>
          </w:p>
        </w:tc>
        <w:tc>
          <w:tcPr>
            <w:tcW w:w="1286" w:type="dxa"/>
            <w:tcBorders>
              <w:top w:val="nil"/>
              <w:left w:val="nil"/>
              <w:bottom w:val="single" w:sz="4" w:space="0" w:color="808080"/>
              <w:right w:val="single" w:sz="4" w:space="0" w:color="808080"/>
            </w:tcBorders>
            <w:shd w:val="clear" w:color="000000" w:fill="FFFFFF"/>
            <w:vAlign w:val="center"/>
            <w:hideMark/>
          </w:tcPr>
          <w:p w14:paraId="0E918FEE" w14:textId="77777777" w:rsidR="0033759C" w:rsidRPr="00204447" w:rsidRDefault="0033759C" w:rsidP="002A5CB1">
            <w:pPr>
              <w:jc w:val="right"/>
              <w:rPr>
                <w:rFonts w:ascii="Cambria" w:hAnsi="Cambria"/>
                <w:sz w:val="18"/>
                <w:szCs w:val="18"/>
              </w:rPr>
            </w:pPr>
            <w:r w:rsidRPr="00204447">
              <w:rPr>
                <w:rFonts w:ascii="Cambria" w:hAnsi="Cambria"/>
                <w:sz w:val="18"/>
                <w:szCs w:val="18"/>
              </w:rPr>
              <w:t>100.000,00</w:t>
            </w:r>
          </w:p>
        </w:tc>
        <w:tc>
          <w:tcPr>
            <w:tcW w:w="999" w:type="dxa"/>
            <w:tcBorders>
              <w:top w:val="nil"/>
              <w:left w:val="nil"/>
              <w:bottom w:val="single" w:sz="4" w:space="0" w:color="808080"/>
              <w:right w:val="single" w:sz="4" w:space="0" w:color="808080"/>
            </w:tcBorders>
            <w:shd w:val="clear" w:color="000000" w:fill="FFFFFF"/>
            <w:vAlign w:val="center"/>
            <w:hideMark/>
          </w:tcPr>
          <w:p w14:paraId="014B5476" w14:textId="77777777" w:rsidR="0033759C" w:rsidRPr="00204447" w:rsidRDefault="0033759C" w:rsidP="002A5CB1">
            <w:pPr>
              <w:jc w:val="right"/>
              <w:rPr>
                <w:rFonts w:ascii="Cambria" w:hAnsi="Cambria"/>
                <w:sz w:val="18"/>
                <w:szCs w:val="18"/>
              </w:rPr>
            </w:pPr>
            <w:r w:rsidRPr="00204447">
              <w:rPr>
                <w:rFonts w:ascii="Cambria" w:hAnsi="Cambria"/>
                <w:sz w:val="18"/>
                <w:szCs w:val="18"/>
              </w:rPr>
              <w:t>1,00</w:t>
            </w:r>
          </w:p>
        </w:tc>
        <w:tc>
          <w:tcPr>
            <w:tcW w:w="1286" w:type="dxa"/>
            <w:tcBorders>
              <w:top w:val="single" w:sz="4" w:space="0" w:color="808080"/>
              <w:left w:val="nil"/>
              <w:bottom w:val="single" w:sz="4" w:space="0" w:color="808080"/>
              <w:right w:val="single" w:sz="4" w:space="0" w:color="808080"/>
            </w:tcBorders>
            <w:shd w:val="clear" w:color="000000" w:fill="FFFFFF"/>
            <w:vAlign w:val="center"/>
            <w:hideMark/>
          </w:tcPr>
          <w:p w14:paraId="41F3F2C8" w14:textId="77777777" w:rsidR="0033759C" w:rsidRPr="00204447" w:rsidRDefault="0033759C" w:rsidP="002A5CB1">
            <w:pPr>
              <w:jc w:val="center"/>
              <w:rPr>
                <w:rFonts w:ascii="Cambria" w:hAnsi="Cambria"/>
                <w:sz w:val="18"/>
                <w:szCs w:val="18"/>
              </w:rPr>
            </w:pPr>
            <w:r w:rsidRPr="00204447">
              <w:rPr>
                <w:rFonts w:ascii="Cambria" w:hAnsi="Cambria"/>
                <w:sz w:val="18"/>
                <w:szCs w:val="18"/>
              </w:rPr>
              <w:t>22.01.2019</w:t>
            </w:r>
          </w:p>
        </w:tc>
        <w:tc>
          <w:tcPr>
            <w:tcW w:w="1518" w:type="dxa"/>
            <w:tcBorders>
              <w:top w:val="nil"/>
              <w:left w:val="nil"/>
              <w:bottom w:val="single" w:sz="4" w:space="0" w:color="808080"/>
              <w:right w:val="single" w:sz="4" w:space="0" w:color="808080"/>
            </w:tcBorders>
            <w:shd w:val="clear" w:color="000000" w:fill="FFFFFF"/>
            <w:vAlign w:val="center"/>
            <w:hideMark/>
          </w:tcPr>
          <w:p w14:paraId="46B5BA2C" w14:textId="77777777" w:rsidR="0033759C" w:rsidRPr="00204447" w:rsidRDefault="0033759C" w:rsidP="002A5CB1">
            <w:pPr>
              <w:jc w:val="center"/>
              <w:rPr>
                <w:rFonts w:ascii="Cambria" w:hAnsi="Cambria"/>
                <w:sz w:val="18"/>
                <w:szCs w:val="18"/>
              </w:rPr>
            </w:pPr>
            <w:r w:rsidRPr="00204447">
              <w:rPr>
                <w:rFonts w:ascii="Cambria" w:hAnsi="Cambria"/>
                <w:sz w:val="18"/>
                <w:szCs w:val="18"/>
              </w:rPr>
              <w:t>22.01.2020</w:t>
            </w:r>
          </w:p>
        </w:tc>
      </w:tr>
    </w:tbl>
    <w:p w14:paraId="7E7DA14C" w14:textId="77777777" w:rsidR="0033759C" w:rsidRDefault="0033759C" w:rsidP="0033759C">
      <w:pPr>
        <w:jc w:val="both"/>
        <w:rPr>
          <w:rFonts w:ascii="Cambria" w:hAnsi="Cambria"/>
          <w:color w:val="000000"/>
          <w:sz w:val="22"/>
          <w:szCs w:val="22"/>
          <w:lang w:val="sr-Latn-CS"/>
        </w:rPr>
      </w:pPr>
    </w:p>
    <w:p w14:paraId="34A1CC0F" w14:textId="41BC9D0E" w:rsidR="0033759C" w:rsidRPr="0083526E" w:rsidRDefault="00204447" w:rsidP="0033759C">
      <w:pPr>
        <w:ind w:left="720"/>
        <w:jc w:val="both"/>
        <w:rPr>
          <w:rFonts w:ascii="Cambria" w:hAnsi="Cambria"/>
          <w:color w:val="000000"/>
          <w:sz w:val="22"/>
          <w:szCs w:val="22"/>
          <w:lang w:val="sr-Latn-CS"/>
        </w:rPr>
      </w:pPr>
      <w:r>
        <w:rPr>
          <w:rFonts w:ascii="Cambria" w:hAnsi="Cambria"/>
          <w:color w:val="000000"/>
          <w:sz w:val="22"/>
          <w:szCs w:val="22"/>
          <w:lang w:val="sr-Latn-CS"/>
        </w:rPr>
        <w:t>D</w:t>
      </w:r>
      <w:r w:rsidR="0033759C">
        <w:rPr>
          <w:rFonts w:ascii="Cambria" w:hAnsi="Cambria"/>
          <w:color w:val="000000"/>
          <w:sz w:val="22"/>
          <w:szCs w:val="22"/>
          <w:lang w:val="sr-Latn-CS"/>
        </w:rPr>
        <w:t xml:space="preserve">epoziti su oročeni na </w:t>
      </w:r>
      <w:r w:rsidR="0033759C" w:rsidRPr="00204447">
        <w:rPr>
          <w:rFonts w:ascii="Cambria" w:hAnsi="Cambria"/>
          <w:sz w:val="22"/>
          <w:szCs w:val="22"/>
          <w:lang w:val="sr-Latn-CS"/>
        </w:rPr>
        <w:t>period od 12 mjeseci , sa kamatnom stopom 1%.</w:t>
      </w:r>
    </w:p>
    <w:bookmarkEnd w:id="0"/>
    <w:bookmarkEnd w:id="1"/>
    <w:bookmarkEnd w:id="2"/>
    <w:bookmarkEnd w:id="3"/>
    <w:bookmarkEnd w:id="4"/>
    <w:bookmarkEnd w:id="5"/>
    <w:bookmarkEnd w:id="6"/>
    <w:bookmarkEnd w:id="7"/>
    <w:bookmarkEnd w:id="8"/>
    <w:bookmarkEnd w:id="9"/>
    <w:p w14:paraId="24ECCC37" w14:textId="7AD2E347" w:rsidR="0033759C" w:rsidRDefault="0033759C" w:rsidP="0033759C">
      <w:pPr>
        <w:jc w:val="both"/>
        <w:rPr>
          <w:rFonts w:ascii="Cambria" w:hAnsi="Cambria"/>
          <w:color w:val="000000"/>
          <w:sz w:val="22"/>
          <w:szCs w:val="22"/>
          <w:lang w:val="sr-Latn-CS"/>
        </w:rPr>
      </w:pPr>
      <w:r w:rsidRPr="008B3A18">
        <w:rPr>
          <w:rFonts w:ascii="Cambria" w:hAnsi="Cambria"/>
          <w:color w:val="000000"/>
          <w:sz w:val="22"/>
          <w:szCs w:val="22"/>
          <w:u w:val="single"/>
          <w:lang w:val="sr-Latn-CS"/>
        </w:rPr>
        <w:lastRenderedPageBreak/>
        <w:t xml:space="preserve">Potraživanja </w:t>
      </w:r>
      <w:r>
        <w:rPr>
          <w:rFonts w:ascii="Cambria" w:hAnsi="Cambria"/>
          <w:color w:val="000000"/>
          <w:sz w:val="22"/>
          <w:szCs w:val="22"/>
          <w:lang w:val="sr-Latn-CS"/>
        </w:rPr>
        <w:t xml:space="preserve">u iznosu </w:t>
      </w:r>
      <w:r w:rsidR="007D5BBB" w:rsidRPr="007D5BBB">
        <w:rPr>
          <w:rFonts w:ascii="Cambria" w:hAnsi="Cambria"/>
          <w:color w:val="000000"/>
          <w:sz w:val="22"/>
          <w:szCs w:val="22"/>
          <w:lang w:val="sr-Latn-CS"/>
        </w:rPr>
        <w:t>192,698.65</w:t>
      </w:r>
      <w:r w:rsidR="007D5BBB">
        <w:rPr>
          <w:rFonts w:ascii="Cambria" w:hAnsi="Cambria"/>
          <w:color w:val="000000"/>
          <w:sz w:val="22"/>
          <w:szCs w:val="22"/>
          <w:lang w:val="sr-Latn-CS"/>
        </w:rPr>
        <w:t xml:space="preserve"> </w:t>
      </w:r>
      <w:r>
        <w:rPr>
          <w:rFonts w:ascii="Cambria" w:hAnsi="Cambria"/>
          <w:color w:val="000000"/>
          <w:sz w:val="22"/>
          <w:szCs w:val="22"/>
          <w:lang w:val="sr-Latn-CS"/>
        </w:rPr>
        <w:t>KM čine:</w:t>
      </w:r>
    </w:p>
    <w:p w14:paraId="07662497" w14:textId="4DBF2593" w:rsidR="007D5BBB" w:rsidRPr="00204447" w:rsidRDefault="007D5BBB" w:rsidP="0033759C">
      <w:pPr>
        <w:jc w:val="both"/>
        <w:rPr>
          <w:rFonts w:ascii="Cambria" w:hAnsi="Cambria"/>
          <w:sz w:val="22"/>
          <w:szCs w:val="22"/>
          <w:lang w:val="sr-Latn-CS"/>
        </w:rPr>
      </w:pPr>
      <w:r>
        <w:rPr>
          <w:rFonts w:ascii="Cambria" w:hAnsi="Cambria"/>
          <w:color w:val="000000"/>
          <w:sz w:val="22"/>
          <w:szCs w:val="22"/>
          <w:lang w:val="sr-Latn-CS"/>
        </w:rPr>
        <w:t xml:space="preserve">       -      </w:t>
      </w:r>
      <w:r w:rsidRPr="00204447">
        <w:rPr>
          <w:rFonts w:ascii="Cambria" w:hAnsi="Cambria"/>
          <w:sz w:val="22"/>
          <w:szCs w:val="22"/>
          <w:lang w:val="sr-Latn-CS"/>
        </w:rPr>
        <w:t xml:space="preserve">792,22 KM potraživanja po osnovu prodaje </w:t>
      </w:r>
      <w:r w:rsidR="00204447" w:rsidRPr="00204447">
        <w:rPr>
          <w:rFonts w:ascii="Cambria" w:hAnsi="Cambria"/>
          <w:sz w:val="22"/>
          <w:szCs w:val="22"/>
          <w:lang w:val="sr-Latn-CS"/>
        </w:rPr>
        <w:t>hartija</w:t>
      </w:r>
    </w:p>
    <w:p w14:paraId="2B632B47" w14:textId="1BD2A364" w:rsidR="0033759C" w:rsidRDefault="007D5BBB" w:rsidP="0033759C">
      <w:pPr>
        <w:pStyle w:val="ListParagraph"/>
        <w:numPr>
          <w:ilvl w:val="0"/>
          <w:numId w:val="15"/>
        </w:numPr>
        <w:jc w:val="both"/>
        <w:rPr>
          <w:rFonts w:ascii="Cambria" w:hAnsi="Cambria"/>
          <w:color w:val="000000"/>
          <w:sz w:val="22"/>
          <w:szCs w:val="22"/>
          <w:lang w:val="sr-Latn-CS"/>
        </w:rPr>
      </w:pPr>
      <w:r>
        <w:rPr>
          <w:rFonts w:ascii="Cambria" w:hAnsi="Cambria"/>
          <w:color w:val="000000"/>
          <w:sz w:val="22"/>
          <w:szCs w:val="22"/>
          <w:lang w:val="sr-Latn-CS"/>
        </w:rPr>
        <w:t>876,80</w:t>
      </w:r>
      <w:r w:rsidR="0033759C">
        <w:rPr>
          <w:rFonts w:ascii="Cambria" w:hAnsi="Cambria"/>
          <w:color w:val="000000"/>
          <w:sz w:val="22"/>
          <w:szCs w:val="22"/>
          <w:lang w:val="sr-Latn-CS"/>
        </w:rPr>
        <w:t xml:space="preserve"> KM potraživanja po osnovu kamate na depozite</w:t>
      </w:r>
    </w:p>
    <w:p w14:paraId="16801FB5" w14:textId="7769A2FB" w:rsidR="0033759C" w:rsidRPr="00331EE6" w:rsidRDefault="007D5BBB" w:rsidP="0033759C">
      <w:pPr>
        <w:pStyle w:val="ListParagraph"/>
        <w:numPr>
          <w:ilvl w:val="0"/>
          <w:numId w:val="15"/>
        </w:numPr>
        <w:jc w:val="both"/>
        <w:rPr>
          <w:rFonts w:ascii="Cambria" w:hAnsi="Cambria"/>
          <w:sz w:val="22"/>
          <w:szCs w:val="22"/>
          <w:lang w:val="sr-Latn-CS"/>
        </w:rPr>
      </w:pPr>
      <w:r>
        <w:rPr>
          <w:rFonts w:ascii="Cambria" w:hAnsi="Cambria"/>
          <w:color w:val="000000"/>
          <w:sz w:val="22"/>
          <w:szCs w:val="22"/>
          <w:lang w:val="sr-Latn-CS"/>
        </w:rPr>
        <w:t>190.994,93</w:t>
      </w:r>
      <w:r w:rsidR="0033759C">
        <w:rPr>
          <w:rFonts w:ascii="Cambria" w:hAnsi="Cambria"/>
          <w:color w:val="000000"/>
          <w:sz w:val="22"/>
          <w:szCs w:val="22"/>
          <w:lang w:val="sr-Latn-CS"/>
        </w:rPr>
        <w:t xml:space="preserve"> KM potraživanja po osnovu dividende ( </w:t>
      </w:r>
      <w:r w:rsidR="0033759C" w:rsidRPr="00331EE6">
        <w:rPr>
          <w:rFonts w:ascii="Cambria" w:hAnsi="Cambria"/>
          <w:sz w:val="22"/>
          <w:szCs w:val="22"/>
          <w:lang w:val="sr-Latn-CS"/>
        </w:rPr>
        <w:t>Telekom</w:t>
      </w:r>
      <w:r w:rsidR="0033759C">
        <w:rPr>
          <w:rFonts w:ascii="Cambria" w:hAnsi="Cambria"/>
          <w:sz w:val="22"/>
          <w:szCs w:val="22"/>
          <w:lang w:val="sr-Latn-CS"/>
        </w:rPr>
        <w:t xml:space="preserve"> RS</w:t>
      </w:r>
      <w:r w:rsidR="0033759C" w:rsidRPr="00331EE6">
        <w:rPr>
          <w:rFonts w:ascii="Cambria" w:hAnsi="Cambria"/>
          <w:sz w:val="22"/>
          <w:szCs w:val="22"/>
          <w:lang w:val="sr-Latn-CS"/>
        </w:rPr>
        <w:t>)</w:t>
      </w:r>
    </w:p>
    <w:p w14:paraId="4C4D1F38" w14:textId="77777777" w:rsidR="0033759C" w:rsidRPr="003F17A7" w:rsidRDefault="0033759C" w:rsidP="0033759C">
      <w:pPr>
        <w:ind w:left="360"/>
        <w:jc w:val="both"/>
        <w:rPr>
          <w:rFonts w:ascii="Cambria" w:hAnsi="Cambria"/>
          <w:color w:val="000000"/>
          <w:sz w:val="22"/>
          <w:szCs w:val="22"/>
          <w:lang w:val="sr-Latn-CS"/>
        </w:rPr>
      </w:pPr>
    </w:p>
    <w:p w14:paraId="45B39796" w14:textId="77777777" w:rsidR="0033759C" w:rsidRDefault="0033759C" w:rsidP="0033759C">
      <w:pPr>
        <w:jc w:val="both"/>
        <w:rPr>
          <w:rFonts w:ascii="Cambria" w:hAnsi="Cambria"/>
          <w:color w:val="000000" w:themeColor="text1"/>
          <w:sz w:val="22"/>
          <w:szCs w:val="22"/>
          <w:lang w:val="sr-Latn-CS"/>
        </w:rPr>
      </w:pPr>
      <w:r>
        <w:rPr>
          <w:rFonts w:ascii="Cambria" w:hAnsi="Cambria"/>
          <w:color w:val="000000" w:themeColor="text1"/>
          <w:sz w:val="22"/>
          <w:szCs w:val="22"/>
          <w:lang w:val="sr-Latn-CS"/>
        </w:rPr>
        <w:t xml:space="preserve">U strukturi </w:t>
      </w:r>
      <w:r w:rsidRPr="008B3A18">
        <w:rPr>
          <w:rFonts w:ascii="Cambria" w:hAnsi="Cambria"/>
          <w:color w:val="000000" w:themeColor="text1"/>
          <w:sz w:val="22"/>
          <w:szCs w:val="22"/>
          <w:u w:val="single"/>
          <w:lang w:val="sr-Latn-CS"/>
        </w:rPr>
        <w:t>obaveza</w:t>
      </w:r>
      <w:r>
        <w:rPr>
          <w:rFonts w:ascii="Cambria" w:hAnsi="Cambria"/>
          <w:color w:val="000000" w:themeColor="text1"/>
          <w:sz w:val="22"/>
          <w:szCs w:val="22"/>
          <w:lang w:val="sr-Latn-CS"/>
        </w:rPr>
        <w:t xml:space="preserve"> nalaze se samo obaveze prema Društvu za upravljanje po osnovu upravljačke provizije za mjesec juni 2019. godine.</w:t>
      </w:r>
    </w:p>
    <w:p w14:paraId="15CB3315" w14:textId="77777777" w:rsidR="0033759C" w:rsidRDefault="0033759C" w:rsidP="0033759C">
      <w:pPr>
        <w:jc w:val="both"/>
        <w:rPr>
          <w:rFonts w:ascii="Cambria" w:hAnsi="Cambria"/>
          <w:color w:val="000000" w:themeColor="text1"/>
          <w:sz w:val="22"/>
          <w:szCs w:val="22"/>
          <w:lang w:val="sr-Latn-CS"/>
        </w:rPr>
      </w:pPr>
    </w:p>
    <w:p w14:paraId="2F735B16" w14:textId="77777777" w:rsidR="0033759C" w:rsidRPr="008B3A18" w:rsidRDefault="0033759C" w:rsidP="0033759C">
      <w:pPr>
        <w:jc w:val="both"/>
        <w:rPr>
          <w:rFonts w:ascii="Cambria" w:hAnsi="Cambria"/>
          <w:color w:val="000000" w:themeColor="text1"/>
          <w:sz w:val="22"/>
          <w:szCs w:val="22"/>
          <w:u w:val="single"/>
          <w:lang w:val="sr-Latn-CS"/>
        </w:rPr>
      </w:pPr>
      <w:r w:rsidRPr="008B3A18">
        <w:rPr>
          <w:rFonts w:ascii="Cambria" w:hAnsi="Cambria"/>
          <w:color w:val="000000" w:themeColor="text1"/>
          <w:sz w:val="22"/>
          <w:szCs w:val="22"/>
          <w:u w:val="single"/>
          <w:lang w:val="sr-Latn-CS"/>
        </w:rPr>
        <w:t>Kapital</w:t>
      </w:r>
    </w:p>
    <w:p w14:paraId="777A2624" w14:textId="3294C688" w:rsidR="0033759C" w:rsidRPr="008B3A18" w:rsidRDefault="0033759C" w:rsidP="0033759C">
      <w:pPr>
        <w:jc w:val="both"/>
        <w:rPr>
          <w:rFonts w:ascii="Cambria" w:hAnsi="Cambria"/>
          <w:color w:val="000000" w:themeColor="text1"/>
          <w:sz w:val="22"/>
          <w:szCs w:val="22"/>
          <w:lang w:val="sr-Latn-CS"/>
        </w:rPr>
      </w:pPr>
      <w:r>
        <w:rPr>
          <w:rFonts w:ascii="Cambria" w:hAnsi="Cambria"/>
          <w:color w:val="000000" w:themeColor="text1"/>
          <w:sz w:val="22"/>
          <w:szCs w:val="22"/>
          <w:lang w:val="sr-Latn-CS"/>
        </w:rPr>
        <w:t>Osnovni k</w:t>
      </w:r>
      <w:r w:rsidRPr="008B3A18">
        <w:rPr>
          <w:rFonts w:ascii="Cambria" w:hAnsi="Cambria"/>
          <w:color w:val="000000" w:themeColor="text1"/>
          <w:sz w:val="22"/>
          <w:szCs w:val="22"/>
          <w:lang w:val="sr-Latn-CS"/>
        </w:rPr>
        <w:t xml:space="preserve">apital čini ukupna vrijednost udjela koja je  na dan prenosa imovine iz zatvorenog u otvoreni fond iznosila </w:t>
      </w:r>
      <w:r w:rsidR="00962825" w:rsidRPr="00962825">
        <w:rPr>
          <w:rFonts w:ascii="Cambria" w:hAnsi="Cambria"/>
          <w:sz w:val="22"/>
          <w:szCs w:val="22"/>
          <w:lang w:val="sr-Latn-CS"/>
        </w:rPr>
        <w:t>10.878.988</w:t>
      </w:r>
      <w:r w:rsidRPr="00962825">
        <w:rPr>
          <w:rFonts w:ascii="Cambria" w:hAnsi="Cambria"/>
          <w:sz w:val="22"/>
          <w:szCs w:val="22"/>
          <w:lang w:val="sr-Latn-CS"/>
        </w:rPr>
        <w:t xml:space="preserve"> </w:t>
      </w:r>
      <w:r w:rsidRPr="008B3A18">
        <w:rPr>
          <w:rFonts w:ascii="Cambria" w:hAnsi="Cambria"/>
          <w:color w:val="000000" w:themeColor="text1"/>
          <w:sz w:val="22"/>
          <w:szCs w:val="22"/>
          <w:lang w:val="sr-Latn-CS"/>
        </w:rPr>
        <w:t>KM a  broj emitovanih udjela 1.</w:t>
      </w:r>
      <w:r w:rsidR="00FA35B2">
        <w:rPr>
          <w:rFonts w:ascii="Cambria" w:hAnsi="Cambria"/>
          <w:color w:val="000000" w:themeColor="text1"/>
          <w:sz w:val="22"/>
          <w:szCs w:val="22"/>
          <w:lang w:val="sr-Latn-CS"/>
        </w:rPr>
        <w:t>699</w:t>
      </w:r>
      <w:r w:rsidRPr="008B3A18">
        <w:rPr>
          <w:rFonts w:ascii="Cambria" w:hAnsi="Cambria"/>
          <w:color w:val="000000" w:themeColor="text1"/>
          <w:sz w:val="22"/>
          <w:szCs w:val="22"/>
          <w:lang w:val="sr-Latn-CS"/>
        </w:rPr>
        <w:t>.</w:t>
      </w:r>
      <w:r w:rsidR="00FA35B2">
        <w:rPr>
          <w:rFonts w:ascii="Cambria" w:hAnsi="Cambria"/>
          <w:color w:val="000000" w:themeColor="text1"/>
          <w:sz w:val="22"/>
          <w:szCs w:val="22"/>
          <w:lang w:val="sr-Latn-CS"/>
        </w:rPr>
        <w:t>212</w:t>
      </w:r>
      <w:r w:rsidRPr="008B3A18">
        <w:rPr>
          <w:rFonts w:ascii="Cambria" w:hAnsi="Cambria"/>
          <w:color w:val="000000" w:themeColor="text1"/>
          <w:sz w:val="22"/>
          <w:szCs w:val="22"/>
          <w:lang w:val="sr-Latn-CS"/>
        </w:rPr>
        <w:t xml:space="preserve"> </w:t>
      </w:r>
      <w:r w:rsidR="00204447">
        <w:rPr>
          <w:rFonts w:ascii="Cambria" w:hAnsi="Cambria"/>
          <w:color w:val="000000" w:themeColor="text1"/>
          <w:sz w:val="22"/>
          <w:szCs w:val="22"/>
          <w:lang w:val="sr-Latn-CS"/>
        </w:rPr>
        <w:t xml:space="preserve"> </w:t>
      </w:r>
      <w:r w:rsidRPr="008B3A18">
        <w:rPr>
          <w:rFonts w:ascii="Cambria" w:hAnsi="Cambria"/>
          <w:color w:val="000000" w:themeColor="text1"/>
          <w:sz w:val="22"/>
          <w:szCs w:val="22"/>
          <w:lang w:val="sr-Latn-CS"/>
        </w:rPr>
        <w:t xml:space="preserve">koliki je bio i  broj akcija ZIF-a. </w:t>
      </w:r>
    </w:p>
    <w:p w14:paraId="24163A67" w14:textId="1716915F" w:rsidR="0033759C" w:rsidRDefault="0033759C" w:rsidP="0033759C">
      <w:pPr>
        <w:jc w:val="both"/>
        <w:rPr>
          <w:rFonts w:ascii="Cambria" w:hAnsi="Cambria"/>
          <w:color w:val="000000" w:themeColor="text1"/>
          <w:sz w:val="22"/>
          <w:szCs w:val="22"/>
          <w:lang w:val="sr-Latn-CS"/>
        </w:rPr>
      </w:pPr>
      <w:r w:rsidRPr="008B3A18">
        <w:rPr>
          <w:rFonts w:ascii="Cambria" w:hAnsi="Cambria"/>
          <w:color w:val="000000" w:themeColor="text1"/>
          <w:sz w:val="22"/>
          <w:szCs w:val="22"/>
          <w:lang w:val="sr-Latn-CS"/>
        </w:rPr>
        <w:t xml:space="preserve">Vrijednost jednog udjela na dan prenosa imovine je bila </w:t>
      </w:r>
      <w:r w:rsidR="00962825" w:rsidRPr="00962825">
        <w:rPr>
          <w:rFonts w:ascii="Cambria" w:hAnsi="Cambria"/>
          <w:sz w:val="22"/>
          <w:szCs w:val="22"/>
          <w:lang w:val="sr-Latn-CS"/>
        </w:rPr>
        <w:t>6.4786</w:t>
      </w:r>
      <w:r w:rsidRPr="00962825">
        <w:rPr>
          <w:rFonts w:ascii="Cambria" w:hAnsi="Cambria"/>
          <w:sz w:val="22"/>
          <w:szCs w:val="22"/>
          <w:lang w:val="sr-Latn-CS"/>
        </w:rPr>
        <w:t xml:space="preserve"> </w:t>
      </w:r>
      <w:r w:rsidRPr="008B3A18">
        <w:rPr>
          <w:rFonts w:ascii="Cambria" w:hAnsi="Cambria"/>
          <w:color w:val="000000" w:themeColor="text1"/>
          <w:sz w:val="22"/>
          <w:szCs w:val="22"/>
          <w:lang w:val="sr-Latn-CS"/>
        </w:rPr>
        <w:t>KM</w:t>
      </w:r>
      <w:r w:rsidR="00492B8A">
        <w:rPr>
          <w:rFonts w:ascii="Cambria" w:hAnsi="Cambria"/>
          <w:color w:val="000000" w:themeColor="text1"/>
          <w:sz w:val="22"/>
          <w:szCs w:val="22"/>
          <w:lang w:val="sr-Latn-CS"/>
        </w:rPr>
        <w:t>.</w:t>
      </w:r>
    </w:p>
    <w:p w14:paraId="3F96A2EC" w14:textId="77777777" w:rsidR="00492B8A" w:rsidRDefault="00492B8A" w:rsidP="0033759C">
      <w:pPr>
        <w:jc w:val="both"/>
        <w:rPr>
          <w:rFonts w:ascii="Cambria" w:hAnsi="Cambria"/>
          <w:color w:val="000000" w:themeColor="text1"/>
          <w:sz w:val="22"/>
          <w:szCs w:val="22"/>
          <w:lang w:val="sr-Latn-CS"/>
        </w:rPr>
      </w:pPr>
    </w:p>
    <w:p w14:paraId="5FDDC069" w14:textId="7EC91EA4" w:rsidR="007D5BBB" w:rsidRPr="007D5BBB" w:rsidRDefault="007D5BBB" w:rsidP="007D5BBB">
      <w:pPr>
        <w:jc w:val="both"/>
        <w:rPr>
          <w:rFonts w:ascii="Cambria" w:hAnsi="Cambria"/>
          <w:color w:val="000000" w:themeColor="text1"/>
          <w:sz w:val="22"/>
          <w:szCs w:val="22"/>
          <w:lang w:val="sr-Latn-CS"/>
        </w:rPr>
      </w:pPr>
      <w:r w:rsidRPr="007D5BBB">
        <w:rPr>
          <w:rFonts w:ascii="Cambria" w:hAnsi="Cambria"/>
          <w:color w:val="000000" w:themeColor="text1"/>
          <w:sz w:val="22"/>
          <w:szCs w:val="22"/>
          <w:lang w:val="sr-Latn-CS"/>
        </w:rPr>
        <w:t xml:space="preserve">Društvo je </w:t>
      </w:r>
      <w:r w:rsidR="00733F86">
        <w:rPr>
          <w:rFonts w:ascii="Cambria" w:hAnsi="Cambria"/>
          <w:color w:val="000000" w:themeColor="text1"/>
          <w:sz w:val="22"/>
          <w:szCs w:val="22"/>
          <w:lang w:val="sr-Latn-CS"/>
        </w:rPr>
        <w:t>23.05</w:t>
      </w:r>
      <w:r w:rsidRPr="007D5BBB">
        <w:rPr>
          <w:rFonts w:ascii="Cambria" w:hAnsi="Cambria"/>
          <w:color w:val="000000" w:themeColor="text1"/>
          <w:sz w:val="22"/>
          <w:szCs w:val="22"/>
          <w:lang w:val="sr-Latn-CS"/>
        </w:rPr>
        <w:t xml:space="preserve">.2019 godine izvršilo iskup udjela od </w:t>
      </w:r>
      <w:r w:rsidR="00962825">
        <w:rPr>
          <w:rFonts w:ascii="Cambria" w:hAnsi="Cambria"/>
          <w:color w:val="000000" w:themeColor="text1"/>
          <w:sz w:val="22"/>
          <w:szCs w:val="22"/>
          <w:lang w:val="sr-Latn-CS"/>
        </w:rPr>
        <w:t>vlasnika udjela</w:t>
      </w:r>
      <w:r w:rsidRPr="007D5BBB">
        <w:rPr>
          <w:rFonts w:ascii="Cambria" w:hAnsi="Cambria"/>
          <w:color w:val="000000" w:themeColor="text1"/>
          <w:sz w:val="22"/>
          <w:szCs w:val="22"/>
          <w:lang w:val="sr-Latn-CS"/>
        </w:rPr>
        <w:t xml:space="preserve">, gdje su se na iskup prijavili </w:t>
      </w:r>
      <w:r w:rsidR="00962825">
        <w:rPr>
          <w:rFonts w:ascii="Cambria" w:hAnsi="Cambria"/>
          <w:color w:val="000000" w:themeColor="text1"/>
          <w:sz w:val="22"/>
          <w:szCs w:val="22"/>
          <w:lang w:val="sr-Latn-CS"/>
        </w:rPr>
        <w:t>vlasnici</w:t>
      </w:r>
      <w:r w:rsidRPr="007D5BBB">
        <w:rPr>
          <w:rFonts w:ascii="Cambria" w:hAnsi="Cambria"/>
          <w:color w:val="000000" w:themeColor="text1"/>
          <w:sz w:val="22"/>
          <w:szCs w:val="22"/>
          <w:lang w:val="sr-Latn-CS"/>
        </w:rPr>
        <w:t xml:space="preserve">i sa ukupnim brojem udjela od </w:t>
      </w:r>
      <w:r w:rsidR="00733F86">
        <w:rPr>
          <w:rFonts w:ascii="Cambria" w:hAnsi="Cambria"/>
          <w:color w:val="000000" w:themeColor="text1"/>
          <w:sz w:val="22"/>
          <w:szCs w:val="22"/>
          <w:lang w:val="sr-Latn-CS"/>
        </w:rPr>
        <w:t>450.030</w:t>
      </w:r>
      <w:r w:rsidRPr="007D5BBB">
        <w:rPr>
          <w:rFonts w:ascii="Cambria" w:hAnsi="Cambria"/>
          <w:color w:val="000000" w:themeColor="text1"/>
          <w:sz w:val="22"/>
          <w:szCs w:val="22"/>
          <w:lang w:val="sr-Latn-CS"/>
        </w:rPr>
        <w:t xml:space="preserve"> što je dovelo do smanjenja broja udjela na 1.2</w:t>
      </w:r>
      <w:r w:rsidR="00492B8A">
        <w:rPr>
          <w:rFonts w:ascii="Cambria" w:hAnsi="Cambria"/>
          <w:color w:val="000000" w:themeColor="text1"/>
          <w:sz w:val="22"/>
          <w:szCs w:val="22"/>
          <w:lang w:val="sr-Latn-CS"/>
        </w:rPr>
        <w:t>49</w:t>
      </w:r>
      <w:r w:rsidRPr="007D5BBB">
        <w:rPr>
          <w:rFonts w:ascii="Cambria" w:hAnsi="Cambria"/>
          <w:color w:val="000000" w:themeColor="text1"/>
          <w:sz w:val="22"/>
          <w:szCs w:val="22"/>
          <w:lang w:val="sr-Latn-CS"/>
        </w:rPr>
        <w:t>.</w:t>
      </w:r>
      <w:r w:rsidR="00492B8A">
        <w:rPr>
          <w:rFonts w:ascii="Cambria" w:hAnsi="Cambria"/>
          <w:color w:val="000000" w:themeColor="text1"/>
          <w:sz w:val="22"/>
          <w:szCs w:val="22"/>
          <w:lang w:val="sr-Latn-CS"/>
        </w:rPr>
        <w:t>162</w:t>
      </w:r>
      <w:r w:rsidRPr="007D5BBB">
        <w:rPr>
          <w:rFonts w:ascii="Cambria" w:hAnsi="Cambria"/>
          <w:color w:val="000000" w:themeColor="text1"/>
          <w:sz w:val="22"/>
          <w:szCs w:val="22"/>
          <w:lang w:val="sr-Latn-CS"/>
        </w:rPr>
        <w:t xml:space="preserve">.   Vrijednost jednog udjela na dan iskupa je utvrđena od </w:t>
      </w:r>
      <w:r w:rsidR="00962825" w:rsidRPr="00962825">
        <w:rPr>
          <w:rFonts w:ascii="Cambria" w:hAnsi="Cambria"/>
          <w:sz w:val="22"/>
          <w:szCs w:val="22"/>
          <w:lang w:val="sr-Latn-CS"/>
        </w:rPr>
        <w:t xml:space="preserve">5.5902 </w:t>
      </w:r>
      <w:r w:rsidR="00962825">
        <w:rPr>
          <w:rFonts w:ascii="Cambria" w:hAnsi="Cambria"/>
          <w:color w:val="000000" w:themeColor="text1"/>
          <w:sz w:val="22"/>
          <w:szCs w:val="22"/>
          <w:lang w:val="sr-Latn-CS"/>
        </w:rPr>
        <w:t>KM</w:t>
      </w:r>
      <w:r w:rsidRPr="00962825">
        <w:rPr>
          <w:rFonts w:ascii="Cambria" w:hAnsi="Cambria"/>
          <w:color w:val="000000" w:themeColor="text1"/>
          <w:sz w:val="22"/>
          <w:szCs w:val="22"/>
          <w:lang w:val="sr-Latn-CS"/>
        </w:rPr>
        <w:t xml:space="preserve"> </w:t>
      </w:r>
      <w:r w:rsidRPr="007D5BBB">
        <w:rPr>
          <w:rFonts w:ascii="Cambria" w:hAnsi="Cambria"/>
          <w:color w:val="000000" w:themeColor="text1"/>
          <w:sz w:val="22"/>
          <w:szCs w:val="22"/>
          <w:lang w:val="sr-Latn-CS"/>
        </w:rPr>
        <w:t xml:space="preserve">sa izlaznom provizijom od 20%. Iskupom udjela kapital je smanjen za </w:t>
      </w:r>
      <w:r w:rsidR="00492B8A" w:rsidRPr="00492B8A">
        <w:rPr>
          <w:rFonts w:ascii="Cambria" w:hAnsi="Cambria"/>
          <w:color w:val="000000" w:themeColor="text1"/>
          <w:sz w:val="22"/>
          <w:szCs w:val="22"/>
          <w:lang w:val="sr-Latn-CS"/>
        </w:rPr>
        <w:t xml:space="preserve">2,404,065.52 </w:t>
      </w:r>
      <w:r w:rsidRPr="007D5BBB">
        <w:rPr>
          <w:rFonts w:ascii="Cambria" w:hAnsi="Cambria"/>
          <w:color w:val="000000" w:themeColor="text1"/>
          <w:sz w:val="22"/>
          <w:szCs w:val="22"/>
          <w:lang w:val="sr-Latn-CS"/>
        </w:rPr>
        <w:t>KM.</w:t>
      </w:r>
    </w:p>
    <w:p w14:paraId="592B66C4" w14:textId="77777777" w:rsidR="007D5BBB" w:rsidRPr="007D5BBB" w:rsidRDefault="007D5BBB" w:rsidP="007D5BBB">
      <w:pPr>
        <w:jc w:val="both"/>
        <w:rPr>
          <w:rFonts w:ascii="Cambria" w:hAnsi="Cambria"/>
          <w:color w:val="000000" w:themeColor="text1"/>
          <w:sz w:val="22"/>
          <w:szCs w:val="22"/>
          <w:lang w:val="sr-Latn-CS"/>
        </w:rPr>
      </w:pPr>
    </w:p>
    <w:p w14:paraId="03CB36B2" w14:textId="4D487A62" w:rsidR="0033759C" w:rsidRDefault="007D5BBB" w:rsidP="007D5BBB">
      <w:pPr>
        <w:jc w:val="both"/>
        <w:rPr>
          <w:rFonts w:ascii="Cambria" w:hAnsi="Cambria"/>
          <w:color w:val="000000" w:themeColor="text1"/>
          <w:sz w:val="22"/>
          <w:szCs w:val="22"/>
          <w:lang w:val="sr-Latn-CS"/>
        </w:rPr>
      </w:pPr>
      <w:r w:rsidRPr="007D5BBB">
        <w:rPr>
          <w:rFonts w:ascii="Cambria" w:hAnsi="Cambria"/>
          <w:color w:val="000000" w:themeColor="text1"/>
          <w:sz w:val="22"/>
          <w:szCs w:val="22"/>
          <w:lang w:val="sr-Latn-CS"/>
        </w:rPr>
        <w:t xml:space="preserve">Vrijednost jednog udjela na dan izvještavanja je </w:t>
      </w:r>
      <w:r w:rsidR="00492B8A">
        <w:rPr>
          <w:rFonts w:ascii="Cambria" w:hAnsi="Cambria"/>
          <w:color w:val="000000" w:themeColor="text1"/>
          <w:sz w:val="22"/>
          <w:szCs w:val="22"/>
          <w:lang w:val="sr-Latn-CS"/>
        </w:rPr>
        <w:t>5,7739 KM</w:t>
      </w:r>
      <w:r w:rsidRPr="007D5BBB">
        <w:rPr>
          <w:rFonts w:ascii="Cambria" w:hAnsi="Cambria"/>
          <w:color w:val="000000" w:themeColor="text1"/>
          <w:sz w:val="22"/>
          <w:szCs w:val="22"/>
          <w:lang w:val="sr-Latn-CS"/>
        </w:rPr>
        <w:t>.</w:t>
      </w:r>
    </w:p>
    <w:p w14:paraId="41B600FB" w14:textId="77777777" w:rsidR="00492B8A" w:rsidRDefault="00492B8A" w:rsidP="0033759C">
      <w:pPr>
        <w:jc w:val="both"/>
        <w:rPr>
          <w:rFonts w:ascii="Cambria" w:hAnsi="Cambria"/>
          <w:color w:val="000000" w:themeColor="text1"/>
          <w:sz w:val="22"/>
          <w:szCs w:val="22"/>
          <w:lang w:val="sr-Latn-CS"/>
        </w:rPr>
      </w:pPr>
    </w:p>
    <w:p w14:paraId="25FE03C3" w14:textId="1AA0AF5A" w:rsidR="0033759C" w:rsidRDefault="0033759C" w:rsidP="0033759C">
      <w:pPr>
        <w:jc w:val="both"/>
        <w:rPr>
          <w:rFonts w:ascii="Cambria" w:hAnsi="Cambria"/>
          <w:color w:val="000000" w:themeColor="text1"/>
          <w:sz w:val="22"/>
          <w:szCs w:val="22"/>
          <w:lang w:val="sr-Latn-CS"/>
        </w:rPr>
      </w:pPr>
      <w:r>
        <w:rPr>
          <w:rFonts w:ascii="Cambria" w:hAnsi="Cambria"/>
          <w:color w:val="000000" w:themeColor="text1"/>
          <w:sz w:val="22"/>
          <w:szCs w:val="22"/>
          <w:lang w:val="sr-Latn-CS"/>
        </w:rPr>
        <w:t xml:space="preserve">Ostvareni </w:t>
      </w:r>
      <w:r w:rsidR="00492B8A">
        <w:rPr>
          <w:rFonts w:ascii="Cambria" w:hAnsi="Cambria"/>
          <w:color w:val="000000" w:themeColor="text1"/>
          <w:sz w:val="22"/>
          <w:szCs w:val="22"/>
          <w:lang w:val="sr-Latn-CS"/>
        </w:rPr>
        <w:t>do</w:t>
      </w:r>
      <w:r>
        <w:rPr>
          <w:rFonts w:ascii="Cambria" w:hAnsi="Cambria"/>
          <w:color w:val="000000" w:themeColor="text1"/>
          <w:sz w:val="22"/>
          <w:szCs w:val="22"/>
          <w:lang w:val="sr-Latn-CS"/>
        </w:rPr>
        <w:t xml:space="preserve">bitak u toku poslovne godine iznosi </w:t>
      </w:r>
      <w:r w:rsidR="00492B8A" w:rsidRPr="00492B8A">
        <w:rPr>
          <w:rFonts w:ascii="Cambria" w:hAnsi="Cambria"/>
          <w:color w:val="000000" w:themeColor="text1"/>
          <w:sz w:val="22"/>
          <w:szCs w:val="22"/>
          <w:lang w:val="sr-Latn-CS"/>
        </w:rPr>
        <w:t>274,419.34</w:t>
      </w:r>
      <w:r w:rsidR="00492B8A">
        <w:rPr>
          <w:rFonts w:ascii="Cambria" w:hAnsi="Cambria"/>
          <w:color w:val="000000" w:themeColor="text1"/>
          <w:sz w:val="22"/>
          <w:szCs w:val="22"/>
          <w:lang w:val="sr-Latn-CS"/>
        </w:rPr>
        <w:t xml:space="preserve"> </w:t>
      </w:r>
      <w:r>
        <w:rPr>
          <w:rFonts w:ascii="Cambria" w:hAnsi="Cambria"/>
          <w:color w:val="000000" w:themeColor="text1"/>
          <w:sz w:val="22"/>
          <w:szCs w:val="22"/>
          <w:lang w:val="sr-Latn-CS"/>
        </w:rPr>
        <w:t>KM.</w:t>
      </w:r>
    </w:p>
    <w:p w14:paraId="4E5EB0F0" w14:textId="77777777" w:rsidR="0033759C" w:rsidRDefault="0033759C" w:rsidP="0033759C">
      <w:pPr>
        <w:jc w:val="both"/>
        <w:rPr>
          <w:rFonts w:ascii="Cambria" w:hAnsi="Cambria"/>
          <w:color w:val="000000" w:themeColor="text1"/>
          <w:sz w:val="22"/>
          <w:szCs w:val="22"/>
          <w:lang w:val="sr-Latn-CS"/>
        </w:rPr>
      </w:pPr>
    </w:p>
    <w:p w14:paraId="21B6D183" w14:textId="77777777" w:rsidR="0033759C" w:rsidRPr="00575193" w:rsidRDefault="0033759C" w:rsidP="0033759C">
      <w:pPr>
        <w:jc w:val="both"/>
        <w:rPr>
          <w:rFonts w:ascii="Cambria" w:hAnsi="Cambria"/>
          <w:b/>
          <w:bCs/>
          <w:i/>
          <w:iCs/>
          <w:color w:val="000000" w:themeColor="text1"/>
          <w:sz w:val="22"/>
          <w:szCs w:val="22"/>
          <w:u w:val="single"/>
          <w:lang w:val="sr-Latn-CS"/>
        </w:rPr>
      </w:pPr>
      <w:r w:rsidRPr="00575193">
        <w:rPr>
          <w:rFonts w:ascii="Cambria" w:hAnsi="Cambria"/>
          <w:b/>
          <w:bCs/>
          <w:i/>
          <w:iCs/>
          <w:color w:val="000000" w:themeColor="text1"/>
          <w:sz w:val="22"/>
          <w:szCs w:val="22"/>
          <w:u w:val="single"/>
          <w:lang w:val="sr-Latn-CS"/>
        </w:rPr>
        <w:t>Bilans uspjeha</w:t>
      </w:r>
    </w:p>
    <w:p w14:paraId="7D905EC2" w14:textId="0EFE72D1" w:rsidR="0033759C" w:rsidRPr="00962825" w:rsidRDefault="0033759C" w:rsidP="0033759C">
      <w:pPr>
        <w:jc w:val="both"/>
        <w:rPr>
          <w:rFonts w:ascii="Cambria" w:hAnsi="Cambria"/>
          <w:sz w:val="22"/>
          <w:szCs w:val="22"/>
          <w:lang w:val="sr-Latn-BA"/>
        </w:rPr>
      </w:pPr>
      <w:r w:rsidRPr="00962825">
        <w:rPr>
          <w:rFonts w:ascii="Cambria" w:hAnsi="Cambria"/>
          <w:sz w:val="22"/>
          <w:szCs w:val="22"/>
          <w:lang w:val="sr-Latn-CS"/>
        </w:rPr>
        <w:t xml:space="preserve">Ostali poslovni prihodi u iznosu </w:t>
      </w:r>
      <w:r w:rsidR="00492B8A" w:rsidRPr="00962825">
        <w:rPr>
          <w:rFonts w:ascii="Cambria" w:hAnsi="Cambria"/>
          <w:sz w:val="22"/>
          <w:szCs w:val="22"/>
          <w:lang w:val="sr-Latn-CS"/>
        </w:rPr>
        <w:t>48</w:t>
      </w:r>
      <w:r w:rsidR="00962825" w:rsidRPr="00962825">
        <w:rPr>
          <w:rFonts w:ascii="Cambria" w:hAnsi="Cambria"/>
          <w:sz w:val="22"/>
          <w:szCs w:val="22"/>
          <w:lang w:val="sr-Latn-CS"/>
        </w:rPr>
        <w:t>0</w:t>
      </w:r>
      <w:r w:rsidR="00492B8A" w:rsidRPr="00962825">
        <w:rPr>
          <w:rFonts w:ascii="Cambria" w:hAnsi="Cambria"/>
          <w:sz w:val="22"/>
          <w:szCs w:val="22"/>
          <w:lang w:val="sr-Latn-CS"/>
        </w:rPr>
        <w:t>,</w:t>
      </w:r>
      <w:r w:rsidR="00962825" w:rsidRPr="00962825">
        <w:rPr>
          <w:rFonts w:ascii="Cambria" w:hAnsi="Cambria"/>
          <w:sz w:val="22"/>
          <w:szCs w:val="22"/>
          <w:lang w:val="sr-Latn-CS"/>
        </w:rPr>
        <w:t>083</w:t>
      </w:r>
      <w:r w:rsidR="00492B8A" w:rsidRPr="00962825">
        <w:rPr>
          <w:rFonts w:ascii="Cambria" w:hAnsi="Cambria"/>
          <w:sz w:val="22"/>
          <w:szCs w:val="22"/>
          <w:lang w:val="sr-Latn-CS"/>
        </w:rPr>
        <w:t>.</w:t>
      </w:r>
      <w:r w:rsidR="00962825" w:rsidRPr="00962825">
        <w:rPr>
          <w:rFonts w:ascii="Cambria" w:hAnsi="Cambria"/>
          <w:sz w:val="22"/>
          <w:szCs w:val="22"/>
          <w:lang w:val="sr-Latn-CS"/>
        </w:rPr>
        <w:t>11</w:t>
      </w:r>
      <w:r w:rsidR="00492B8A" w:rsidRPr="00962825">
        <w:rPr>
          <w:rFonts w:ascii="Cambria" w:hAnsi="Cambria"/>
          <w:sz w:val="22"/>
          <w:szCs w:val="22"/>
          <w:lang w:val="sr-Latn-CS"/>
        </w:rPr>
        <w:t xml:space="preserve"> </w:t>
      </w:r>
      <w:r w:rsidRPr="00962825">
        <w:rPr>
          <w:rFonts w:ascii="Cambria" w:hAnsi="Cambria"/>
          <w:sz w:val="22"/>
          <w:szCs w:val="22"/>
          <w:lang w:val="sr-Latn-CS"/>
        </w:rPr>
        <w:t xml:space="preserve">KM čini prihod </w:t>
      </w:r>
      <w:r w:rsidR="00492B8A" w:rsidRPr="00962825">
        <w:rPr>
          <w:rFonts w:ascii="Cambria" w:hAnsi="Cambria"/>
          <w:sz w:val="22"/>
          <w:szCs w:val="22"/>
          <w:lang w:val="sr-Latn-CS"/>
        </w:rPr>
        <w:t>od izlazne naknade ostvaren prilikom iskupa udjela u procentu 20% .</w:t>
      </w:r>
    </w:p>
    <w:p w14:paraId="26904651" w14:textId="77777777" w:rsidR="0033759C" w:rsidRDefault="0033759C" w:rsidP="0033759C">
      <w:pPr>
        <w:jc w:val="both"/>
        <w:rPr>
          <w:rFonts w:ascii="Cambria" w:hAnsi="Cambria"/>
          <w:color w:val="000000" w:themeColor="text1"/>
          <w:sz w:val="22"/>
          <w:szCs w:val="22"/>
          <w:lang w:val="sr-Latn-CS"/>
        </w:rPr>
      </w:pPr>
    </w:p>
    <w:p w14:paraId="07E6656D" w14:textId="52876848" w:rsidR="0033759C" w:rsidRDefault="0033759C" w:rsidP="0033759C">
      <w:pPr>
        <w:jc w:val="both"/>
        <w:rPr>
          <w:rFonts w:ascii="Cambria" w:hAnsi="Cambria"/>
          <w:color w:val="000000" w:themeColor="text1"/>
          <w:sz w:val="22"/>
          <w:szCs w:val="22"/>
          <w:lang w:val="sr-Latn-CS"/>
        </w:rPr>
      </w:pPr>
      <w:r>
        <w:rPr>
          <w:rFonts w:ascii="Cambria" w:hAnsi="Cambria"/>
          <w:color w:val="000000" w:themeColor="text1"/>
          <w:sz w:val="22"/>
          <w:szCs w:val="22"/>
          <w:lang w:val="sr-Latn-CS"/>
        </w:rPr>
        <w:t xml:space="preserve">Ostali poslovni rashodi u iznosu </w:t>
      </w:r>
      <w:r w:rsidR="00492B8A">
        <w:rPr>
          <w:rFonts w:ascii="Cambria" w:hAnsi="Cambria"/>
          <w:color w:val="000000" w:themeColor="text1"/>
          <w:sz w:val="22"/>
          <w:szCs w:val="22"/>
          <w:lang w:val="sr-Latn-CS"/>
        </w:rPr>
        <w:t>400,00 KM</w:t>
      </w:r>
      <w:r>
        <w:rPr>
          <w:rFonts w:ascii="Cambria" w:hAnsi="Cambria"/>
          <w:color w:val="000000" w:themeColor="text1"/>
          <w:sz w:val="22"/>
          <w:szCs w:val="22"/>
          <w:lang w:val="sr-Latn-CS"/>
        </w:rPr>
        <w:t xml:space="preserve">  čine </w:t>
      </w:r>
      <w:r w:rsidR="00492B8A">
        <w:rPr>
          <w:rFonts w:ascii="Cambria" w:hAnsi="Cambria"/>
          <w:color w:val="000000" w:themeColor="text1"/>
          <w:sz w:val="22"/>
          <w:szCs w:val="22"/>
          <w:lang w:val="sr-Latn-CS"/>
        </w:rPr>
        <w:t>refundirani troškovi advokatu</w:t>
      </w:r>
      <w:r w:rsidR="00962825">
        <w:rPr>
          <w:rFonts w:ascii="Cambria" w:hAnsi="Cambria"/>
          <w:color w:val="000000" w:themeColor="text1"/>
          <w:sz w:val="22"/>
          <w:szCs w:val="22"/>
          <w:lang w:val="sr-Latn-CS"/>
        </w:rPr>
        <w:t>.</w:t>
      </w:r>
    </w:p>
    <w:p w14:paraId="2CCDAB77" w14:textId="77777777" w:rsidR="0033759C" w:rsidRDefault="0033759C" w:rsidP="0033759C">
      <w:pPr>
        <w:jc w:val="both"/>
        <w:rPr>
          <w:rFonts w:ascii="Cambria" w:hAnsi="Cambria"/>
          <w:color w:val="000000" w:themeColor="text1"/>
          <w:sz w:val="22"/>
          <w:szCs w:val="22"/>
          <w:lang w:val="sr-Latn-CS"/>
        </w:rPr>
      </w:pPr>
    </w:p>
    <w:p w14:paraId="6937B5CA" w14:textId="77777777" w:rsidR="0033759C" w:rsidRDefault="0033759C" w:rsidP="0033759C">
      <w:pPr>
        <w:jc w:val="both"/>
        <w:rPr>
          <w:rFonts w:ascii="Cambria" w:hAnsi="Cambria"/>
          <w:color w:val="000000" w:themeColor="text1"/>
          <w:sz w:val="22"/>
          <w:szCs w:val="22"/>
          <w:lang w:val="sr-Latn-CS"/>
        </w:rPr>
      </w:pPr>
    </w:p>
    <w:p w14:paraId="1946041D" w14:textId="77777777" w:rsidR="0033759C" w:rsidRPr="00DF46C0" w:rsidRDefault="0033759C" w:rsidP="0033759C">
      <w:pPr>
        <w:rPr>
          <w:rStyle w:val="FontStyle11"/>
          <w:rFonts w:ascii="Tahoma" w:hAnsi="Tahoma" w:cs="Tahoma"/>
          <w:i/>
          <w:sz w:val="20"/>
          <w:szCs w:val="20"/>
          <w:u w:val="single"/>
          <w:lang w:val="sr-Latn-CS"/>
        </w:rPr>
      </w:pPr>
      <w:r w:rsidRPr="00DF46C0">
        <w:rPr>
          <w:rStyle w:val="FontStyle11"/>
          <w:rFonts w:ascii="Tahoma" w:hAnsi="Tahoma" w:cs="Tahoma"/>
          <w:i/>
          <w:sz w:val="20"/>
          <w:szCs w:val="20"/>
          <w:u w:val="single"/>
          <w:lang w:val="sr-Latn-CS"/>
        </w:rPr>
        <w:t>Izvještaj o promjenama neto imovine</w:t>
      </w:r>
    </w:p>
    <w:p w14:paraId="057B1862" w14:textId="77777777" w:rsidR="00FF353A" w:rsidRDefault="0033759C" w:rsidP="0033759C">
      <w:pPr>
        <w:jc w:val="both"/>
        <w:rPr>
          <w:rStyle w:val="FontStyle11"/>
          <w:rFonts w:ascii="Tahoma" w:hAnsi="Tahoma" w:cs="Tahoma"/>
          <w:b w:val="0"/>
          <w:bCs w:val="0"/>
          <w:sz w:val="20"/>
          <w:szCs w:val="20"/>
          <w:lang w:val="sr-Latn-CS"/>
        </w:rPr>
      </w:pPr>
      <w:r w:rsidRPr="00492B8A">
        <w:rPr>
          <w:rStyle w:val="FontStyle11"/>
          <w:rFonts w:ascii="Tahoma" w:hAnsi="Tahoma" w:cs="Tahoma"/>
          <w:b w:val="0"/>
          <w:bCs w:val="0"/>
          <w:sz w:val="20"/>
          <w:szCs w:val="20"/>
          <w:lang w:val="sr-Latn-CS"/>
        </w:rPr>
        <w:t>U posmatranom periodu imovina O</w:t>
      </w:r>
      <w:r w:rsidR="00492B8A">
        <w:rPr>
          <w:rStyle w:val="FontStyle11"/>
          <w:rFonts w:ascii="Tahoma" w:hAnsi="Tahoma" w:cs="Tahoma"/>
          <w:b w:val="0"/>
          <w:bCs w:val="0"/>
          <w:sz w:val="20"/>
          <w:szCs w:val="20"/>
          <w:lang w:val="sr-Latn-CS"/>
        </w:rPr>
        <w:t>A</w:t>
      </w:r>
      <w:r w:rsidRPr="00492B8A">
        <w:rPr>
          <w:rStyle w:val="FontStyle11"/>
          <w:rFonts w:ascii="Tahoma" w:hAnsi="Tahoma" w:cs="Tahoma"/>
          <w:b w:val="0"/>
          <w:bCs w:val="0"/>
          <w:sz w:val="20"/>
          <w:szCs w:val="20"/>
          <w:lang w:val="sr-Latn-CS"/>
        </w:rPr>
        <w:t xml:space="preserve">IF </w:t>
      </w:r>
      <w:r w:rsidR="00492B8A">
        <w:rPr>
          <w:rStyle w:val="FontStyle11"/>
          <w:rFonts w:ascii="Tahoma" w:hAnsi="Tahoma" w:cs="Tahoma"/>
          <w:b w:val="0"/>
          <w:bCs w:val="0"/>
          <w:sz w:val="20"/>
          <w:szCs w:val="20"/>
          <w:lang w:val="sr-Latn-CS"/>
        </w:rPr>
        <w:t>Adriatic Balanced</w:t>
      </w:r>
      <w:r w:rsidRPr="00492B8A">
        <w:rPr>
          <w:rStyle w:val="FontStyle11"/>
          <w:rFonts w:ascii="Tahoma" w:hAnsi="Tahoma" w:cs="Tahoma"/>
          <w:b w:val="0"/>
          <w:bCs w:val="0"/>
          <w:sz w:val="20"/>
          <w:szCs w:val="20"/>
          <w:lang w:val="sr-Latn-CS"/>
        </w:rPr>
        <w:t xml:space="preserve"> </w:t>
      </w:r>
      <w:r w:rsidR="00FF353A">
        <w:rPr>
          <w:rStyle w:val="FontStyle11"/>
          <w:rFonts w:ascii="Tahoma" w:hAnsi="Tahoma" w:cs="Tahoma"/>
          <w:b w:val="0"/>
          <w:bCs w:val="0"/>
          <w:sz w:val="20"/>
          <w:szCs w:val="20"/>
          <w:lang w:val="sr-Latn-CS"/>
        </w:rPr>
        <w:t xml:space="preserve">smanjena </w:t>
      </w:r>
      <w:r w:rsidRPr="00492B8A">
        <w:rPr>
          <w:rStyle w:val="FontStyle11"/>
          <w:rFonts w:ascii="Tahoma" w:hAnsi="Tahoma" w:cs="Tahoma"/>
          <w:b w:val="0"/>
          <w:bCs w:val="0"/>
          <w:sz w:val="20"/>
          <w:szCs w:val="20"/>
          <w:lang w:val="sr-Latn-CS"/>
        </w:rPr>
        <w:t xml:space="preserve"> je za </w:t>
      </w:r>
      <w:r w:rsidR="00FF353A">
        <w:rPr>
          <w:rStyle w:val="FontStyle11"/>
          <w:rFonts w:ascii="Tahoma" w:hAnsi="Tahoma" w:cs="Tahoma"/>
          <w:b w:val="0"/>
          <w:bCs w:val="0"/>
          <w:sz w:val="20"/>
          <w:szCs w:val="20"/>
          <w:lang w:val="sr-Latn-CS"/>
        </w:rPr>
        <w:t>1.215.661KM</w:t>
      </w:r>
      <w:r w:rsidRPr="00492B8A">
        <w:rPr>
          <w:rStyle w:val="FontStyle11"/>
          <w:rFonts w:ascii="Tahoma" w:hAnsi="Tahoma" w:cs="Tahoma"/>
          <w:b w:val="0"/>
          <w:bCs w:val="0"/>
          <w:sz w:val="20"/>
          <w:szCs w:val="20"/>
          <w:lang w:val="sr-Latn-CS"/>
        </w:rPr>
        <w:t xml:space="preserve"> KM , </w:t>
      </w:r>
      <w:r w:rsidR="00FF353A">
        <w:rPr>
          <w:rStyle w:val="FontStyle11"/>
          <w:rFonts w:ascii="Tahoma" w:hAnsi="Tahoma" w:cs="Tahoma"/>
          <w:b w:val="0"/>
          <w:bCs w:val="0"/>
          <w:sz w:val="20"/>
          <w:szCs w:val="20"/>
          <w:lang w:val="sr-Latn-CS"/>
        </w:rPr>
        <w:t xml:space="preserve"> i to</w:t>
      </w:r>
    </w:p>
    <w:p w14:paraId="2E189E6F" w14:textId="61456066" w:rsidR="0033759C" w:rsidRDefault="00FF353A" w:rsidP="0033759C">
      <w:pPr>
        <w:jc w:val="both"/>
        <w:rPr>
          <w:rStyle w:val="FontStyle11"/>
          <w:rFonts w:ascii="Tahoma" w:hAnsi="Tahoma" w:cs="Tahoma"/>
          <w:b w:val="0"/>
          <w:bCs w:val="0"/>
          <w:sz w:val="20"/>
          <w:szCs w:val="20"/>
          <w:lang w:val="sr-Latn-CS"/>
        </w:rPr>
      </w:pPr>
      <w:r>
        <w:rPr>
          <w:rStyle w:val="FontStyle11"/>
          <w:rFonts w:ascii="Tahoma" w:hAnsi="Tahoma" w:cs="Tahoma"/>
          <w:b w:val="0"/>
          <w:bCs w:val="0"/>
          <w:sz w:val="20"/>
          <w:szCs w:val="20"/>
          <w:lang w:val="sr-Latn-CS"/>
        </w:rPr>
        <w:t>-</w:t>
      </w:r>
      <w:r>
        <w:rPr>
          <w:rStyle w:val="FontStyle11"/>
          <w:rFonts w:ascii="Tahoma" w:hAnsi="Tahoma" w:cs="Tahoma"/>
          <w:b w:val="0"/>
          <w:bCs w:val="0"/>
          <w:sz w:val="20"/>
          <w:szCs w:val="20"/>
          <w:lang w:val="sr-Latn-CS"/>
        </w:rPr>
        <w:tab/>
        <w:t xml:space="preserve">povećanje  za 1.188.405 usljed poslovanja fondom i </w:t>
      </w:r>
    </w:p>
    <w:p w14:paraId="3D900D3C" w14:textId="22A36602" w:rsidR="00FF353A" w:rsidRPr="00492B8A" w:rsidRDefault="00FF353A" w:rsidP="0033759C">
      <w:pPr>
        <w:jc w:val="both"/>
        <w:rPr>
          <w:rStyle w:val="FontStyle11"/>
          <w:rFonts w:ascii="Tahoma" w:hAnsi="Tahoma" w:cs="Tahoma"/>
          <w:b w:val="0"/>
          <w:bCs w:val="0"/>
          <w:sz w:val="20"/>
          <w:szCs w:val="20"/>
          <w:lang w:val="sr-Latn-CS"/>
        </w:rPr>
      </w:pPr>
      <w:r>
        <w:rPr>
          <w:rStyle w:val="FontStyle11"/>
          <w:rFonts w:ascii="Tahoma" w:hAnsi="Tahoma" w:cs="Tahoma"/>
          <w:b w:val="0"/>
          <w:bCs w:val="0"/>
          <w:sz w:val="20"/>
          <w:szCs w:val="20"/>
          <w:lang w:val="sr-Latn-CS"/>
        </w:rPr>
        <w:t>-</w:t>
      </w:r>
      <w:r>
        <w:rPr>
          <w:rStyle w:val="FontStyle11"/>
          <w:rFonts w:ascii="Tahoma" w:hAnsi="Tahoma" w:cs="Tahoma"/>
          <w:b w:val="0"/>
          <w:bCs w:val="0"/>
          <w:sz w:val="20"/>
          <w:szCs w:val="20"/>
          <w:lang w:val="sr-Latn-CS"/>
        </w:rPr>
        <w:tab/>
        <w:t>smanjenje za 2.404.066 KM zbog iskupa udjela.</w:t>
      </w:r>
    </w:p>
    <w:p w14:paraId="0182D042" w14:textId="77777777" w:rsidR="0033759C" w:rsidRDefault="0033759C" w:rsidP="0033759C">
      <w:pPr>
        <w:pStyle w:val="Header"/>
        <w:ind w:left="2880"/>
        <w:jc w:val="both"/>
        <w:rPr>
          <w:rStyle w:val="FontStyle11"/>
          <w:rFonts w:ascii="Tahoma" w:hAnsi="Tahoma" w:cs="Tahoma"/>
          <w:b w:val="0"/>
          <w:sz w:val="20"/>
          <w:lang w:val="sr-Latn-CS"/>
        </w:rPr>
      </w:pPr>
    </w:p>
    <w:p w14:paraId="127C35D7" w14:textId="77777777" w:rsidR="0033759C" w:rsidRPr="00DF46C0" w:rsidRDefault="0033759C" w:rsidP="0033759C">
      <w:pPr>
        <w:pStyle w:val="Header"/>
        <w:tabs>
          <w:tab w:val="clear" w:pos="4320"/>
          <w:tab w:val="clear" w:pos="8640"/>
        </w:tabs>
        <w:rPr>
          <w:rFonts w:ascii="Tahoma" w:hAnsi="Tahoma" w:cs="Tahoma"/>
          <w:b/>
          <w:i/>
          <w:sz w:val="20"/>
          <w:u w:val="single"/>
          <w:lang w:val="sr-Latn-CS"/>
        </w:rPr>
      </w:pPr>
      <w:r w:rsidRPr="00DF46C0">
        <w:rPr>
          <w:rFonts w:ascii="Tahoma" w:hAnsi="Tahoma" w:cs="Tahoma"/>
          <w:b/>
          <w:i/>
          <w:sz w:val="20"/>
          <w:u w:val="single"/>
          <w:lang w:val="sr-Latn-CS"/>
        </w:rPr>
        <w:t>Izvještaj o transakcijama sa povezanim licima</w:t>
      </w:r>
    </w:p>
    <w:p w14:paraId="20FE03FC" w14:textId="623BA724" w:rsidR="0033759C" w:rsidRDefault="0033759C" w:rsidP="00FF353A">
      <w:pPr>
        <w:pStyle w:val="Header"/>
        <w:tabs>
          <w:tab w:val="clear" w:pos="4320"/>
          <w:tab w:val="clear" w:pos="8640"/>
        </w:tabs>
        <w:rPr>
          <w:rFonts w:ascii="Tahoma" w:hAnsi="Tahoma" w:cs="Tahoma"/>
          <w:bCs/>
          <w:iCs/>
          <w:sz w:val="20"/>
          <w:lang w:val="sr-Latn-CS"/>
        </w:rPr>
      </w:pPr>
      <w:r w:rsidRPr="00DF46C0">
        <w:rPr>
          <w:rFonts w:ascii="Tahoma" w:hAnsi="Tahoma" w:cs="Tahoma"/>
          <w:sz w:val="20"/>
          <w:lang w:val="sr-Latn-CS"/>
        </w:rPr>
        <w:t xml:space="preserve">Kako je Prospektom utvrđeno </w:t>
      </w:r>
      <w:r>
        <w:rPr>
          <w:rFonts w:ascii="Tahoma" w:hAnsi="Tahoma" w:cs="Tahoma"/>
          <w:sz w:val="20"/>
          <w:lang w:val="sr-Latn-CS"/>
        </w:rPr>
        <w:t>,</w:t>
      </w:r>
      <w:r w:rsidRPr="00DF46C0">
        <w:rPr>
          <w:rFonts w:ascii="Tahoma" w:hAnsi="Tahoma" w:cs="Tahoma"/>
          <w:sz w:val="20"/>
          <w:lang w:val="sr-Latn-CS"/>
        </w:rPr>
        <w:t xml:space="preserve"> provizija za upravljanje 3,5% jedini trošak Fonda je provizija Društvu</w:t>
      </w:r>
      <w:r>
        <w:rPr>
          <w:rFonts w:ascii="Tahoma" w:hAnsi="Tahoma" w:cs="Tahoma"/>
          <w:sz w:val="20"/>
          <w:lang w:val="sr-Latn-CS"/>
        </w:rPr>
        <w:t xml:space="preserve">, a </w:t>
      </w:r>
      <w:r w:rsidRPr="00DF46C0">
        <w:rPr>
          <w:rFonts w:ascii="Tahoma" w:hAnsi="Tahoma" w:cs="Tahoma"/>
          <w:sz w:val="20"/>
          <w:lang w:val="sr-Latn-CS"/>
        </w:rPr>
        <w:t xml:space="preserve"> </w:t>
      </w:r>
      <w:r>
        <w:rPr>
          <w:rFonts w:ascii="Tahoma" w:hAnsi="Tahoma" w:cs="Tahoma"/>
          <w:sz w:val="20"/>
          <w:lang w:val="sr-Latn-CS"/>
        </w:rPr>
        <w:t>o</w:t>
      </w:r>
      <w:r>
        <w:rPr>
          <w:rFonts w:ascii="Tahoma" w:hAnsi="Tahoma" w:cs="Tahoma"/>
          <w:bCs/>
          <w:iCs/>
          <w:sz w:val="20"/>
          <w:lang w:val="sr-Latn-CS"/>
        </w:rPr>
        <w:t xml:space="preserve">bračunata upravljačka provizija za period 01.01.-30.06.2019. god je </w:t>
      </w:r>
      <w:r w:rsidR="00FF353A" w:rsidRPr="00FF353A">
        <w:rPr>
          <w:rFonts w:ascii="Tahoma" w:hAnsi="Tahoma" w:cs="Tahoma"/>
          <w:bCs/>
          <w:iCs/>
          <w:sz w:val="20"/>
          <w:lang w:val="sr-Latn-CS"/>
        </w:rPr>
        <w:t>142,715.37</w:t>
      </w:r>
      <w:r w:rsidR="00FF353A">
        <w:rPr>
          <w:rFonts w:ascii="Tahoma" w:hAnsi="Tahoma" w:cs="Tahoma"/>
          <w:bCs/>
          <w:iCs/>
          <w:sz w:val="20"/>
          <w:lang w:val="sr-Latn-CS"/>
        </w:rPr>
        <w:t xml:space="preserve"> KM.</w:t>
      </w:r>
    </w:p>
    <w:p w14:paraId="2587FDA0" w14:textId="6D19AC07" w:rsidR="00FF353A" w:rsidRDefault="00FF353A" w:rsidP="00FF353A">
      <w:pPr>
        <w:pStyle w:val="Header"/>
        <w:tabs>
          <w:tab w:val="clear" w:pos="4320"/>
          <w:tab w:val="clear" w:pos="8640"/>
        </w:tabs>
        <w:rPr>
          <w:rFonts w:ascii="Tahoma" w:hAnsi="Tahoma" w:cs="Tahoma"/>
          <w:bCs/>
          <w:iCs/>
          <w:sz w:val="20"/>
          <w:lang w:val="sr-Latn-CS"/>
        </w:rPr>
      </w:pPr>
    </w:p>
    <w:p w14:paraId="36A0F015" w14:textId="77777777" w:rsidR="00FF353A" w:rsidRPr="00DF46C0" w:rsidRDefault="00FF353A" w:rsidP="00FF353A">
      <w:pPr>
        <w:pStyle w:val="Header"/>
        <w:tabs>
          <w:tab w:val="clear" w:pos="4320"/>
          <w:tab w:val="clear" w:pos="8640"/>
        </w:tabs>
        <w:rPr>
          <w:rFonts w:ascii="Tahoma" w:hAnsi="Tahoma" w:cs="Tahoma"/>
          <w:sz w:val="20"/>
          <w:lang w:val="sr-Latn-CS"/>
        </w:rPr>
      </w:pPr>
    </w:p>
    <w:p w14:paraId="4BEBA566" w14:textId="628B4506" w:rsidR="0033759C" w:rsidRDefault="000F7254" w:rsidP="0033759C">
      <w:pPr>
        <w:jc w:val="both"/>
        <w:rPr>
          <w:rFonts w:ascii="Cambria" w:hAnsi="Cambria"/>
          <w:b/>
          <w:bCs/>
          <w:sz w:val="22"/>
          <w:szCs w:val="22"/>
          <w:lang w:val="sr-Latn-CS"/>
        </w:rPr>
      </w:pPr>
      <w:r>
        <w:rPr>
          <w:rFonts w:ascii="Cambria" w:hAnsi="Cambria"/>
          <w:b/>
          <w:bCs/>
          <w:sz w:val="22"/>
          <w:szCs w:val="22"/>
          <w:lang w:val="sr-Latn-CS"/>
        </w:rPr>
        <w:t>5.</w:t>
      </w:r>
      <w:r>
        <w:rPr>
          <w:rFonts w:ascii="Cambria" w:hAnsi="Cambria"/>
          <w:b/>
          <w:bCs/>
          <w:sz w:val="22"/>
          <w:szCs w:val="22"/>
          <w:lang w:val="sr-Latn-CS"/>
        </w:rPr>
        <w:tab/>
      </w:r>
      <w:r w:rsidR="0033759C" w:rsidRPr="00575193">
        <w:rPr>
          <w:rFonts w:ascii="Cambria" w:hAnsi="Cambria"/>
          <w:b/>
          <w:bCs/>
          <w:sz w:val="22"/>
          <w:szCs w:val="22"/>
          <w:lang w:val="sr-Latn-CS"/>
        </w:rPr>
        <w:t>DODATNE  INFORMACIJE</w:t>
      </w:r>
    </w:p>
    <w:p w14:paraId="13E3DA63" w14:textId="77777777" w:rsidR="000F7254" w:rsidRPr="00575193" w:rsidRDefault="000F7254" w:rsidP="0033759C">
      <w:pPr>
        <w:jc w:val="both"/>
        <w:rPr>
          <w:rFonts w:ascii="Cambria" w:hAnsi="Cambria"/>
          <w:b/>
          <w:bCs/>
          <w:sz w:val="22"/>
          <w:szCs w:val="22"/>
          <w:lang w:val="sr-Latn-CS"/>
        </w:rPr>
      </w:pPr>
    </w:p>
    <w:p w14:paraId="2A352581" w14:textId="77777777" w:rsidR="0033759C" w:rsidRPr="00575193" w:rsidRDefault="0033759C" w:rsidP="0033759C">
      <w:pPr>
        <w:ind w:left="720"/>
        <w:jc w:val="both"/>
        <w:rPr>
          <w:rFonts w:ascii="Cambria" w:hAnsi="Cambria"/>
          <w:b/>
          <w:bCs/>
          <w:sz w:val="22"/>
          <w:szCs w:val="22"/>
          <w:lang w:val="sr-Latn-CS"/>
        </w:rPr>
      </w:pPr>
    </w:p>
    <w:p w14:paraId="53EC8B79" w14:textId="77777777" w:rsidR="0033759C" w:rsidRDefault="0033759C" w:rsidP="0033759C">
      <w:pPr>
        <w:jc w:val="both"/>
        <w:rPr>
          <w:rFonts w:ascii="Cambria" w:hAnsi="Cambria"/>
          <w:b/>
          <w:bCs/>
          <w:sz w:val="22"/>
          <w:szCs w:val="22"/>
          <w:lang w:val="sr-Latn-CS"/>
        </w:rPr>
      </w:pPr>
      <w:r w:rsidRPr="00575193">
        <w:rPr>
          <w:rFonts w:ascii="Cambria" w:hAnsi="Cambria"/>
          <w:b/>
          <w:bCs/>
          <w:sz w:val="22"/>
          <w:szCs w:val="22"/>
          <w:lang w:val="sr-Latn-CS"/>
        </w:rPr>
        <w:t>Pokazatelj troškova</w:t>
      </w:r>
      <w:r w:rsidRPr="00EE33EC">
        <w:rPr>
          <w:rFonts w:ascii="Cambria" w:hAnsi="Cambria"/>
          <w:b/>
          <w:bCs/>
          <w:sz w:val="22"/>
          <w:szCs w:val="22"/>
          <w:lang w:val="sr-Latn-CS"/>
        </w:rPr>
        <w:t xml:space="preserve"> za obračunski period</w:t>
      </w:r>
    </w:p>
    <w:p w14:paraId="34AF70FB" w14:textId="77777777" w:rsidR="0033759C" w:rsidRDefault="0033759C" w:rsidP="0033759C">
      <w:pPr>
        <w:jc w:val="both"/>
        <w:rPr>
          <w:rFonts w:ascii="Cambria" w:hAnsi="Cambria"/>
          <w:b/>
          <w:bCs/>
          <w:sz w:val="22"/>
          <w:szCs w:val="22"/>
          <w:lang w:val="sr-Latn-CS"/>
        </w:rPr>
      </w:pPr>
    </w:p>
    <w:p w14:paraId="498E26B9" w14:textId="77777777" w:rsidR="0033759C" w:rsidRPr="00EE33EC" w:rsidRDefault="0033759C" w:rsidP="0033759C">
      <w:pPr>
        <w:keepNext/>
        <w:outlineLvl w:val="6"/>
        <w:rPr>
          <w:rFonts w:ascii="Cambria" w:hAnsi="Cambria"/>
          <w:sz w:val="22"/>
          <w:szCs w:val="22"/>
          <w:lang w:val="sr-Latn-CS"/>
        </w:rPr>
      </w:pPr>
      <w:r w:rsidRPr="00EE33EC">
        <w:rPr>
          <w:rFonts w:ascii="Cambria" w:hAnsi="Cambria"/>
          <w:sz w:val="22"/>
          <w:szCs w:val="22"/>
          <w:lang w:val="sr-Latn-CS"/>
        </w:rPr>
        <w:t>Ukupna naknada za upravljanje + ukupni troškovi iz</w:t>
      </w:r>
    </w:p>
    <w:p w14:paraId="6D70635E" w14:textId="753FBD03" w:rsidR="0033759C" w:rsidRPr="00EE33EC" w:rsidRDefault="0033759C" w:rsidP="0033759C">
      <w:pPr>
        <w:keepNext/>
        <w:outlineLvl w:val="6"/>
        <w:rPr>
          <w:rFonts w:ascii="Cambria" w:hAnsi="Cambria"/>
          <w:sz w:val="22"/>
          <w:szCs w:val="22"/>
          <w:lang w:val="sr-Latn-CS"/>
        </w:rPr>
      </w:pPr>
      <w:r w:rsidRPr="00EE33EC">
        <w:rPr>
          <w:rFonts w:ascii="Cambria" w:hAnsi="Cambria"/>
          <w:sz w:val="22"/>
          <w:szCs w:val="22"/>
          <w:u w:val="single"/>
          <w:lang w:val="sr-Latn-CS"/>
        </w:rPr>
        <w:t xml:space="preserve">Člana 95. osim troškova iz stava 1.,tačke b,e, i z_ </w:t>
      </w:r>
      <w:r>
        <w:rPr>
          <w:rFonts w:ascii="Cambria" w:hAnsi="Cambria"/>
          <w:sz w:val="22"/>
          <w:szCs w:val="22"/>
          <w:u w:val="single"/>
          <w:lang w:val="sr-Latn-CS"/>
        </w:rPr>
        <w:t xml:space="preserve">           </w:t>
      </w:r>
      <w:r w:rsidRPr="00EE33EC">
        <w:rPr>
          <w:rFonts w:ascii="Cambria" w:hAnsi="Cambria"/>
          <w:sz w:val="22"/>
          <w:szCs w:val="22"/>
          <w:lang w:val="sr-Latn-CS"/>
        </w:rPr>
        <w:t xml:space="preserve">=  </w:t>
      </w:r>
      <w:r w:rsidRPr="00EE33EC">
        <w:rPr>
          <w:rFonts w:ascii="Cambria" w:hAnsi="Cambria"/>
          <w:sz w:val="22"/>
          <w:szCs w:val="22"/>
          <w:u w:val="single"/>
          <w:lang w:val="sr-Latn-CS"/>
        </w:rPr>
        <w:t xml:space="preserve">     </w:t>
      </w:r>
      <w:r w:rsidR="00FF353A" w:rsidRPr="00FF353A">
        <w:rPr>
          <w:rFonts w:ascii="Cambria" w:hAnsi="Cambria"/>
          <w:sz w:val="22"/>
          <w:szCs w:val="22"/>
          <w:u w:val="single"/>
          <w:lang w:val="sr-Latn-CS"/>
        </w:rPr>
        <w:t>142,715.37</w:t>
      </w:r>
      <w:r w:rsidRPr="00EE33EC">
        <w:rPr>
          <w:rFonts w:ascii="Cambria" w:hAnsi="Cambria"/>
          <w:sz w:val="22"/>
          <w:szCs w:val="22"/>
          <w:u w:val="single"/>
          <w:lang w:val="sr-Latn-CS"/>
        </w:rPr>
        <w:t>_</w:t>
      </w:r>
      <w:r w:rsidRPr="00EE33EC">
        <w:rPr>
          <w:rFonts w:ascii="Cambria" w:hAnsi="Cambria"/>
          <w:sz w:val="22"/>
          <w:szCs w:val="22"/>
          <w:lang w:val="sr-Latn-CS"/>
        </w:rPr>
        <w:t xml:space="preserve">   =  1,</w:t>
      </w:r>
      <w:r w:rsidR="00FF353A">
        <w:rPr>
          <w:rFonts w:ascii="Cambria" w:hAnsi="Cambria"/>
          <w:sz w:val="22"/>
          <w:szCs w:val="22"/>
          <w:lang w:val="sr-Latn-CS"/>
        </w:rPr>
        <w:t>6585</w:t>
      </w:r>
      <w:r w:rsidRPr="00EE33EC">
        <w:rPr>
          <w:rFonts w:ascii="Cambria" w:hAnsi="Cambria"/>
          <w:sz w:val="22"/>
          <w:szCs w:val="22"/>
          <w:lang w:val="sr-Latn-CS"/>
        </w:rPr>
        <w:t xml:space="preserve">  %</w:t>
      </w:r>
    </w:p>
    <w:p w14:paraId="0BA0F707" w14:textId="21B16482" w:rsidR="0033759C" w:rsidRPr="00EE33EC" w:rsidRDefault="0033759C" w:rsidP="0033759C">
      <w:pPr>
        <w:rPr>
          <w:rFonts w:ascii="Cambria" w:hAnsi="Cambria"/>
          <w:sz w:val="22"/>
          <w:szCs w:val="22"/>
        </w:rPr>
      </w:pPr>
      <w:r w:rsidRPr="00EE33EC">
        <w:rPr>
          <w:rFonts w:ascii="Cambria" w:hAnsi="Cambria"/>
          <w:sz w:val="22"/>
          <w:szCs w:val="22"/>
          <w:lang w:val="sr-Latn-CS"/>
        </w:rPr>
        <w:t xml:space="preserve">Prosječna neto vrijednost imovine                            </w:t>
      </w:r>
      <w:r>
        <w:rPr>
          <w:rFonts w:ascii="Cambria" w:hAnsi="Cambria"/>
          <w:sz w:val="22"/>
          <w:szCs w:val="22"/>
          <w:lang w:val="sr-Latn-CS"/>
        </w:rPr>
        <w:t xml:space="preserve">              </w:t>
      </w:r>
      <w:r w:rsidR="00C82074">
        <w:rPr>
          <w:rFonts w:ascii="Cambria" w:hAnsi="Cambria"/>
          <w:sz w:val="22"/>
          <w:szCs w:val="22"/>
          <w:lang w:val="sr-Latn-CS"/>
        </w:rPr>
        <w:t xml:space="preserve">  </w:t>
      </w:r>
      <w:r w:rsidRPr="00EE33EC">
        <w:rPr>
          <w:rFonts w:ascii="Cambria" w:hAnsi="Cambria"/>
          <w:sz w:val="22"/>
          <w:szCs w:val="22"/>
          <w:lang w:val="sr-Latn-CS"/>
        </w:rPr>
        <w:t xml:space="preserve"> </w:t>
      </w:r>
      <w:r w:rsidR="00FF353A" w:rsidRPr="00FF353A">
        <w:rPr>
          <w:rFonts w:ascii="Cambria" w:hAnsi="Cambria"/>
          <w:sz w:val="22"/>
          <w:szCs w:val="22"/>
        </w:rPr>
        <w:t>8</w:t>
      </w:r>
      <w:r w:rsidR="00FF353A">
        <w:rPr>
          <w:rFonts w:ascii="Cambria" w:hAnsi="Cambria"/>
          <w:sz w:val="22"/>
          <w:szCs w:val="22"/>
        </w:rPr>
        <w:t>.</w:t>
      </w:r>
      <w:r w:rsidR="00FF353A" w:rsidRPr="00FF353A">
        <w:rPr>
          <w:rFonts w:ascii="Cambria" w:hAnsi="Cambria"/>
          <w:sz w:val="22"/>
          <w:szCs w:val="22"/>
        </w:rPr>
        <w:t>604</w:t>
      </w:r>
      <w:r w:rsidR="00FF353A">
        <w:rPr>
          <w:rFonts w:ascii="Cambria" w:hAnsi="Cambria"/>
          <w:sz w:val="22"/>
          <w:szCs w:val="22"/>
        </w:rPr>
        <w:t>.</w:t>
      </w:r>
      <w:r w:rsidR="00FF353A" w:rsidRPr="00FF353A">
        <w:rPr>
          <w:rFonts w:ascii="Cambria" w:hAnsi="Cambria"/>
          <w:sz w:val="22"/>
          <w:szCs w:val="22"/>
        </w:rPr>
        <w:t>895</w:t>
      </w:r>
      <w:r w:rsidR="00FF353A">
        <w:rPr>
          <w:rFonts w:ascii="Cambria" w:hAnsi="Cambria"/>
          <w:sz w:val="22"/>
          <w:szCs w:val="22"/>
        </w:rPr>
        <w:t>,</w:t>
      </w:r>
      <w:r w:rsidR="00FF353A" w:rsidRPr="00FF353A">
        <w:rPr>
          <w:rFonts w:ascii="Cambria" w:hAnsi="Cambria"/>
          <w:sz w:val="22"/>
          <w:szCs w:val="22"/>
        </w:rPr>
        <w:t>98</w:t>
      </w:r>
    </w:p>
    <w:p w14:paraId="39316DFB" w14:textId="273DCE53" w:rsidR="0033759C" w:rsidRDefault="0033759C" w:rsidP="0033759C">
      <w:pPr>
        <w:rPr>
          <w:rFonts w:ascii="Cambria" w:hAnsi="Cambria"/>
          <w:sz w:val="22"/>
          <w:szCs w:val="22"/>
        </w:rPr>
      </w:pPr>
    </w:p>
    <w:p w14:paraId="09210F23" w14:textId="77777777" w:rsidR="000F7254" w:rsidRPr="00EE33EC" w:rsidRDefault="000F7254" w:rsidP="0033759C">
      <w:pPr>
        <w:rPr>
          <w:rFonts w:ascii="Cambria" w:hAnsi="Cambria"/>
          <w:sz w:val="22"/>
          <w:szCs w:val="22"/>
        </w:rPr>
      </w:pPr>
    </w:p>
    <w:p w14:paraId="385516FE" w14:textId="77777777" w:rsidR="0033759C" w:rsidRPr="00EE33EC" w:rsidRDefault="0033759C" w:rsidP="0033759C">
      <w:pPr>
        <w:rPr>
          <w:rFonts w:ascii="Cambria" w:hAnsi="Cambria"/>
          <w:b/>
          <w:sz w:val="22"/>
          <w:szCs w:val="22"/>
          <w:lang w:val="sr-Latn-CS"/>
        </w:rPr>
      </w:pPr>
      <w:r w:rsidRPr="00EE33EC">
        <w:rPr>
          <w:rFonts w:ascii="Cambria" w:hAnsi="Cambria"/>
          <w:b/>
          <w:sz w:val="22"/>
          <w:szCs w:val="22"/>
          <w:lang w:val="sr-Latn-CS"/>
        </w:rPr>
        <w:lastRenderedPageBreak/>
        <w:t>Pokazatelj berzanskih posrednika u trgovini hartijama od vrijednosti</w:t>
      </w:r>
    </w:p>
    <w:p w14:paraId="335FDBD3" w14:textId="57C7D7DF" w:rsidR="0033759C" w:rsidRPr="00DD4E3A" w:rsidRDefault="0033759C" w:rsidP="0033759C">
      <w:pPr>
        <w:jc w:val="both"/>
        <w:rPr>
          <w:rFonts w:ascii="Cambria" w:hAnsi="Cambria"/>
          <w:color w:val="000000"/>
          <w:sz w:val="22"/>
          <w:szCs w:val="22"/>
          <w:lang w:val="sr-Latn-CS"/>
        </w:rPr>
      </w:pPr>
    </w:p>
    <w:tbl>
      <w:tblPr>
        <w:tblW w:w="9832" w:type="dxa"/>
        <w:tblLook w:val="04A0" w:firstRow="1" w:lastRow="0" w:firstColumn="1" w:lastColumn="0" w:noHBand="0" w:noVBand="1"/>
      </w:tblPr>
      <w:tblGrid>
        <w:gridCol w:w="3616"/>
        <w:gridCol w:w="2160"/>
        <w:gridCol w:w="1940"/>
        <w:gridCol w:w="2116"/>
      </w:tblGrid>
      <w:tr w:rsidR="000F7254" w14:paraId="037F1C86" w14:textId="77777777" w:rsidTr="000F7254">
        <w:trPr>
          <w:trHeight w:val="791"/>
        </w:trPr>
        <w:tc>
          <w:tcPr>
            <w:tcW w:w="3616" w:type="dxa"/>
            <w:tcBorders>
              <w:top w:val="single" w:sz="4" w:space="0" w:color="808080"/>
              <w:left w:val="single" w:sz="4" w:space="0" w:color="808080"/>
              <w:bottom w:val="single" w:sz="4" w:space="0" w:color="808080"/>
              <w:right w:val="nil"/>
            </w:tcBorders>
            <w:shd w:val="clear" w:color="000000" w:fill="E4E4E4"/>
            <w:vAlign w:val="center"/>
            <w:hideMark/>
          </w:tcPr>
          <w:p w14:paraId="764E2AC3" w14:textId="77777777" w:rsidR="000F7254" w:rsidRDefault="000F7254">
            <w:pPr>
              <w:jc w:val="center"/>
              <w:rPr>
                <w:rFonts w:ascii="Cambria" w:hAnsi="Cambria"/>
                <w:color w:val="000000"/>
                <w:sz w:val="20"/>
                <w:szCs w:val="20"/>
              </w:rPr>
            </w:pPr>
            <w:proofErr w:type="spellStart"/>
            <w:r>
              <w:rPr>
                <w:rFonts w:ascii="Cambria" w:hAnsi="Cambria"/>
                <w:color w:val="000000"/>
                <w:sz w:val="20"/>
                <w:szCs w:val="20"/>
              </w:rPr>
              <w:t>Naziv</w:t>
            </w:r>
            <w:proofErr w:type="spellEnd"/>
            <w:r>
              <w:rPr>
                <w:rFonts w:ascii="Cambria" w:hAnsi="Cambria"/>
                <w:color w:val="000000"/>
                <w:sz w:val="20"/>
                <w:szCs w:val="20"/>
              </w:rPr>
              <w:t xml:space="preserve"> </w:t>
            </w:r>
            <w:proofErr w:type="spellStart"/>
            <w:r>
              <w:rPr>
                <w:rFonts w:ascii="Cambria" w:hAnsi="Cambria"/>
                <w:color w:val="000000"/>
                <w:sz w:val="20"/>
                <w:szCs w:val="20"/>
              </w:rPr>
              <w:t>berzanskog</w:t>
            </w:r>
            <w:proofErr w:type="spellEnd"/>
            <w:r>
              <w:rPr>
                <w:rFonts w:ascii="Cambria" w:hAnsi="Cambria"/>
                <w:color w:val="000000"/>
                <w:sz w:val="20"/>
                <w:szCs w:val="20"/>
              </w:rPr>
              <w:t xml:space="preserve"> </w:t>
            </w:r>
            <w:proofErr w:type="spellStart"/>
            <w:r>
              <w:rPr>
                <w:rFonts w:ascii="Cambria" w:hAnsi="Cambria"/>
                <w:color w:val="000000"/>
                <w:sz w:val="20"/>
                <w:szCs w:val="20"/>
              </w:rPr>
              <w:t>posrednika</w:t>
            </w:r>
            <w:proofErr w:type="spellEnd"/>
          </w:p>
        </w:tc>
        <w:tc>
          <w:tcPr>
            <w:tcW w:w="2160" w:type="dxa"/>
            <w:tcBorders>
              <w:top w:val="single" w:sz="4" w:space="0" w:color="808080"/>
              <w:left w:val="single" w:sz="4" w:space="0" w:color="808080"/>
              <w:bottom w:val="single" w:sz="4" w:space="0" w:color="808080"/>
              <w:right w:val="nil"/>
            </w:tcBorders>
            <w:shd w:val="clear" w:color="000000" w:fill="E4E4E4"/>
            <w:vAlign w:val="center"/>
            <w:hideMark/>
          </w:tcPr>
          <w:p w14:paraId="2FCB605E" w14:textId="77777777" w:rsidR="000F7254" w:rsidRDefault="000F7254">
            <w:pPr>
              <w:jc w:val="center"/>
              <w:rPr>
                <w:rFonts w:ascii="Cambria" w:hAnsi="Cambria"/>
                <w:color w:val="000000"/>
                <w:sz w:val="20"/>
                <w:szCs w:val="20"/>
              </w:rPr>
            </w:pPr>
            <w:proofErr w:type="spellStart"/>
            <w:r>
              <w:rPr>
                <w:rFonts w:ascii="Cambria" w:hAnsi="Cambria"/>
                <w:color w:val="000000"/>
                <w:sz w:val="20"/>
                <w:szCs w:val="20"/>
              </w:rPr>
              <w:t>Vrijednost</w:t>
            </w:r>
            <w:proofErr w:type="spellEnd"/>
            <w:r>
              <w:rPr>
                <w:rFonts w:ascii="Cambria" w:hAnsi="Cambria"/>
                <w:color w:val="000000"/>
                <w:sz w:val="20"/>
                <w:szCs w:val="20"/>
              </w:rPr>
              <w:t xml:space="preserve"> </w:t>
            </w:r>
            <w:proofErr w:type="spellStart"/>
            <w:r>
              <w:rPr>
                <w:rFonts w:ascii="Cambria" w:hAnsi="Cambria"/>
                <w:color w:val="000000"/>
                <w:sz w:val="20"/>
                <w:szCs w:val="20"/>
              </w:rPr>
              <w:t>transakcija</w:t>
            </w:r>
            <w:proofErr w:type="spellEnd"/>
          </w:p>
        </w:tc>
        <w:tc>
          <w:tcPr>
            <w:tcW w:w="1940" w:type="dxa"/>
            <w:tcBorders>
              <w:top w:val="single" w:sz="4" w:space="0" w:color="808080"/>
              <w:left w:val="single" w:sz="4" w:space="0" w:color="808080"/>
              <w:bottom w:val="single" w:sz="4" w:space="0" w:color="808080"/>
              <w:right w:val="single" w:sz="4" w:space="0" w:color="808080"/>
            </w:tcBorders>
            <w:shd w:val="clear" w:color="000000" w:fill="E4E4E4"/>
            <w:vAlign w:val="center"/>
            <w:hideMark/>
          </w:tcPr>
          <w:p w14:paraId="283CD4C9" w14:textId="77777777" w:rsidR="000F7254" w:rsidRDefault="000F7254">
            <w:pPr>
              <w:jc w:val="center"/>
              <w:rPr>
                <w:rFonts w:ascii="Cambria" w:hAnsi="Cambria"/>
                <w:color w:val="000000"/>
                <w:sz w:val="20"/>
                <w:szCs w:val="20"/>
              </w:rPr>
            </w:pPr>
            <w:proofErr w:type="spellStart"/>
            <w:r>
              <w:rPr>
                <w:rFonts w:ascii="Cambria" w:hAnsi="Cambria"/>
                <w:color w:val="000000"/>
                <w:sz w:val="20"/>
                <w:szCs w:val="20"/>
              </w:rPr>
              <w:t>Iznos</w:t>
            </w:r>
            <w:proofErr w:type="spellEnd"/>
            <w:r>
              <w:rPr>
                <w:rFonts w:ascii="Cambria" w:hAnsi="Cambria"/>
                <w:color w:val="000000"/>
                <w:sz w:val="20"/>
                <w:szCs w:val="20"/>
              </w:rPr>
              <w:t xml:space="preserve"> </w:t>
            </w:r>
            <w:proofErr w:type="spellStart"/>
            <w:r>
              <w:rPr>
                <w:rFonts w:ascii="Cambria" w:hAnsi="Cambria"/>
                <w:color w:val="000000"/>
                <w:sz w:val="20"/>
                <w:szCs w:val="20"/>
              </w:rPr>
              <w:t>provizije</w:t>
            </w:r>
            <w:proofErr w:type="spellEnd"/>
          </w:p>
        </w:tc>
        <w:tc>
          <w:tcPr>
            <w:tcW w:w="2116" w:type="dxa"/>
            <w:tcBorders>
              <w:top w:val="single" w:sz="4" w:space="0" w:color="808080"/>
              <w:left w:val="nil"/>
              <w:bottom w:val="single" w:sz="4" w:space="0" w:color="808080"/>
              <w:right w:val="nil"/>
            </w:tcBorders>
            <w:shd w:val="clear" w:color="000000" w:fill="E4E4E4"/>
            <w:vAlign w:val="center"/>
            <w:hideMark/>
          </w:tcPr>
          <w:p w14:paraId="40BBE64E" w14:textId="77777777" w:rsidR="000F7254" w:rsidRDefault="000F7254">
            <w:pPr>
              <w:jc w:val="center"/>
              <w:rPr>
                <w:rFonts w:ascii="Cambria" w:hAnsi="Cambria"/>
                <w:color w:val="000000"/>
                <w:sz w:val="20"/>
                <w:szCs w:val="20"/>
              </w:rPr>
            </w:pPr>
            <w:proofErr w:type="spellStart"/>
            <w:r>
              <w:rPr>
                <w:rFonts w:ascii="Cambria" w:hAnsi="Cambria"/>
                <w:color w:val="000000"/>
                <w:sz w:val="20"/>
                <w:szCs w:val="20"/>
              </w:rPr>
              <w:t>Učešće</w:t>
            </w:r>
            <w:proofErr w:type="spellEnd"/>
            <w:r>
              <w:rPr>
                <w:rFonts w:ascii="Cambria" w:hAnsi="Cambria"/>
                <w:color w:val="000000"/>
                <w:sz w:val="20"/>
                <w:szCs w:val="20"/>
              </w:rPr>
              <w:t xml:space="preserve"> </w:t>
            </w:r>
            <w:proofErr w:type="spellStart"/>
            <w:r>
              <w:rPr>
                <w:rFonts w:ascii="Cambria" w:hAnsi="Cambria"/>
                <w:color w:val="000000"/>
                <w:sz w:val="20"/>
                <w:szCs w:val="20"/>
              </w:rPr>
              <w:t>provizije</w:t>
            </w:r>
            <w:proofErr w:type="spellEnd"/>
            <w:r>
              <w:rPr>
                <w:rFonts w:ascii="Cambria" w:hAnsi="Cambria"/>
                <w:color w:val="000000"/>
                <w:sz w:val="20"/>
                <w:szCs w:val="20"/>
              </w:rPr>
              <w:t xml:space="preserve"> u </w:t>
            </w:r>
            <w:proofErr w:type="spellStart"/>
            <w:r>
              <w:rPr>
                <w:rFonts w:ascii="Cambria" w:hAnsi="Cambria"/>
                <w:color w:val="000000"/>
                <w:sz w:val="20"/>
                <w:szCs w:val="20"/>
              </w:rPr>
              <w:t>vrijednosti</w:t>
            </w:r>
            <w:proofErr w:type="spellEnd"/>
            <w:r>
              <w:rPr>
                <w:rFonts w:ascii="Cambria" w:hAnsi="Cambria"/>
                <w:color w:val="000000"/>
                <w:sz w:val="20"/>
                <w:szCs w:val="20"/>
              </w:rPr>
              <w:t xml:space="preserve"> </w:t>
            </w:r>
            <w:proofErr w:type="spellStart"/>
            <w:r>
              <w:rPr>
                <w:rFonts w:ascii="Cambria" w:hAnsi="Cambria"/>
                <w:color w:val="000000"/>
                <w:sz w:val="20"/>
                <w:szCs w:val="20"/>
              </w:rPr>
              <w:t>transakcija</w:t>
            </w:r>
            <w:proofErr w:type="spellEnd"/>
          </w:p>
        </w:tc>
      </w:tr>
      <w:tr w:rsidR="000F7254" w14:paraId="32878B50" w14:textId="77777777" w:rsidTr="000F7254">
        <w:trPr>
          <w:trHeight w:val="212"/>
        </w:trPr>
        <w:tc>
          <w:tcPr>
            <w:tcW w:w="3616" w:type="dxa"/>
            <w:tcBorders>
              <w:top w:val="nil"/>
              <w:left w:val="single" w:sz="4" w:space="0" w:color="808080"/>
              <w:bottom w:val="single" w:sz="4" w:space="0" w:color="808080"/>
              <w:right w:val="nil"/>
            </w:tcBorders>
            <w:shd w:val="clear" w:color="000000" w:fill="E4E4E4"/>
            <w:vAlign w:val="center"/>
            <w:hideMark/>
          </w:tcPr>
          <w:p w14:paraId="3E760085" w14:textId="77777777" w:rsidR="000F7254" w:rsidRDefault="000F7254">
            <w:pPr>
              <w:jc w:val="center"/>
              <w:rPr>
                <w:rFonts w:ascii="Cambria" w:hAnsi="Cambria"/>
                <w:color w:val="000000"/>
                <w:sz w:val="20"/>
                <w:szCs w:val="20"/>
              </w:rPr>
            </w:pPr>
            <w:r>
              <w:rPr>
                <w:rFonts w:ascii="Cambria" w:hAnsi="Cambria"/>
                <w:color w:val="000000"/>
                <w:sz w:val="20"/>
                <w:szCs w:val="20"/>
              </w:rPr>
              <w:t>1</w:t>
            </w:r>
          </w:p>
        </w:tc>
        <w:tc>
          <w:tcPr>
            <w:tcW w:w="2160" w:type="dxa"/>
            <w:tcBorders>
              <w:top w:val="nil"/>
              <w:left w:val="single" w:sz="4" w:space="0" w:color="808080"/>
              <w:bottom w:val="single" w:sz="4" w:space="0" w:color="808080"/>
              <w:right w:val="nil"/>
            </w:tcBorders>
            <w:shd w:val="clear" w:color="000000" w:fill="E4E4E4"/>
            <w:vAlign w:val="center"/>
            <w:hideMark/>
          </w:tcPr>
          <w:p w14:paraId="4FFEBEDD" w14:textId="77777777" w:rsidR="000F7254" w:rsidRDefault="000F7254">
            <w:pPr>
              <w:jc w:val="center"/>
              <w:rPr>
                <w:rFonts w:ascii="Cambria" w:hAnsi="Cambria"/>
                <w:color w:val="000000"/>
                <w:sz w:val="20"/>
                <w:szCs w:val="20"/>
              </w:rPr>
            </w:pPr>
            <w:r>
              <w:rPr>
                <w:rFonts w:ascii="Cambria" w:hAnsi="Cambria"/>
                <w:color w:val="000000"/>
                <w:sz w:val="20"/>
                <w:szCs w:val="20"/>
              </w:rPr>
              <w:t>2</w:t>
            </w:r>
          </w:p>
        </w:tc>
        <w:tc>
          <w:tcPr>
            <w:tcW w:w="1940" w:type="dxa"/>
            <w:tcBorders>
              <w:top w:val="nil"/>
              <w:left w:val="single" w:sz="4" w:space="0" w:color="808080"/>
              <w:bottom w:val="single" w:sz="4" w:space="0" w:color="808080"/>
              <w:right w:val="single" w:sz="4" w:space="0" w:color="808080"/>
            </w:tcBorders>
            <w:shd w:val="clear" w:color="000000" w:fill="E4E4E4"/>
            <w:vAlign w:val="center"/>
            <w:hideMark/>
          </w:tcPr>
          <w:p w14:paraId="7AED083C" w14:textId="77777777" w:rsidR="000F7254" w:rsidRDefault="000F7254">
            <w:pPr>
              <w:jc w:val="center"/>
              <w:rPr>
                <w:rFonts w:ascii="Cambria" w:hAnsi="Cambria"/>
                <w:color w:val="000000"/>
                <w:sz w:val="20"/>
                <w:szCs w:val="20"/>
              </w:rPr>
            </w:pPr>
            <w:r>
              <w:rPr>
                <w:rFonts w:ascii="Cambria" w:hAnsi="Cambria"/>
                <w:color w:val="000000"/>
                <w:sz w:val="20"/>
                <w:szCs w:val="20"/>
              </w:rPr>
              <w:t>3</w:t>
            </w:r>
          </w:p>
        </w:tc>
        <w:tc>
          <w:tcPr>
            <w:tcW w:w="2116" w:type="dxa"/>
            <w:tcBorders>
              <w:top w:val="nil"/>
              <w:left w:val="nil"/>
              <w:bottom w:val="single" w:sz="4" w:space="0" w:color="808080"/>
              <w:right w:val="nil"/>
            </w:tcBorders>
            <w:shd w:val="clear" w:color="000000" w:fill="E4E4E4"/>
            <w:vAlign w:val="center"/>
            <w:hideMark/>
          </w:tcPr>
          <w:p w14:paraId="7261F1D6" w14:textId="77777777" w:rsidR="000F7254" w:rsidRDefault="000F7254">
            <w:pPr>
              <w:jc w:val="center"/>
              <w:rPr>
                <w:rFonts w:ascii="Cambria" w:hAnsi="Cambria"/>
                <w:color w:val="000000"/>
                <w:sz w:val="20"/>
                <w:szCs w:val="20"/>
              </w:rPr>
            </w:pPr>
            <w:r>
              <w:rPr>
                <w:rFonts w:ascii="Cambria" w:hAnsi="Cambria"/>
                <w:color w:val="000000"/>
                <w:sz w:val="20"/>
                <w:szCs w:val="20"/>
              </w:rPr>
              <w:t>4 = 3/2</w:t>
            </w:r>
          </w:p>
        </w:tc>
      </w:tr>
      <w:tr w:rsidR="000F7254" w14:paraId="261830ED" w14:textId="77777777" w:rsidTr="000F7254">
        <w:trPr>
          <w:trHeight w:val="262"/>
        </w:trPr>
        <w:tc>
          <w:tcPr>
            <w:tcW w:w="3616" w:type="dxa"/>
            <w:tcBorders>
              <w:top w:val="nil"/>
              <w:left w:val="single" w:sz="4" w:space="0" w:color="808080"/>
              <w:bottom w:val="single" w:sz="4" w:space="0" w:color="808080"/>
              <w:right w:val="nil"/>
            </w:tcBorders>
            <w:shd w:val="clear" w:color="000000" w:fill="FFFFFF"/>
            <w:vAlign w:val="center"/>
            <w:hideMark/>
          </w:tcPr>
          <w:p w14:paraId="14F85D8C" w14:textId="77777777" w:rsidR="000F7254" w:rsidRDefault="000F7254">
            <w:pPr>
              <w:rPr>
                <w:rFonts w:ascii="Cambria" w:hAnsi="Cambria"/>
                <w:color w:val="000000"/>
                <w:sz w:val="20"/>
                <w:szCs w:val="20"/>
              </w:rPr>
            </w:pPr>
            <w:r>
              <w:rPr>
                <w:rFonts w:ascii="Cambria" w:hAnsi="Cambria"/>
                <w:color w:val="000000"/>
                <w:sz w:val="20"/>
                <w:szCs w:val="20"/>
              </w:rPr>
              <w:t>ADVANTIS</w:t>
            </w:r>
          </w:p>
        </w:tc>
        <w:tc>
          <w:tcPr>
            <w:tcW w:w="2160" w:type="dxa"/>
            <w:tcBorders>
              <w:top w:val="nil"/>
              <w:left w:val="single" w:sz="4" w:space="0" w:color="808080"/>
              <w:bottom w:val="single" w:sz="4" w:space="0" w:color="808080"/>
              <w:right w:val="nil"/>
            </w:tcBorders>
            <w:shd w:val="clear" w:color="000000" w:fill="FFFFFF"/>
            <w:vAlign w:val="center"/>
            <w:hideMark/>
          </w:tcPr>
          <w:p w14:paraId="17298367" w14:textId="77777777" w:rsidR="000F7254" w:rsidRDefault="000F7254">
            <w:pPr>
              <w:jc w:val="right"/>
              <w:rPr>
                <w:rFonts w:ascii="Cambria" w:hAnsi="Cambria"/>
                <w:color w:val="000000"/>
                <w:sz w:val="20"/>
                <w:szCs w:val="20"/>
              </w:rPr>
            </w:pPr>
            <w:r>
              <w:rPr>
                <w:rFonts w:ascii="Cambria" w:hAnsi="Cambria"/>
                <w:color w:val="000000"/>
                <w:sz w:val="20"/>
                <w:szCs w:val="20"/>
              </w:rPr>
              <w:t>515.107,12</w:t>
            </w:r>
          </w:p>
        </w:tc>
        <w:tc>
          <w:tcPr>
            <w:tcW w:w="1940" w:type="dxa"/>
            <w:tcBorders>
              <w:top w:val="nil"/>
              <w:left w:val="single" w:sz="4" w:space="0" w:color="808080"/>
              <w:bottom w:val="single" w:sz="4" w:space="0" w:color="808080"/>
              <w:right w:val="single" w:sz="4" w:space="0" w:color="808080"/>
            </w:tcBorders>
            <w:shd w:val="clear" w:color="000000" w:fill="FFFFFF"/>
            <w:vAlign w:val="center"/>
            <w:hideMark/>
          </w:tcPr>
          <w:p w14:paraId="2EA2BB18" w14:textId="77777777" w:rsidR="000F7254" w:rsidRDefault="000F7254">
            <w:pPr>
              <w:jc w:val="right"/>
              <w:rPr>
                <w:rFonts w:ascii="Cambria" w:hAnsi="Cambria"/>
                <w:color w:val="000000"/>
                <w:sz w:val="20"/>
                <w:szCs w:val="20"/>
              </w:rPr>
            </w:pPr>
            <w:r>
              <w:rPr>
                <w:rFonts w:ascii="Cambria" w:hAnsi="Cambria"/>
                <w:color w:val="000000"/>
                <w:sz w:val="20"/>
                <w:szCs w:val="20"/>
              </w:rPr>
              <w:t>1.802,87</w:t>
            </w:r>
          </w:p>
        </w:tc>
        <w:tc>
          <w:tcPr>
            <w:tcW w:w="2116" w:type="dxa"/>
            <w:tcBorders>
              <w:top w:val="nil"/>
              <w:left w:val="nil"/>
              <w:bottom w:val="single" w:sz="4" w:space="0" w:color="808080"/>
              <w:right w:val="nil"/>
            </w:tcBorders>
            <w:shd w:val="clear" w:color="000000" w:fill="FFFFFF"/>
            <w:vAlign w:val="center"/>
            <w:hideMark/>
          </w:tcPr>
          <w:p w14:paraId="33F055CC" w14:textId="77777777" w:rsidR="000F7254" w:rsidRDefault="000F7254" w:rsidP="000F7254">
            <w:pPr>
              <w:jc w:val="center"/>
              <w:rPr>
                <w:rFonts w:ascii="Cambria" w:hAnsi="Cambria"/>
                <w:color w:val="000000"/>
                <w:sz w:val="20"/>
                <w:szCs w:val="20"/>
              </w:rPr>
            </w:pPr>
            <w:r>
              <w:rPr>
                <w:rFonts w:ascii="Cambria" w:hAnsi="Cambria"/>
                <w:color w:val="000000"/>
                <w:sz w:val="20"/>
                <w:szCs w:val="20"/>
              </w:rPr>
              <w:t>0,35</w:t>
            </w:r>
          </w:p>
        </w:tc>
      </w:tr>
      <w:tr w:rsidR="000F7254" w14:paraId="3521E6F6" w14:textId="77777777" w:rsidTr="000F7254">
        <w:trPr>
          <w:trHeight w:val="262"/>
        </w:trPr>
        <w:tc>
          <w:tcPr>
            <w:tcW w:w="3616" w:type="dxa"/>
            <w:tcBorders>
              <w:top w:val="nil"/>
              <w:left w:val="single" w:sz="4" w:space="0" w:color="808080"/>
              <w:bottom w:val="single" w:sz="4" w:space="0" w:color="808080"/>
              <w:right w:val="nil"/>
            </w:tcBorders>
            <w:shd w:val="clear" w:color="000000" w:fill="FFFFFF"/>
            <w:vAlign w:val="center"/>
            <w:hideMark/>
          </w:tcPr>
          <w:p w14:paraId="0919C852" w14:textId="77777777" w:rsidR="000F7254" w:rsidRDefault="000F7254">
            <w:pPr>
              <w:rPr>
                <w:rFonts w:ascii="Cambria" w:hAnsi="Cambria"/>
                <w:color w:val="000000"/>
                <w:sz w:val="20"/>
                <w:szCs w:val="20"/>
              </w:rPr>
            </w:pPr>
            <w:r>
              <w:rPr>
                <w:rFonts w:ascii="Cambria" w:hAnsi="Cambria"/>
                <w:color w:val="000000"/>
                <w:sz w:val="20"/>
                <w:szCs w:val="20"/>
              </w:rPr>
              <w:t>BROKER NOVA</w:t>
            </w:r>
          </w:p>
        </w:tc>
        <w:tc>
          <w:tcPr>
            <w:tcW w:w="2160" w:type="dxa"/>
            <w:tcBorders>
              <w:top w:val="nil"/>
              <w:left w:val="single" w:sz="4" w:space="0" w:color="808080"/>
              <w:bottom w:val="single" w:sz="4" w:space="0" w:color="808080"/>
              <w:right w:val="nil"/>
            </w:tcBorders>
            <w:shd w:val="clear" w:color="000000" w:fill="FFFFFF"/>
            <w:vAlign w:val="center"/>
            <w:hideMark/>
          </w:tcPr>
          <w:p w14:paraId="3D26AB8F" w14:textId="77777777" w:rsidR="000F7254" w:rsidRDefault="000F7254">
            <w:pPr>
              <w:jc w:val="right"/>
              <w:rPr>
                <w:rFonts w:ascii="Cambria" w:hAnsi="Cambria"/>
                <w:color w:val="000000"/>
                <w:sz w:val="20"/>
                <w:szCs w:val="20"/>
              </w:rPr>
            </w:pPr>
            <w:r>
              <w:rPr>
                <w:rFonts w:ascii="Cambria" w:hAnsi="Cambria"/>
                <w:color w:val="000000"/>
                <w:sz w:val="20"/>
                <w:szCs w:val="20"/>
              </w:rPr>
              <w:t>199.795,67</w:t>
            </w:r>
          </w:p>
        </w:tc>
        <w:tc>
          <w:tcPr>
            <w:tcW w:w="1940" w:type="dxa"/>
            <w:tcBorders>
              <w:top w:val="nil"/>
              <w:left w:val="single" w:sz="4" w:space="0" w:color="808080"/>
              <w:bottom w:val="single" w:sz="4" w:space="0" w:color="808080"/>
              <w:right w:val="single" w:sz="4" w:space="0" w:color="808080"/>
            </w:tcBorders>
            <w:shd w:val="clear" w:color="000000" w:fill="FFFFFF"/>
            <w:vAlign w:val="center"/>
            <w:hideMark/>
          </w:tcPr>
          <w:p w14:paraId="0F906884" w14:textId="77777777" w:rsidR="000F7254" w:rsidRDefault="000F7254">
            <w:pPr>
              <w:jc w:val="right"/>
              <w:rPr>
                <w:rFonts w:ascii="Cambria" w:hAnsi="Cambria"/>
                <w:color w:val="000000"/>
                <w:sz w:val="20"/>
                <w:szCs w:val="20"/>
              </w:rPr>
            </w:pPr>
            <w:r>
              <w:rPr>
                <w:rFonts w:ascii="Cambria" w:hAnsi="Cambria"/>
                <w:color w:val="000000"/>
                <w:sz w:val="20"/>
                <w:szCs w:val="20"/>
              </w:rPr>
              <w:t>1.119,08</w:t>
            </w:r>
          </w:p>
        </w:tc>
        <w:tc>
          <w:tcPr>
            <w:tcW w:w="2116" w:type="dxa"/>
            <w:tcBorders>
              <w:top w:val="nil"/>
              <w:left w:val="nil"/>
              <w:bottom w:val="single" w:sz="4" w:space="0" w:color="808080"/>
              <w:right w:val="nil"/>
            </w:tcBorders>
            <w:shd w:val="clear" w:color="000000" w:fill="FFFFFF"/>
            <w:vAlign w:val="center"/>
            <w:hideMark/>
          </w:tcPr>
          <w:p w14:paraId="32064215" w14:textId="77777777" w:rsidR="000F7254" w:rsidRDefault="000F7254" w:rsidP="000F7254">
            <w:pPr>
              <w:jc w:val="center"/>
              <w:rPr>
                <w:rFonts w:ascii="Cambria" w:hAnsi="Cambria"/>
                <w:color w:val="000000"/>
                <w:sz w:val="20"/>
                <w:szCs w:val="20"/>
              </w:rPr>
            </w:pPr>
            <w:r>
              <w:rPr>
                <w:rFonts w:ascii="Cambria" w:hAnsi="Cambria"/>
                <w:color w:val="000000"/>
                <w:sz w:val="20"/>
                <w:szCs w:val="20"/>
              </w:rPr>
              <w:t>0,56</w:t>
            </w:r>
          </w:p>
        </w:tc>
      </w:tr>
      <w:tr w:rsidR="000F7254" w14:paraId="0A764F24" w14:textId="77777777" w:rsidTr="000F7254">
        <w:trPr>
          <w:trHeight w:val="262"/>
        </w:trPr>
        <w:tc>
          <w:tcPr>
            <w:tcW w:w="3616" w:type="dxa"/>
            <w:tcBorders>
              <w:top w:val="nil"/>
              <w:left w:val="single" w:sz="4" w:space="0" w:color="808080"/>
              <w:bottom w:val="single" w:sz="4" w:space="0" w:color="808080"/>
              <w:right w:val="nil"/>
            </w:tcBorders>
            <w:shd w:val="clear" w:color="000000" w:fill="FFFFFF"/>
            <w:vAlign w:val="center"/>
            <w:hideMark/>
          </w:tcPr>
          <w:p w14:paraId="70A64235" w14:textId="2429616C" w:rsidR="000F7254" w:rsidRDefault="000F7254">
            <w:pPr>
              <w:rPr>
                <w:rFonts w:ascii="Cambria" w:hAnsi="Cambria"/>
                <w:color w:val="000000"/>
                <w:sz w:val="20"/>
                <w:szCs w:val="20"/>
              </w:rPr>
            </w:pPr>
            <w:r>
              <w:rPr>
                <w:rFonts w:ascii="Cambria" w:hAnsi="Cambria"/>
                <w:color w:val="000000"/>
                <w:sz w:val="20"/>
                <w:szCs w:val="20"/>
              </w:rPr>
              <w:t>Raiffeisen broker</w:t>
            </w:r>
            <w:r>
              <w:rPr>
                <w:rFonts w:ascii="Cambria" w:hAnsi="Cambria"/>
                <w:color w:val="000000"/>
                <w:sz w:val="20"/>
                <w:szCs w:val="20"/>
              </w:rPr>
              <w:t xml:space="preserve"> </w:t>
            </w:r>
            <w:proofErr w:type="spellStart"/>
            <w:r>
              <w:rPr>
                <w:rFonts w:ascii="Cambria" w:hAnsi="Cambria"/>
                <w:color w:val="000000"/>
                <w:sz w:val="20"/>
                <w:szCs w:val="20"/>
              </w:rPr>
              <w:t>i</w:t>
            </w:r>
            <w:proofErr w:type="spellEnd"/>
            <w:r>
              <w:rPr>
                <w:rFonts w:ascii="Cambria" w:hAnsi="Cambria"/>
                <w:color w:val="000000"/>
                <w:sz w:val="20"/>
                <w:szCs w:val="20"/>
              </w:rPr>
              <w:t xml:space="preserve"> </w:t>
            </w:r>
            <w:proofErr w:type="spellStart"/>
            <w:r>
              <w:rPr>
                <w:rFonts w:ascii="Cambria" w:hAnsi="Cambria"/>
                <w:color w:val="000000"/>
                <w:sz w:val="20"/>
                <w:szCs w:val="20"/>
              </w:rPr>
              <w:t>castudy</w:t>
            </w:r>
            <w:proofErr w:type="spellEnd"/>
          </w:p>
        </w:tc>
        <w:tc>
          <w:tcPr>
            <w:tcW w:w="2160" w:type="dxa"/>
            <w:tcBorders>
              <w:top w:val="nil"/>
              <w:left w:val="single" w:sz="4" w:space="0" w:color="808080"/>
              <w:bottom w:val="single" w:sz="4" w:space="0" w:color="808080"/>
              <w:right w:val="nil"/>
            </w:tcBorders>
            <w:shd w:val="clear" w:color="000000" w:fill="FFFFFF"/>
            <w:vAlign w:val="center"/>
            <w:hideMark/>
          </w:tcPr>
          <w:p w14:paraId="3546D91A" w14:textId="77777777" w:rsidR="000F7254" w:rsidRDefault="000F7254">
            <w:pPr>
              <w:jc w:val="right"/>
              <w:rPr>
                <w:rFonts w:ascii="Cambria" w:hAnsi="Cambria"/>
                <w:color w:val="000000"/>
                <w:sz w:val="20"/>
                <w:szCs w:val="20"/>
              </w:rPr>
            </w:pPr>
            <w:r>
              <w:rPr>
                <w:rFonts w:ascii="Cambria" w:hAnsi="Cambria"/>
                <w:color w:val="000000"/>
                <w:sz w:val="20"/>
                <w:szCs w:val="20"/>
              </w:rPr>
              <w:t>319.187,12</w:t>
            </w:r>
          </w:p>
        </w:tc>
        <w:tc>
          <w:tcPr>
            <w:tcW w:w="1940" w:type="dxa"/>
            <w:tcBorders>
              <w:top w:val="nil"/>
              <w:left w:val="single" w:sz="4" w:space="0" w:color="808080"/>
              <w:bottom w:val="single" w:sz="4" w:space="0" w:color="808080"/>
              <w:right w:val="single" w:sz="4" w:space="0" w:color="808080"/>
            </w:tcBorders>
            <w:shd w:val="clear" w:color="000000" w:fill="FFFFFF"/>
            <w:vAlign w:val="center"/>
            <w:hideMark/>
          </w:tcPr>
          <w:p w14:paraId="7A037902" w14:textId="77777777" w:rsidR="000F7254" w:rsidRDefault="000F7254">
            <w:pPr>
              <w:jc w:val="right"/>
              <w:rPr>
                <w:rFonts w:ascii="Cambria" w:hAnsi="Cambria"/>
                <w:color w:val="000000"/>
                <w:sz w:val="20"/>
                <w:szCs w:val="20"/>
              </w:rPr>
            </w:pPr>
            <w:r>
              <w:rPr>
                <w:rFonts w:ascii="Cambria" w:hAnsi="Cambria"/>
                <w:color w:val="000000"/>
                <w:sz w:val="20"/>
                <w:szCs w:val="20"/>
              </w:rPr>
              <w:t>2.137,56</w:t>
            </w:r>
          </w:p>
        </w:tc>
        <w:tc>
          <w:tcPr>
            <w:tcW w:w="2116" w:type="dxa"/>
            <w:tcBorders>
              <w:top w:val="nil"/>
              <w:left w:val="nil"/>
              <w:bottom w:val="single" w:sz="4" w:space="0" w:color="808080"/>
              <w:right w:val="nil"/>
            </w:tcBorders>
            <w:shd w:val="clear" w:color="000000" w:fill="FFFFFF"/>
            <w:vAlign w:val="center"/>
            <w:hideMark/>
          </w:tcPr>
          <w:p w14:paraId="72463543" w14:textId="77777777" w:rsidR="000F7254" w:rsidRDefault="000F7254" w:rsidP="000F7254">
            <w:pPr>
              <w:jc w:val="center"/>
              <w:rPr>
                <w:rFonts w:ascii="Cambria" w:hAnsi="Cambria"/>
                <w:color w:val="000000"/>
                <w:sz w:val="20"/>
                <w:szCs w:val="20"/>
              </w:rPr>
            </w:pPr>
            <w:r>
              <w:rPr>
                <w:rFonts w:ascii="Cambria" w:hAnsi="Cambria"/>
                <w:color w:val="000000"/>
                <w:sz w:val="20"/>
                <w:szCs w:val="20"/>
              </w:rPr>
              <w:t>1,34</w:t>
            </w:r>
          </w:p>
        </w:tc>
      </w:tr>
      <w:tr w:rsidR="000F7254" w14:paraId="062E2F5A" w14:textId="77777777" w:rsidTr="000F7254">
        <w:trPr>
          <w:trHeight w:val="262"/>
        </w:trPr>
        <w:tc>
          <w:tcPr>
            <w:tcW w:w="3616" w:type="dxa"/>
            <w:tcBorders>
              <w:top w:val="nil"/>
              <w:left w:val="single" w:sz="4" w:space="0" w:color="808080"/>
              <w:bottom w:val="single" w:sz="4" w:space="0" w:color="808080"/>
              <w:right w:val="nil"/>
            </w:tcBorders>
            <w:shd w:val="clear" w:color="000000" w:fill="E4E4E4"/>
            <w:vAlign w:val="center"/>
            <w:hideMark/>
          </w:tcPr>
          <w:p w14:paraId="77C6DF08" w14:textId="77777777" w:rsidR="000F7254" w:rsidRDefault="000F7254">
            <w:pPr>
              <w:rPr>
                <w:rFonts w:ascii="Cambria" w:hAnsi="Cambria"/>
                <w:color w:val="000000"/>
                <w:sz w:val="20"/>
                <w:szCs w:val="20"/>
              </w:rPr>
            </w:pPr>
            <w:proofErr w:type="spellStart"/>
            <w:r>
              <w:rPr>
                <w:rFonts w:ascii="Cambria" w:hAnsi="Cambria"/>
                <w:color w:val="000000"/>
                <w:sz w:val="20"/>
                <w:szCs w:val="20"/>
              </w:rPr>
              <w:t>Ukupno</w:t>
            </w:r>
            <w:proofErr w:type="spellEnd"/>
          </w:p>
        </w:tc>
        <w:tc>
          <w:tcPr>
            <w:tcW w:w="2160" w:type="dxa"/>
            <w:tcBorders>
              <w:top w:val="nil"/>
              <w:left w:val="single" w:sz="4" w:space="0" w:color="808080"/>
              <w:bottom w:val="single" w:sz="4" w:space="0" w:color="808080"/>
              <w:right w:val="nil"/>
            </w:tcBorders>
            <w:shd w:val="clear" w:color="000000" w:fill="E4E4E4"/>
            <w:vAlign w:val="center"/>
            <w:hideMark/>
          </w:tcPr>
          <w:p w14:paraId="236736A3" w14:textId="77777777" w:rsidR="000F7254" w:rsidRDefault="000F7254">
            <w:pPr>
              <w:jc w:val="right"/>
              <w:rPr>
                <w:rFonts w:ascii="Cambria" w:hAnsi="Cambria"/>
                <w:color w:val="000000"/>
                <w:sz w:val="20"/>
                <w:szCs w:val="20"/>
              </w:rPr>
            </w:pPr>
            <w:r>
              <w:rPr>
                <w:rFonts w:ascii="Cambria" w:hAnsi="Cambria"/>
                <w:color w:val="000000"/>
                <w:sz w:val="20"/>
                <w:szCs w:val="20"/>
              </w:rPr>
              <w:t>1.034.089,91</w:t>
            </w:r>
          </w:p>
        </w:tc>
        <w:tc>
          <w:tcPr>
            <w:tcW w:w="1940" w:type="dxa"/>
            <w:tcBorders>
              <w:top w:val="nil"/>
              <w:left w:val="single" w:sz="4" w:space="0" w:color="808080"/>
              <w:bottom w:val="single" w:sz="4" w:space="0" w:color="808080"/>
              <w:right w:val="single" w:sz="4" w:space="0" w:color="808080"/>
            </w:tcBorders>
            <w:shd w:val="clear" w:color="000000" w:fill="E4E4E4"/>
            <w:vAlign w:val="center"/>
            <w:hideMark/>
          </w:tcPr>
          <w:p w14:paraId="49A7C117" w14:textId="77777777" w:rsidR="000F7254" w:rsidRDefault="000F7254">
            <w:pPr>
              <w:jc w:val="right"/>
              <w:rPr>
                <w:rFonts w:ascii="Cambria" w:hAnsi="Cambria"/>
                <w:color w:val="000000"/>
                <w:sz w:val="20"/>
                <w:szCs w:val="20"/>
              </w:rPr>
            </w:pPr>
            <w:r>
              <w:rPr>
                <w:rFonts w:ascii="Cambria" w:hAnsi="Cambria"/>
                <w:color w:val="000000"/>
                <w:sz w:val="20"/>
                <w:szCs w:val="20"/>
              </w:rPr>
              <w:t>5.059,51</w:t>
            </w:r>
          </w:p>
        </w:tc>
        <w:tc>
          <w:tcPr>
            <w:tcW w:w="2116" w:type="dxa"/>
            <w:tcBorders>
              <w:top w:val="nil"/>
              <w:left w:val="nil"/>
              <w:bottom w:val="single" w:sz="4" w:space="0" w:color="808080"/>
              <w:right w:val="nil"/>
            </w:tcBorders>
            <w:shd w:val="clear" w:color="000000" w:fill="E4E4E4"/>
            <w:vAlign w:val="center"/>
            <w:hideMark/>
          </w:tcPr>
          <w:p w14:paraId="43A759D6" w14:textId="77777777" w:rsidR="000F7254" w:rsidRDefault="000F7254" w:rsidP="000F7254">
            <w:pPr>
              <w:jc w:val="center"/>
              <w:rPr>
                <w:rFonts w:ascii="Cambria" w:hAnsi="Cambria"/>
                <w:color w:val="000000"/>
                <w:sz w:val="20"/>
                <w:szCs w:val="20"/>
              </w:rPr>
            </w:pPr>
            <w:r>
              <w:rPr>
                <w:rFonts w:ascii="Cambria" w:hAnsi="Cambria"/>
                <w:color w:val="000000"/>
                <w:sz w:val="20"/>
                <w:szCs w:val="20"/>
              </w:rPr>
              <w:t>0,49</w:t>
            </w:r>
          </w:p>
        </w:tc>
      </w:tr>
    </w:tbl>
    <w:p w14:paraId="7F81076A" w14:textId="77777777" w:rsidR="0033759C" w:rsidRDefault="0033759C" w:rsidP="0033759C">
      <w:pPr>
        <w:pStyle w:val="BodyText"/>
        <w:rPr>
          <w:rFonts w:ascii="Cambria" w:hAnsi="Cambria"/>
          <w:sz w:val="22"/>
          <w:szCs w:val="22"/>
          <w:lang w:val="sr-Latn-CS"/>
        </w:rPr>
      </w:pPr>
    </w:p>
    <w:p w14:paraId="14065E94" w14:textId="544E620B" w:rsidR="0033759C" w:rsidRDefault="0033759C" w:rsidP="0033759C">
      <w:pPr>
        <w:pStyle w:val="BodyText"/>
        <w:rPr>
          <w:rFonts w:ascii="Cambria" w:hAnsi="Cambria"/>
          <w:sz w:val="22"/>
          <w:szCs w:val="22"/>
          <w:lang w:val="sr-Latn-CS"/>
        </w:rPr>
      </w:pPr>
    </w:p>
    <w:p w14:paraId="5E141FE7" w14:textId="4518CDF0" w:rsidR="000F7254" w:rsidRDefault="000F7254" w:rsidP="0033759C">
      <w:pPr>
        <w:pStyle w:val="BodyText"/>
        <w:rPr>
          <w:rFonts w:ascii="Cambria" w:hAnsi="Cambria"/>
          <w:sz w:val="22"/>
          <w:szCs w:val="22"/>
          <w:lang w:val="sr-Latn-CS"/>
        </w:rPr>
      </w:pPr>
    </w:p>
    <w:p w14:paraId="63A1550A" w14:textId="3F484D34" w:rsidR="000F7254" w:rsidRDefault="000F7254" w:rsidP="0033759C">
      <w:pPr>
        <w:pStyle w:val="BodyText"/>
        <w:rPr>
          <w:rFonts w:ascii="Cambria" w:hAnsi="Cambria"/>
          <w:sz w:val="22"/>
          <w:szCs w:val="22"/>
          <w:lang w:val="sr-Latn-CS"/>
        </w:rPr>
      </w:pPr>
    </w:p>
    <w:p w14:paraId="53C6A54C" w14:textId="77777777" w:rsidR="000F7254" w:rsidRDefault="000F7254" w:rsidP="0033759C">
      <w:pPr>
        <w:pStyle w:val="BodyText"/>
        <w:rPr>
          <w:rFonts w:ascii="Cambria" w:hAnsi="Cambria"/>
          <w:sz w:val="22"/>
          <w:szCs w:val="22"/>
          <w:lang w:val="sr-Latn-CS"/>
        </w:rPr>
      </w:pPr>
      <w:bookmarkStart w:id="10" w:name="_GoBack"/>
      <w:bookmarkEnd w:id="10"/>
    </w:p>
    <w:p w14:paraId="53670AFD" w14:textId="77777777" w:rsidR="0033759C" w:rsidRDefault="0033759C" w:rsidP="0033759C">
      <w:pPr>
        <w:pStyle w:val="BodyText"/>
        <w:rPr>
          <w:rFonts w:ascii="Cambria" w:hAnsi="Cambria"/>
          <w:sz w:val="22"/>
          <w:szCs w:val="22"/>
          <w:lang w:val="sr-Latn-CS"/>
        </w:rPr>
      </w:pPr>
      <w:r w:rsidRPr="0083526E">
        <w:rPr>
          <w:rFonts w:ascii="Cambria" w:hAnsi="Cambria"/>
          <w:sz w:val="22"/>
          <w:szCs w:val="22"/>
          <w:lang w:val="sr-Latn-CS"/>
        </w:rPr>
        <w:t xml:space="preserve">Banja Luka, </w:t>
      </w:r>
      <w:r>
        <w:rPr>
          <w:rFonts w:ascii="Cambria" w:hAnsi="Cambria"/>
          <w:sz w:val="22"/>
          <w:szCs w:val="22"/>
          <w:lang w:val="sr-Latn-CS"/>
        </w:rPr>
        <w:t>juli</w:t>
      </w:r>
      <w:r w:rsidRPr="0083526E">
        <w:rPr>
          <w:rFonts w:ascii="Cambria" w:hAnsi="Cambria"/>
          <w:sz w:val="22"/>
          <w:szCs w:val="22"/>
          <w:lang w:val="sr-Latn-CS"/>
        </w:rPr>
        <w:t xml:space="preserve"> 2019. godine</w:t>
      </w:r>
    </w:p>
    <w:p w14:paraId="331D60BB" w14:textId="77777777" w:rsidR="0033759C" w:rsidRPr="0083526E" w:rsidRDefault="0033759C" w:rsidP="0033759C">
      <w:pPr>
        <w:pStyle w:val="BodyText"/>
        <w:rPr>
          <w:rFonts w:ascii="Cambria" w:hAnsi="Cambria"/>
          <w:sz w:val="22"/>
          <w:szCs w:val="22"/>
          <w:lang w:val="sr-Latn-CS"/>
        </w:rPr>
      </w:pPr>
    </w:p>
    <w:p w14:paraId="0914B117" w14:textId="77777777" w:rsidR="0033759C" w:rsidRPr="0083526E" w:rsidRDefault="0033759C" w:rsidP="0033759C">
      <w:pPr>
        <w:pStyle w:val="BodyText"/>
        <w:rPr>
          <w:rFonts w:ascii="Cambria" w:hAnsi="Cambria"/>
          <w:sz w:val="22"/>
          <w:szCs w:val="22"/>
          <w:lang w:val="sr-Latn-CS"/>
        </w:rPr>
      </w:pPr>
      <w:r w:rsidRPr="0083526E">
        <w:rPr>
          <w:rFonts w:ascii="Cambria" w:hAnsi="Cambria"/>
          <w:sz w:val="22"/>
          <w:szCs w:val="22"/>
          <w:lang w:val="sr-Latn-CS"/>
        </w:rPr>
        <w:t xml:space="preserve">Lice odgovorno za sastavljanje nota: </w:t>
      </w:r>
      <w:r>
        <w:rPr>
          <w:rFonts w:ascii="Cambria" w:hAnsi="Cambria"/>
          <w:sz w:val="22"/>
          <w:szCs w:val="22"/>
          <w:lang w:val="sr-Latn-CS"/>
        </w:rPr>
        <w:t xml:space="preserve"> </w:t>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sidRPr="0083526E">
        <w:rPr>
          <w:rFonts w:ascii="Cambria" w:hAnsi="Cambria"/>
          <w:color w:val="000000"/>
          <w:sz w:val="22"/>
          <w:szCs w:val="22"/>
          <w:lang w:val="sr-Latn-CS"/>
        </w:rPr>
        <w:t>Izvršni direktori:</w:t>
      </w:r>
      <w:r w:rsidRPr="0083526E">
        <w:rPr>
          <w:rFonts w:ascii="Cambria" w:hAnsi="Cambria"/>
          <w:sz w:val="22"/>
          <w:szCs w:val="22"/>
          <w:lang w:val="sr-Latn-CS"/>
        </w:rPr>
        <w:t xml:space="preserve"> </w:t>
      </w:r>
    </w:p>
    <w:p w14:paraId="79DA79F2" w14:textId="0CE80787" w:rsidR="0033759C" w:rsidRPr="0083526E" w:rsidRDefault="0033759C" w:rsidP="0033759C">
      <w:pPr>
        <w:pStyle w:val="BodyText"/>
        <w:rPr>
          <w:rFonts w:ascii="Cambria" w:hAnsi="Cambria"/>
          <w:sz w:val="22"/>
          <w:szCs w:val="22"/>
          <w:lang w:val="sr-Latn-CS"/>
        </w:rPr>
      </w:pPr>
      <w:r w:rsidRPr="0083526E">
        <w:rPr>
          <w:rFonts w:ascii="Cambria" w:hAnsi="Cambria"/>
          <w:sz w:val="22"/>
          <w:szCs w:val="22"/>
          <w:lang w:val="sr-Latn-CS"/>
        </w:rPr>
        <w:t>--------------------------------------------</w:t>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sidRPr="0083526E">
        <w:rPr>
          <w:rFonts w:ascii="Cambria" w:hAnsi="Cambria"/>
          <w:sz w:val="22"/>
          <w:szCs w:val="22"/>
          <w:lang w:val="sr-Latn-CS"/>
        </w:rPr>
        <w:t xml:space="preserve"> --------------------------------</w:t>
      </w:r>
    </w:p>
    <w:p w14:paraId="4D853AC4" w14:textId="77777777" w:rsidR="0033759C" w:rsidRPr="0083526E" w:rsidRDefault="0033759C" w:rsidP="0033759C">
      <w:pPr>
        <w:pStyle w:val="BodyText"/>
        <w:rPr>
          <w:rFonts w:ascii="Cambria" w:hAnsi="Cambria"/>
          <w:sz w:val="22"/>
          <w:szCs w:val="22"/>
          <w:lang w:val="sr-Latn-CS"/>
        </w:rPr>
      </w:pPr>
      <w:r>
        <w:rPr>
          <w:rFonts w:ascii="Cambria" w:hAnsi="Cambria"/>
          <w:sz w:val="22"/>
          <w:szCs w:val="22"/>
          <w:lang w:val="sr-Latn-CS"/>
        </w:rPr>
        <w:t>Milja Tomašević</w:t>
      </w:r>
      <w:r w:rsidRPr="0083526E">
        <w:rPr>
          <w:rFonts w:ascii="Cambria" w:hAnsi="Cambria"/>
          <w:sz w:val="22"/>
          <w:szCs w:val="22"/>
          <w:lang w:val="sr-Latn-CS"/>
        </w:rPr>
        <w:t xml:space="preserve">  </w:t>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t xml:space="preserve">  </w:t>
      </w:r>
      <w:r w:rsidRPr="0083526E">
        <w:rPr>
          <w:rFonts w:ascii="Cambria" w:hAnsi="Cambria"/>
          <w:sz w:val="22"/>
          <w:szCs w:val="22"/>
          <w:lang w:val="sr-Latn-CS"/>
        </w:rPr>
        <w:t>Duško Šuka</w:t>
      </w:r>
    </w:p>
    <w:p w14:paraId="0B2C42CE" w14:textId="2B4A5270" w:rsidR="0033759C" w:rsidRPr="0083526E" w:rsidRDefault="0033759C" w:rsidP="0033759C">
      <w:pPr>
        <w:pStyle w:val="BodyText"/>
        <w:rPr>
          <w:rFonts w:ascii="Cambria" w:hAnsi="Cambria"/>
          <w:sz w:val="22"/>
          <w:szCs w:val="22"/>
          <w:lang w:val="sr-Latn-CS"/>
        </w:rPr>
      </w:pPr>
      <w:r w:rsidRPr="0083526E">
        <w:rPr>
          <w:rFonts w:ascii="Cambria" w:hAnsi="Cambria"/>
          <w:sz w:val="22"/>
          <w:szCs w:val="22"/>
          <w:lang w:val="sr-Latn-CS"/>
        </w:rPr>
        <w:t>Licenca br.SR</w:t>
      </w:r>
      <w:r>
        <w:rPr>
          <w:rFonts w:ascii="Cambria" w:hAnsi="Cambria"/>
          <w:sz w:val="22"/>
          <w:szCs w:val="22"/>
          <w:lang w:val="sr-Latn-CS"/>
        </w:rPr>
        <w:t>T</w:t>
      </w:r>
      <w:r w:rsidRPr="0083526E">
        <w:rPr>
          <w:rFonts w:ascii="Cambria" w:hAnsi="Cambria"/>
          <w:sz w:val="22"/>
          <w:szCs w:val="22"/>
          <w:lang w:val="sr-Latn-CS"/>
        </w:rPr>
        <w:t>-1</w:t>
      </w:r>
      <w:r>
        <w:rPr>
          <w:rFonts w:ascii="Cambria" w:hAnsi="Cambria"/>
          <w:sz w:val="22"/>
          <w:szCs w:val="22"/>
          <w:lang w:val="sr-Latn-CS"/>
        </w:rPr>
        <w:t>2</w:t>
      </w:r>
      <w:r w:rsidRPr="0083526E">
        <w:rPr>
          <w:rFonts w:ascii="Cambria" w:hAnsi="Cambria"/>
          <w:sz w:val="22"/>
          <w:szCs w:val="22"/>
          <w:lang w:val="sr-Latn-CS"/>
        </w:rPr>
        <w:t>95/19</w:t>
      </w:r>
      <w:r>
        <w:rPr>
          <w:rFonts w:ascii="Cambria" w:hAnsi="Cambria"/>
          <w:sz w:val="22"/>
          <w:szCs w:val="22"/>
          <w:lang w:val="sr-Latn-CS"/>
        </w:rPr>
        <w:t xml:space="preserve">         </w:t>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t xml:space="preserve">  -------</w:t>
      </w:r>
      <w:r w:rsidRPr="0083526E">
        <w:rPr>
          <w:rFonts w:ascii="Cambria" w:hAnsi="Cambria"/>
          <w:sz w:val="22"/>
          <w:szCs w:val="22"/>
          <w:lang w:val="sr-Latn-CS"/>
        </w:rPr>
        <w:t>------------------------</w:t>
      </w:r>
    </w:p>
    <w:p w14:paraId="3C0B84E5" w14:textId="77777777" w:rsidR="0033759C" w:rsidRPr="0083526E" w:rsidRDefault="0033759C" w:rsidP="0033759C">
      <w:pPr>
        <w:pStyle w:val="BodyText"/>
        <w:rPr>
          <w:rFonts w:ascii="Cambria" w:hAnsi="Cambria"/>
          <w:color w:val="000000"/>
          <w:sz w:val="22"/>
          <w:szCs w:val="22"/>
          <w:lang w:val="sr-Latn-CS"/>
        </w:rPr>
      </w:pP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Pr>
          <w:rFonts w:ascii="Cambria" w:hAnsi="Cambria"/>
          <w:sz w:val="22"/>
          <w:szCs w:val="22"/>
          <w:lang w:val="sr-Latn-CS"/>
        </w:rPr>
        <w:tab/>
      </w:r>
      <w:r w:rsidRPr="0083526E">
        <w:rPr>
          <w:rFonts w:ascii="Cambria" w:hAnsi="Cambria"/>
          <w:sz w:val="22"/>
          <w:szCs w:val="22"/>
          <w:lang w:val="sr-Latn-CS"/>
        </w:rPr>
        <w:t>Aleksandar Čolić</w:t>
      </w:r>
    </w:p>
    <w:p w14:paraId="20F6178A" w14:textId="77777777" w:rsidR="0033759C" w:rsidRPr="0083526E" w:rsidRDefault="0033759C" w:rsidP="0033759C">
      <w:pPr>
        <w:pStyle w:val="BodyText"/>
        <w:rPr>
          <w:rFonts w:ascii="Cambria" w:hAnsi="Cambria"/>
          <w:sz w:val="22"/>
          <w:szCs w:val="22"/>
          <w:lang w:val="sr-Latn-CS"/>
        </w:rPr>
      </w:pPr>
    </w:p>
    <w:p w14:paraId="1BF1D483" w14:textId="77777777" w:rsidR="0033759C" w:rsidRPr="0083526E" w:rsidRDefault="0033759C" w:rsidP="0033759C">
      <w:pPr>
        <w:ind w:left="3600" w:firstLine="720"/>
        <w:rPr>
          <w:rFonts w:ascii="Cambria" w:hAnsi="Cambria"/>
          <w:color w:val="000000"/>
          <w:sz w:val="22"/>
          <w:szCs w:val="22"/>
          <w:lang w:val="sr-Latn-CS"/>
        </w:rPr>
      </w:pPr>
      <w:r>
        <w:rPr>
          <w:rFonts w:ascii="Cambria" w:hAnsi="Cambria"/>
          <w:color w:val="000000"/>
          <w:sz w:val="22"/>
          <w:szCs w:val="22"/>
          <w:lang w:val="sr-Latn-BA"/>
        </w:rPr>
        <w:t xml:space="preserve">         </w:t>
      </w:r>
      <w:r w:rsidRPr="0083526E">
        <w:rPr>
          <w:rFonts w:ascii="Cambria" w:hAnsi="Cambria"/>
          <w:color w:val="000000"/>
          <w:sz w:val="22"/>
          <w:szCs w:val="22"/>
          <w:lang w:val="sr-Cyrl-BA"/>
        </w:rPr>
        <w:t>(М.</w:t>
      </w:r>
      <w:r w:rsidRPr="0083526E">
        <w:rPr>
          <w:rFonts w:ascii="Cambria" w:hAnsi="Cambria"/>
          <w:color w:val="000000"/>
          <w:sz w:val="22"/>
          <w:szCs w:val="22"/>
          <w:lang w:val="sr-Latn-CS"/>
        </w:rPr>
        <w:t>P</w:t>
      </w:r>
      <w:r w:rsidRPr="0083526E">
        <w:rPr>
          <w:rFonts w:ascii="Cambria" w:hAnsi="Cambria"/>
          <w:color w:val="000000"/>
          <w:sz w:val="22"/>
          <w:szCs w:val="22"/>
          <w:lang w:val="sr-Cyrl-BA"/>
        </w:rPr>
        <w:t>)</w:t>
      </w:r>
    </w:p>
    <w:p w14:paraId="27727517" w14:textId="77777777" w:rsidR="0033759C" w:rsidRPr="0083526E" w:rsidRDefault="0033759C" w:rsidP="0033759C">
      <w:pPr>
        <w:jc w:val="both"/>
        <w:rPr>
          <w:rFonts w:ascii="Cambria" w:hAnsi="Cambria"/>
          <w:color w:val="000000"/>
          <w:sz w:val="22"/>
          <w:szCs w:val="22"/>
          <w:lang w:val="sr-Latn-CS"/>
        </w:rPr>
      </w:pPr>
    </w:p>
    <w:p w14:paraId="18106677" w14:textId="77777777" w:rsidR="00E67426" w:rsidRPr="0033759C" w:rsidRDefault="00E67426" w:rsidP="00673F65">
      <w:pPr>
        <w:jc w:val="both"/>
        <w:rPr>
          <w:rFonts w:asciiTheme="majorHAnsi" w:hAnsiTheme="majorHAnsi"/>
          <w:color w:val="000000"/>
          <w:sz w:val="22"/>
          <w:szCs w:val="22"/>
          <w:lang w:val="sr-Latn-CS"/>
        </w:rPr>
      </w:pPr>
    </w:p>
    <w:sectPr w:rsidR="00E67426" w:rsidRPr="0033759C" w:rsidSect="00AF6BE9">
      <w:footerReference w:type="even" r:id="rId8"/>
      <w:footerReference w:type="default" r:id="rId9"/>
      <w:pgSz w:w="12240" w:h="15840"/>
      <w:pgMar w:top="1440" w:right="1644" w:bottom="1440"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4FF9F" w14:textId="77777777" w:rsidR="00910CAE" w:rsidRDefault="00910CAE">
      <w:r>
        <w:separator/>
      </w:r>
    </w:p>
  </w:endnote>
  <w:endnote w:type="continuationSeparator" w:id="0">
    <w:p w14:paraId="57E3B98D" w14:textId="77777777" w:rsidR="00910CAE" w:rsidRDefault="0091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Cirilica">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9E84" w14:textId="77777777" w:rsidR="007D07FB" w:rsidRDefault="007D07FB" w:rsidP="00DA45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B1163" w14:textId="77777777" w:rsidR="007D07FB" w:rsidRDefault="007D07FB" w:rsidP="00DA45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7C45" w14:textId="77777777" w:rsidR="007D07FB" w:rsidRDefault="007D07FB" w:rsidP="00DA45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11F5">
      <w:rPr>
        <w:rStyle w:val="PageNumber"/>
        <w:noProof/>
      </w:rPr>
      <w:t>4</w:t>
    </w:r>
    <w:r>
      <w:rPr>
        <w:rStyle w:val="PageNumber"/>
      </w:rPr>
      <w:fldChar w:fldCharType="end"/>
    </w:r>
  </w:p>
  <w:p w14:paraId="6EF41484" w14:textId="77777777" w:rsidR="007D07FB" w:rsidRDefault="007D07FB" w:rsidP="00DA45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C23EC" w14:textId="77777777" w:rsidR="00910CAE" w:rsidRDefault="00910CAE">
      <w:r>
        <w:separator/>
      </w:r>
    </w:p>
  </w:footnote>
  <w:footnote w:type="continuationSeparator" w:id="0">
    <w:p w14:paraId="18DDE017" w14:textId="77777777" w:rsidR="00910CAE" w:rsidRDefault="00910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6E9A"/>
    <w:multiLevelType w:val="hybridMultilevel"/>
    <w:tmpl w:val="2256A6BA"/>
    <w:lvl w:ilvl="0" w:tplc="B8F2A4B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BA56487"/>
    <w:multiLevelType w:val="hybridMultilevel"/>
    <w:tmpl w:val="DC089B7C"/>
    <w:lvl w:ilvl="0" w:tplc="E798435E">
      <w:start w:val="5"/>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4D97DDA"/>
    <w:multiLevelType w:val="hybridMultilevel"/>
    <w:tmpl w:val="BD82D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CF5E29"/>
    <w:multiLevelType w:val="hybridMultilevel"/>
    <w:tmpl w:val="23E8C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BB6706"/>
    <w:multiLevelType w:val="hybridMultilevel"/>
    <w:tmpl w:val="C7FA4AF4"/>
    <w:lvl w:ilvl="0" w:tplc="111E0D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01D4B"/>
    <w:multiLevelType w:val="multilevel"/>
    <w:tmpl w:val="F72E6404"/>
    <w:lvl w:ilvl="0">
      <w:start w:val="1"/>
      <w:numFmt w:val="upperRoman"/>
      <w:pStyle w:val="Heading1"/>
      <w:lvlText w:val="%1."/>
      <w:lvlJc w:val="left"/>
      <w:pPr>
        <w:tabs>
          <w:tab w:val="num" w:pos="720"/>
        </w:tabs>
        <w:ind w:left="0" w:firstLine="0"/>
      </w:pPr>
      <w:rPr>
        <w:rFonts w:ascii="Times New Roman" w:hAnsi="Times New Roman" w:hint="default"/>
      </w:rPr>
    </w:lvl>
    <w:lvl w:ilvl="1">
      <w:start w:val="1"/>
      <w:numFmt w:val="decimal"/>
      <w:pStyle w:val="Heading2"/>
      <w:lvlText w:val="%2."/>
      <w:lvlJc w:val="left"/>
      <w:pPr>
        <w:tabs>
          <w:tab w:val="num" w:pos="1440"/>
        </w:tabs>
        <w:ind w:left="720" w:firstLine="0"/>
      </w:pPr>
      <w:rPr>
        <w:rFonts w:hint="default"/>
      </w:rPr>
    </w:lvl>
    <w:lvl w:ilvl="2">
      <w:start w:val="1"/>
      <w:numFmt w:val="none"/>
      <w:pStyle w:val="Heading3"/>
      <w:lvlText w:val=""/>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6"/>
      <w:numFmt w:val="decimal"/>
      <w:pStyle w:val="Heading6"/>
      <w:lvlText w:val="Члан %6."/>
      <w:lvlJc w:val="left"/>
      <w:pPr>
        <w:tabs>
          <w:tab w:val="num" w:pos="504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39E71941"/>
    <w:multiLevelType w:val="hybridMultilevel"/>
    <w:tmpl w:val="680881CA"/>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7" w15:restartNumberingAfterBreak="0">
    <w:nsid w:val="3FD91DF0"/>
    <w:multiLevelType w:val="hybridMultilevel"/>
    <w:tmpl w:val="525AD2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6F71A3"/>
    <w:multiLevelType w:val="hybridMultilevel"/>
    <w:tmpl w:val="D806D8F0"/>
    <w:lvl w:ilvl="0" w:tplc="6E3A3C4C">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756C11C">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6B29B9"/>
    <w:multiLevelType w:val="hybridMultilevel"/>
    <w:tmpl w:val="B6461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DE59EF"/>
    <w:multiLevelType w:val="hybridMultilevel"/>
    <w:tmpl w:val="A26C8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400088"/>
    <w:multiLevelType w:val="hybridMultilevel"/>
    <w:tmpl w:val="3F38D010"/>
    <w:lvl w:ilvl="0" w:tplc="6ECE5DFC">
      <w:start w:val="1"/>
      <w:numFmt w:val="decimal"/>
      <w:lvlText w:val="%1."/>
      <w:lvlJc w:val="left"/>
      <w:pPr>
        <w:tabs>
          <w:tab w:val="num" w:pos="720"/>
        </w:tabs>
        <w:ind w:left="720" w:hanging="360"/>
      </w:pPr>
      <w:rPr>
        <w:rFonts w:hint="default"/>
      </w:rPr>
    </w:lvl>
    <w:lvl w:ilvl="1" w:tplc="244A712E">
      <w:numFmt w:val="none"/>
      <w:lvlText w:val=""/>
      <w:lvlJc w:val="left"/>
      <w:pPr>
        <w:tabs>
          <w:tab w:val="num" w:pos="360"/>
        </w:tabs>
      </w:pPr>
    </w:lvl>
    <w:lvl w:ilvl="2" w:tplc="7538559C">
      <w:numFmt w:val="none"/>
      <w:lvlText w:val=""/>
      <w:lvlJc w:val="left"/>
      <w:pPr>
        <w:tabs>
          <w:tab w:val="num" w:pos="360"/>
        </w:tabs>
      </w:pPr>
    </w:lvl>
    <w:lvl w:ilvl="3" w:tplc="CF709032">
      <w:numFmt w:val="none"/>
      <w:lvlText w:val=""/>
      <w:lvlJc w:val="left"/>
      <w:pPr>
        <w:tabs>
          <w:tab w:val="num" w:pos="360"/>
        </w:tabs>
      </w:pPr>
    </w:lvl>
    <w:lvl w:ilvl="4" w:tplc="4524DA48">
      <w:numFmt w:val="none"/>
      <w:lvlText w:val=""/>
      <w:lvlJc w:val="left"/>
      <w:pPr>
        <w:tabs>
          <w:tab w:val="num" w:pos="360"/>
        </w:tabs>
      </w:pPr>
    </w:lvl>
    <w:lvl w:ilvl="5" w:tplc="9E78F426">
      <w:numFmt w:val="none"/>
      <w:lvlText w:val=""/>
      <w:lvlJc w:val="left"/>
      <w:pPr>
        <w:tabs>
          <w:tab w:val="num" w:pos="360"/>
        </w:tabs>
      </w:pPr>
    </w:lvl>
    <w:lvl w:ilvl="6" w:tplc="DA520BAC">
      <w:numFmt w:val="none"/>
      <w:lvlText w:val=""/>
      <w:lvlJc w:val="left"/>
      <w:pPr>
        <w:tabs>
          <w:tab w:val="num" w:pos="360"/>
        </w:tabs>
      </w:pPr>
    </w:lvl>
    <w:lvl w:ilvl="7" w:tplc="0756DADA">
      <w:numFmt w:val="none"/>
      <w:lvlText w:val=""/>
      <w:lvlJc w:val="left"/>
      <w:pPr>
        <w:tabs>
          <w:tab w:val="num" w:pos="360"/>
        </w:tabs>
      </w:pPr>
    </w:lvl>
    <w:lvl w:ilvl="8" w:tplc="8592D35E">
      <w:numFmt w:val="none"/>
      <w:lvlText w:val=""/>
      <w:lvlJc w:val="left"/>
      <w:pPr>
        <w:tabs>
          <w:tab w:val="num" w:pos="360"/>
        </w:tabs>
      </w:pPr>
    </w:lvl>
  </w:abstractNum>
  <w:abstractNum w:abstractNumId="12" w15:restartNumberingAfterBreak="0">
    <w:nsid w:val="6EA9130F"/>
    <w:multiLevelType w:val="hybridMultilevel"/>
    <w:tmpl w:val="27A2F642"/>
    <w:lvl w:ilvl="0" w:tplc="04090011">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67ED9"/>
    <w:multiLevelType w:val="hybridMultilevel"/>
    <w:tmpl w:val="49941B5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20378A"/>
    <w:multiLevelType w:val="hybridMultilevel"/>
    <w:tmpl w:val="E6AE6758"/>
    <w:lvl w:ilvl="0" w:tplc="B776A86C">
      <w:start w:val="2"/>
      <w:numFmt w:val="decimal"/>
      <w:lvlText w:val="%1."/>
      <w:lvlJc w:val="left"/>
      <w:pPr>
        <w:tabs>
          <w:tab w:val="num" w:pos="1085"/>
        </w:tabs>
        <w:ind w:left="1085" w:hanging="600"/>
      </w:pPr>
      <w:rPr>
        <w:rFonts w:hint="default"/>
        <w:b/>
      </w:rPr>
    </w:lvl>
    <w:lvl w:ilvl="1" w:tplc="04090019" w:tentative="1">
      <w:start w:val="1"/>
      <w:numFmt w:val="lowerLetter"/>
      <w:lvlText w:val="%2."/>
      <w:lvlJc w:val="left"/>
      <w:pPr>
        <w:tabs>
          <w:tab w:val="num" w:pos="1565"/>
        </w:tabs>
        <w:ind w:left="1565" w:hanging="360"/>
      </w:pPr>
    </w:lvl>
    <w:lvl w:ilvl="2" w:tplc="0409001B" w:tentative="1">
      <w:start w:val="1"/>
      <w:numFmt w:val="lowerRoman"/>
      <w:lvlText w:val="%3."/>
      <w:lvlJc w:val="right"/>
      <w:pPr>
        <w:tabs>
          <w:tab w:val="num" w:pos="2285"/>
        </w:tabs>
        <w:ind w:left="2285" w:hanging="180"/>
      </w:pPr>
    </w:lvl>
    <w:lvl w:ilvl="3" w:tplc="0409000F" w:tentative="1">
      <w:start w:val="1"/>
      <w:numFmt w:val="decimal"/>
      <w:lvlText w:val="%4."/>
      <w:lvlJc w:val="left"/>
      <w:pPr>
        <w:tabs>
          <w:tab w:val="num" w:pos="3005"/>
        </w:tabs>
        <w:ind w:left="3005" w:hanging="360"/>
      </w:pPr>
    </w:lvl>
    <w:lvl w:ilvl="4" w:tplc="04090019" w:tentative="1">
      <w:start w:val="1"/>
      <w:numFmt w:val="lowerLetter"/>
      <w:lvlText w:val="%5."/>
      <w:lvlJc w:val="left"/>
      <w:pPr>
        <w:tabs>
          <w:tab w:val="num" w:pos="3725"/>
        </w:tabs>
        <w:ind w:left="3725" w:hanging="360"/>
      </w:pPr>
    </w:lvl>
    <w:lvl w:ilvl="5" w:tplc="0409001B" w:tentative="1">
      <w:start w:val="1"/>
      <w:numFmt w:val="lowerRoman"/>
      <w:lvlText w:val="%6."/>
      <w:lvlJc w:val="right"/>
      <w:pPr>
        <w:tabs>
          <w:tab w:val="num" w:pos="4445"/>
        </w:tabs>
        <w:ind w:left="4445" w:hanging="180"/>
      </w:pPr>
    </w:lvl>
    <w:lvl w:ilvl="6" w:tplc="0409000F" w:tentative="1">
      <w:start w:val="1"/>
      <w:numFmt w:val="decimal"/>
      <w:lvlText w:val="%7."/>
      <w:lvlJc w:val="left"/>
      <w:pPr>
        <w:tabs>
          <w:tab w:val="num" w:pos="5165"/>
        </w:tabs>
        <w:ind w:left="5165" w:hanging="360"/>
      </w:pPr>
    </w:lvl>
    <w:lvl w:ilvl="7" w:tplc="04090019" w:tentative="1">
      <w:start w:val="1"/>
      <w:numFmt w:val="lowerLetter"/>
      <w:lvlText w:val="%8."/>
      <w:lvlJc w:val="left"/>
      <w:pPr>
        <w:tabs>
          <w:tab w:val="num" w:pos="5885"/>
        </w:tabs>
        <w:ind w:left="5885" w:hanging="360"/>
      </w:pPr>
    </w:lvl>
    <w:lvl w:ilvl="8" w:tplc="0409001B" w:tentative="1">
      <w:start w:val="1"/>
      <w:numFmt w:val="lowerRoman"/>
      <w:lvlText w:val="%9."/>
      <w:lvlJc w:val="right"/>
      <w:pPr>
        <w:tabs>
          <w:tab w:val="num" w:pos="6605"/>
        </w:tabs>
        <w:ind w:left="6605" w:hanging="180"/>
      </w:pPr>
    </w:lvl>
  </w:abstractNum>
  <w:num w:numId="1">
    <w:abstractNumId w:val="9"/>
  </w:num>
  <w:num w:numId="2">
    <w:abstractNumId w:val="3"/>
  </w:num>
  <w:num w:numId="3">
    <w:abstractNumId w:val="11"/>
  </w:num>
  <w:num w:numId="4">
    <w:abstractNumId w:val="5"/>
  </w:num>
  <w:num w:numId="5">
    <w:abstractNumId w:val="7"/>
  </w:num>
  <w:num w:numId="6">
    <w:abstractNumId w:val="13"/>
  </w:num>
  <w:num w:numId="7">
    <w:abstractNumId w:val="14"/>
  </w:num>
  <w:num w:numId="8">
    <w:abstractNumId w:val="8"/>
  </w:num>
  <w:num w:numId="9">
    <w:abstractNumId w:val="12"/>
  </w:num>
  <w:num w:numId="10">
    <w:abstractNumId w:val="10"/>
  </w:num>
  <w:num w:numId="11">
    <w:abstractNumId w:val="4"/>
  </w:num>
  <w:num w:numId="12">
    <w:abstractNumId w:val="2"/>
  </w:num>
  <w:num w:numId="13">
    <w:abstractNumId w:val="6"/>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44"/>
    <w:rsid w:val="000029A2"/>
    <w:rsid w:val="00005285"/>
    <w:rsid w:val="000077B8"/>
    <w:rsid w:val="00007F24"/>
    <w:rsid w:val="000102A8"/>
    <w:rsid w:val="000120EE"/>
    <w:rsid w:val="00012461"/>
    <w:rsid w:val="0001289A"/>
    <w:rsid w:val="00012A11"/>
    <w:rsid w:val="00012C36"/>
    <w:rsid w:val="00016EBE"/>
    <w:rsid w:val="00022792"/>
    <w:rsid w:val="00023F4E"/>
    <w:rsid w:val="000273CF"/>
    <w:rsid w:val="000276D1"/>
    <w:rsid w:val="0002774B"/>
    <w:rsid w:val="00027C2D"/>
    <w:rsid w:val="00031DB8"/>
    <w:rsid w:val="00032E5A"/>
    <w:rsid w:val="00033EDB"/>
    <w:rsid w:val="000343A9"/>
    <w:rsid w:val="00034508"/>
    <w:rsid w:val="00035541"/>
    <w:rsid w:val="000358AC"/>
    <w:rsid w:val="00035D2A"/>
    <w:rsid w:val="00035EFB"/>
    <w:rsid w:val="000363F3"/>
    <w:rsid w:val="000369E8"/>
    <w:rsid w:val="00041426"/>
    <w:rsid w:val="00041C33"/>
    <w:rsid w:val="00041F39"/>
    <w:rsid w:val="00042897"/>
    <w:rsid w:val="00043438"/>
    <w:rsid w:val="00043439"/>
    <w:rsid w:val="00047E4A"/>
    <w:rsid w:val="00050213"/>
    <w:rsid w:val="000537DF"/>
    <w:rsid w:val="000545D4"/>
    <w:rsid w:val="00054AE5"/>
    <w:rsid w:val="00054F53"/>
    <w:rsid w:val="00055517"/>
    <w:rsid w:val="00055927"/>
    <w:rsid w:val="00063553"/>
    <w:rsid w:val="00063928"/>
    <w:rsid w:val="00064008"/>
    <w:rsid w:val="00065484"/>
    <w:rsid w:val="00065C9B"/>
    <w:rsid w:val="00066BE2"/>
    <w:rsid w:val="000673B3"/>
    <w:rsid w:val="00067CA5"/>
    <w:rsid w:val="00067D3A"/>
    <w:rsid w:val="000707A4"/>
    <w:rsid w:val="00071161"/>
    <w:rsid w:val="000731CE"/>
    <w:rsid w:val="000738E2"/>
    <w:rsid w:val="000742B3"/>
    <w:rsid w:val="00074E68"/>
    <w:rsid w:val="000764D3"/>
    <w:rsid w:val="000767A6"/>
    <w:rsid w:val="00077F12"/>
    <w:rsid w:val="000822F7"/>
    <w:rsid w:val="000853C5"/>
    <w:rsid w:val="000857B4"/>
    <w:rsid w:val="000858B2"/>
    <w:rsid w:val="000860A5"/>
    <w:rsid w:val="00086119"/>
    <w:rsid w:val="000902D6"/>
    <w:rsid w:val="00090C4B"/>
    <w:rsid w:val="00091FF7"/>
    <w:rsid w:val="000940D8"/>
    <w:rsid w:val="00094386"/>
    <w:rsid w:val="0009478F"/>
    <w:rsid w:val="00094C92"/>
    <w:rsid w:val="000A1A6D"/>
    <w:rsid w:val="000A200E"/>
    <w:rsid w:val="000A4917"/>
    <w:rsid w:val="000A4920"/>
    <w:rsid w:val="000A4DEB"/>
    <w:rsid w:val="000A5028"/>
    <w:rsid w:val="000A741B"/>
    <w:rsid w:val="000A76E6"/>
    <w:rsid w:val="000B183C"/>
    <w:rsid w:val="000B3E5D"/>
    <w:rsid w:val="000B4769"/>
    <w:rsid w:val="000B5E4F"/>
    <w:rsid w:val="000C0A6E"/>
    <w:rsid w:val="000C10D4"/>
    <w:rsid w:val="000C1A57"/>
    <w:rsid w:val="000C272B"/>
    <w:rsid w:val="000C38DA"/>
    <w:rsid w:val="000C40CB"/>
    <w:rsid w:val="000C4E86"/>
    <w:rsid w:val="000C5C92"/>
    <w:rsid w:val="000C6687"/>
    <w:rsid w:val="000C6983"/>
    <w:rsid w:val="000D1463"/>
    <w:rsid w:val="000D16AB"/>
    <w:rsid w:val="000D190D"/>
    <w:rsid w:val="000D3894"/>
    <w:rsid w:val="000D3D3F"/>
    <w:rsid w:val="000D4E6A"/>
    <w:rsid w:val="000D66D2"/>
    <w:rsid w:val="000D70A5"/>
    <w:rsid w:val="000D7B3E"/>
    <w:rsid w:val="000E0B6C"/>
    <w:rsid w:val="000E0EA3"/>
    <w:rsid w:val="000E2EB5"/>
    <w:rsid w:val="000E40EA"/>
    <w:rsid w:val="000E4F39"/>
    <w:rsid w:val="000E569A"/>
    <w:rsid w:val="000E777F"/>
    <w:rsid w:val="000F02C9"/>
    <w:rsid w:val="000F0439"/>
    <w:rsid w:val="000F065D"/>
    <w:rsid w:val="000F11DF"/>
    <w:rsid w:val="000F1234"/>
    <w:rsid w:val="000F3445"/>
    <w:rsid w:val="000F4A2D"/>
    <w:rsid w:val="000F69AE"/>
    <w:rsid w:val="000F7254"/>
    <w:rsid w:val="00101CBA"/>
    <w:rsid w:val="00102EDD"/>
    <w:rsid w:val="00103751"/>
    <w:rsid w:val="00103E33"/>
    <w:rsid w:val="00104D2E"/>
    <w:rsid w:val="00107E71"/>
    <w:rsid w:val="001121FE"/>
    <w:rsid w:val="00112F7D"/>
    <w:rsid w:val="001133CB"/>
    <w:rsid w:val="00114520"/>
    <w:rsid w:val="00120E93"/>
    <w:rsid w:val="001212C5"/>
    <w:rsid w:val="00121706"/>
    <w:rsid w:val="00121D46"/>
    <w:rsid w:val="0012210D"/>
    <w:rsid w:val="0012312C"/>
    <w:rsid w:val="001239AF"/>
    <w:rsid w:val="00123B97"/>
    <w:rsid w:val="001255C3"/>
    <w:rsid w:val="00125A0E"/>
    <w:rsid w:val="001260AB"/>
    <w:rsid w:val="00126E6D"/>
    <w:rsid w:val="001304EA"/>
    <w:rsid w:val="0013121B"/>
    <w:rsid w:val="00131929"/>
    <w:rsid w:val="001340EC"/>
    <w:rsid w:val="0013416E"/>
    <w:rsid w:val="00134F54"/>
    <w:rsid w:val="00135C07"/>
    <w:rsid w:val="001405C2"/>
    <w:rsid w:val="0014073B"/>
    <w:rsid w:val="00140E62"/>
    <w:rsid w:val="00141A3E"/>
    <w:rsid w:val="00141DF5"/>
    <w:rsid w:val="00142158"/>
    <w:rsid w:val="0014217D"/>
    <w:rsid w:val="0014238E"/>
    <w:rsid w:val="00146187"/>
    <w:rsid w:val="00146DE3"/>
    <w:rsid w:val="0015284F"/>
    <w:rsid w:val="00153EAB"/>
    <w:rsid w:val="0015606E"/>
    <w:rsid w:val="001608EC"/>
    <w:rsid w:val="0016308F"/>
    <w:rsid w:val="0016339F"/>
    <w:rsid w:val="001634BD"/>
    <w:rsid w:val="0016523B"/>
    <w:rsid w:val="00166821"/>
    <w:rsid w:val="00166D1F"/>
    <w:rsid w:val="0016747A"/>
    <w:rsid w:val="0017149E"/>
    <w:rsid w:val="00171BC5"/>
    <w:rsid w:val="0017201E"/>
    <w:rsid w:val="00172108"/>
    <w:rsid w:val="001725FA"/>
    <w:rsid w:val="00173228"/>
    <w:rsid w:val="001742F2"/>
    <w:rsid w:val="001759D3"/>
    <w:rsid w:val="00175A26"/>
    <w:rsid w:val="001765B9"/>
    <w:rsid w:val="001768D2"/>
    <w:rsid w:val="00177BED"/>
    <w:rsid w:val="00180B84"/>
    <w:rsid w:val="00180B8A"/>
    <w:rsid w:val="00182BF3"/>
    <w:rsid w:val="00183678"/>
    <w:rsid w:val="00183AE9"/>
    <w:rsid w:val="00184822"/>
    <w:rsid w:val="00184E45"/>
    <w:rsid w:val="00186186"/>
    <w:rsid w:val="00186809"/>
    <w:rsid w:val="00186D5A"/>
    <w:rsid w:val="001902D4"/>
    <w:rsid w:val="001907B7"/>
    <w:rsid w:val="00192051"/>
    <w:rsid w:val="001938AE"/>
    <w:rsid w:val="00196272"/>
    <w:rsid w:val="00197DFB"/>
    <w:rsid w:val="001A1AE4"/>
    <w:rsid w:val="001A396A"/>
    <w:rsid w:val="001A7FB3"/>
    <w:rsid w:val="001B1D18"/>
    <w:rsid w:val="001B343B"/>
    <w:rsid w:val="001B5349"/>
    <w:rsid w:val="001B6517"/>
    <w:rsid w:val="001B70FE"/>
    <w:rsid w:val="001B71F0"/>
    <w:rsid w:val="001C326F"/>
    <w:rsid w:val="001C61BA"/>
    <w:rsid w:val="001C6448"/>
    <w:rsid w:val="001C67F4"/>
    <w:rsid w:val="001C6879"/>
    <w:rsid w:val="001D3AF2"/>
    <w:rsid w:val="001D5144"/>
    <w:rsid w:val="001D703C"/>
    <w:rsid w:val="001E01FB"/>
    <w:rsid w:val="001E1EE4"/>
    <w:rsid w:val="001E38D7"/>
    <w:rsid w:val="001E5187"/>
    <w:rsid w:val="001E5324"/>
    <w:rsid w:val="001E770D"/>
    <w:rsid w:val="001E777D"/>
    <w:rsid w:val="001F14A6"/>
    <w:rsid w:val="001F1B14"/>
    <w:rsid w:val="001F2A6C"/>
    <w:rsid w:val="001F31AF"/>
    <w:rsid w:val="001F6186"/>
    <w:rsid w:val="001F72AB"/>
    <w:rsid w:val="001F7FA3"/>
    <w:rsid w:val="00201255"/>
    <w:rsid w:val="00201B1C"/>
    <w:rsid w:val="002025C4"/>
    <w:rsid w:val="002026C2"/>
    <w:rsid w:val="00202918"/>
    <w:rsid w:val="00202B95"/>
    <w:rsid w:val="00202BFA"/>
    <w:rsid w:val="002039BB"/>
    <w:rsid w:val="00204447"/>
    <w:rsid w:val="00205B49"/>
    <w:rsid w:val="00206620"/>
    <w:rsid w:val="0020684D"/>
    <w:rsid w:val="002100B7"/>
    <w:rsid w:val="002127E2"/>
    <w:rsid w:val="00212DD2"/>
    <w:rsid w:val="0021366B"/>
    <w:rsid w:val="00213AEF"/>
    <w:rsid w:val="00213CCF"/>
    <w:rsid w:val="00215503"/>
    <w:rsid w:val="00221C75"/>
    <w:rsid w:val="00222039"/>
    <w:rsid w:val="002241A2"/>
    <w:rsid w:val="00224CD8"/>
    <w:rsid w:val="00224E31"/>
    <w:rsid w:val="00224F2F"/>
    <w:rsid w:val="00225459"/>
    <w:rsid w:val="0022567F"/>
    <w:rsid w:val="002316B5"/>
    <w:rsid w:val="00232F0D"/>
    <w:rsid w:val="00232F6B"/>
    <w:rsid w:val="0023385E"/>
    <w:rsid w:val="00234697"/>
    <w:rsid w:val="00236AA5"/>
    <w:rsid w:val="00240AE0"/>
    <w:rsid w:val="0024294B"/>
    <w:rsid w:val="00245FF6"/>
    <w:rsid w:val="0024771C"/>
    <w:rsid w:val="0025135A"/>
    <w:rsid w:val="00251743"/>
    <w:rsid w:val="002542BE"/>
    <w:rsid w:val="002561A3"/>
    <w:rsid w:val="00261D97"/>
    <w:rsid w:val="00261F23"/>
    <w:rsid w:val="002665A1"/>
    <w:rsid w:val="002716B4"/>
    <w:rsid w:val="0027556B"/>
    <w:rsid w:val="002764ED"/>
    <w:rsid w:val="002765E2"/>
    <w:rsid w:val="00276B50"/>
    <w:rsid w:val="00277099"/>
    <w:rsid w:val="0027743E"/>
    <w:rsid w:val="002774B4"/>
    <w:rsid w:val="00277C83"/>
    <w:rsid w:val="00282079"/>
    <w:rsid w:val="00282917"/>
    <w:rsid w:val="002834CE"/>
    <w:rsid w:val="00283A21"/>
    <w:rsid w:val="002841E8"/>
    <w:rsid w:val="00284F58"/>
    <w:rsid w:val="002850B6"/>
    <w:rsid w:val="00287B0D"/>
    <w:rsid w:val="00290CA3"/>
    <w:rsid w:val="00290D2E"/>
    <w:rsid w:val="00293717"/>
    <w:rsid w:val="00296C28"/>
    <w:rsid w:val="00296EF8"/>
    <w:rsid w:val="002A1D02"/>
    <w:rsid w:val="002A3061"/>
    <w:rsid w:val="002A35D7"/>
    <w:rsid w:val="002A6F15"/>
    <w:rsid w:val="002A7233"/>
    <w:rsid w:val="002A7653"/>
    <w:rsid w:val="002B0B7F"/>
    <w:rsid w:val="002B16D6"/>
    <w:rsid w:val="002B6A52"/>
    <w:rsid w:val="002B70FD"/>
    <w:rsid w:val="002B71B0"/>
    <w:rsid w:val="002C06B9"/>
    <w:rsid w:val="002C2B4F"/>
    <w:rsid w:val="002C2C11"/>
    <w:rsid w:val="002C4B87"/>
    <w:rsid w:val="002C4C0D"/>
    <w:rsid w:val="002C4EE9"/>
    <w:rsid w:val="002C500E"/>
    <w:rsid w:val="002C5856"/>
    <w:rsid w:val="002C5983"/>
    <w:rsid w:val="002D0CFF"/>
    <w:rsid w:val="002D386D"/>
    <w:rsid w:val="002D3885"/>
    <w:rsid w:val="002D6240"/>
    <w:rsid w:val="002D63B9"/>
    <w:rsid w:val="002E1989"/>
    <w:rsid w:val="002E356C"/>
    <w:rsid w:val="002E5F96"/>
    <w:rsid w:val="002E6EF3"/>
    <w:rsid w:val="002F01C0"/>
    <w:rsid w:val="002F0559"/>
    <w:rsid w:val="002F2431"/>
    <w:rsid w:val="002F277C"/>
    <w:rsid w:val="002F2C07"/>
    <w:rsid w:val="002F56B0"/>
    <w:rsid w:val="002F5814"/>
    <w:rsid w:val="003033C5"/>
    <w:rsid w:val="00304278"/>
    <w:rsid w:val="00304349"/>
    <w:rsid w:val="00305221"/>
    <w:rsid w:val="0030629B"/>
    <w:rsid w:val="003067A5"/>
    <w:rsid w:val="0030720B"/>
    <w:rsid w:val="003101E4"/>
    <w:rsid w:val="003115D6"/>
    <w:rsid w:val="0031195E"/>
    <w:rsid w:val="00312F93"/>
    <w:rsid w:val="00313A5C"/>
    <w:rsid w:val="00313EBF"/>
    <w:rsid w:val="003147F7"/>
    <w:rsid w:val="0031580A"/>
    <w:rsid w:val="003160B5"/>
    <w:rsid w:val="003160B8"/>
    <w:rsid w:val="00317DA5"/>
    <w:rsid w:val="00317E8A"/>
    <w:rsid w:val="00317F3F"/>
    <w:rsid w:val="003206B9"/>
    <w:rsid w:val="00321F78"/>
    <w:rsid w:val="003223B8"/>
    <w:rsid w:val="003238A3"/>
    <w:rsid w:val="0032569B"/>
    <w:rsid w:val="00330DC3"/>
    <w:rsid w:val="0033245B"/>
    <w:rsid w:val="0033520C"/>
    <w:rsid w:val="00335EC5"/>
    <w:rsid w:val="0033759C"/>
    <w:rsid w:val="00337720"/>
    <w:rsid w:val="00337BE9"/>
    <w:rsid w:val="00340220"/>
    <w:rsid w:val="00342F75"/>
    <w:rsid w:val="00343E5C"/>
    <w:rsid w:val="00344075"/>
    <w:rsid w:val="003448BF"/>
    <w:rsid w:val="00345817"/>
    <w:rsid w:val="00350C9B"/>
    <w:rsid w:val="0035112A"/>
    <w:rsid w:val="00351DC1"/>
    <w:rsid w:val="00352D1F"/>
    <w:rsid w:val="00352E21"/>
    <w:rsid w:val="00354C33"/>
    <w:rsid w:val="00354DDC"/>
    <w:rsid w:val="003552C8"/>
    <w:rsid w:val="00355CA4"/>
    <w:rsid w:val="00356809"/>
    <w:rsid w:val="003574AC"/>
    <w:rsid w:val="00357DAF"/>
    <w:rsid w:val="00361048"/>
    <w:rsid w:val="00361ADE"/>
    <w:rsid w:val="00362794"/>
    <w:rsid w:val="00363D91"/>
    <w:rsid w:val="00365B71"/>
    <w:rsid w:val="00371B1B"/>
    <w:rsid w:val="003737C1"/>
    <w:rsid w:val="00373B57"/>
    <w:rsid w:val="00375164"/>
    <w:rsid w:val="00375171"/>
    <w:rsid w:val="00376641"/>
    <w:rsid w:val="0037743D"/>
    <w:rsid w:val="00380F7F"/>
    <w:rsid w:val="003815C8"/>
    <w:rsid w:val="00382ED5"/>
    <w:rsid w:val="00384B36"/>
    <w:rsid w:val="00384EF7"/>
    <w:rsid w:val="00387417"/>
    <w:rsid w:val="003876EC"/>
    <w:rsid w:val="00390ACD"/>
    <w:rsid w:val="00392812"/>
    <w:rsid w:val="00394072"/>
    <w:rsid w:val="00394913"/>
    <w:rsid w:val="003971F9"/>
    <w:rsid w:val="003A0EA1"/>
    <w:rsid w:val="003A28D1"/>
    <w:rsid w:val="003A5FD5"/>
    <w:rsid w:val="003A7150"/>
    <w:rsid w:val="003B187F"/>
    <w:rsid w:val="003B1B3D"/>
    <w:rsid w:val="003B1D22"/>
    <w:rsid w:val="003B1F93"/>
    <w:rsid w:val="003B24FA"/>
    <w:rsid w:val="003B2D31"/>
    <w:rsid w:val="003B3A73"/>
    <w:rsid w:val="003B3E6E"/>
    <w:rsid w:val="003B4227"/>
    <w:rsid w:val="003B6137"/>
    <w:rsid w:val="003B6379"/>
    <w:rsid w:val="003C198C"/>
    <w:rsid w:val="003C1AD2"/>
    <w:rsid w:val="003C62A3"/>
    <w:rsid w:val="003C6817"/>
    <w:rsid w:val="003C7188"/>
    <w:rsid w:val="003C7700"/>
    <w:rsid w:val="003C7C12"/>
    <w:rsid w:val="003D3BDD"/>
    <w:rsid w:val="003E0076"/>
    <w:rsid w:val="003E3E1F"/>
    <w:rsid w:val="003E653A"/>
    <w:rsid w:val="003E6746"/>
    <w:rsid w:val="003F0A0B"/>
    <w:rsid w:val="003F0C03"/>
    <w:rsid w:val="003F1E47"/>
    <w:rsid w:val="003F2165"/>
    <w:rsid w:val="003F297B"/>
    <w:rsid w:val="003F6F96"/>
    <w:rsid w:val="004000B7"/>
    <w:rsid w:val="004006AB"/>
    <w:rsid w:val="00400970"/>
    <w:rsid w:val="00401A75"/>
    <w:rsid w:val="004023F2"/>
    <w:rsid w:val="00402BD0"/>
    <w:rsid w:val="00403D28"/>
    <w:rsid w:val="00405BC2"/>
    <w:rsid w:val="00407FA5"/>
    <w:rsid w:val="00410332"/>
    <w:rsid w:val="00413E6D"/>
    <w:rsid w:val="0041464F"/>
    <w:rsid w:val="004149C6"/>
    <w:rsid w:val="00415071"/>
    <w:rsid w:val="00417468"/>
    <w:rsid w:val="0042244F"/>
    <w:rsid w:val="00424299"/>
    <w:rsid w:val="0042540F"/>
    <w:rsid w:val="00426811"/>
    <w:rsid w:val="00426C8C"/>
    <w:rsid w:val="0042748B"/>
    <w:rsid w:val="00427A49"/>
    <w:rsid w:val="0043494D"/>
    <w:rsid w:val="0043620A"/>
    <w:rsid w:val="0043726C"/>
    <w:rsid w:val="004377FB"/>
    <w:rsid w:val="00441495"/>
    <w:rsid w:val="00441F6B"/>
    <w:rsid w:val="00442505"/>
    <w:rsid w:val="0044319D"/>
    <w:rsid w:val="00443A27"/>
    <w:rsid w:val="00444672"/>
    <w:rsid w:val="00445252"/>
    <w:rsid w:val="004453F7"/>
    <w:rsid w:val="00450293"/>
    <w:rsid w:val="00451196"/>
    <w:rsid w:val="00451443"/>
    <w:rsid w:val="00455B60"/>
    <w:rsid w:val="00455F5C"/>
    <w:rsid w:val="00456587"/>
    <w:rsid w:val="00456D26"/>
    <w:rsid w:val="004611F5"/>
    <w:rsid w:val="00461723"/>
    <w:rsid w:val="00462BE6"/>
    <w:rsid w:val="004642BE"/>
    <w:rsid w:val="00464D6F"/>
    <w:rsid w:val="004659DF"/>
    <w:rsid w:val="004673B3"/>
    <w:rsid w:val="0046752D"/>
    <w:rsid w:val="00467D8A"/>
    <w:rsid w:val="00470249"/>
    <w:rsid w:val="00471454"/>
    <w:rsid w:val="00471609"/>
    <w:rsid w:val="00472CA2"/>
    <w:rsid w:val="00472CB8"/>
    <w:rsid w:val="00473126"/>
    <w:rsid w:val="0047385C"/>
    <w:rsid w:val="00474C91"/>
    <w:rsid w:val="00476B57"/>
    <w:rsid w:val="004808A5"/>
    <w:rsid w:val="0048100F"/>
    <w:rsid w:val="00481ADB"/>
    <w:rsid w:val="004846E8"/>
    <w:rsid w:val="00486422"/>
    <w:rsid w:val="00490F76"/>
    <w:rsid w:val="00492B8A"/>
    <w:rsid w:val="00492D26"/>
    <w:rsid w:val="0049598A"/>
    <w:rsid w:val="004A09A7"/>
    <w:rsid w:val="004A0D5C"/>
    <w:rsid w:val="004A2103"/>
    <w:rsid w:val="004A29DD"/>
    <w:rsid w:val="004A3890"/>
    <w:rsid w:val="004A4AEE"/>
    <w:rsid w:val="004A4B48"/>
    <w:rsid w:val="004A4C3A"/>
    <w:rsid w:val="004A6FC4"/>
    <w:rsid w:val="004B2A7E"/>
    <w:rsid w:val="004B34A3"/>
    <w:rsid w:val="004B4E38"/>
    <w:rsid w:val="004B6722"/>
    <w:rsid w:val="004B7154"/>
    <w:rsid w:val="004B7B0B"/>
    <w:rsid w:val="004C1531"/>
    <w:rsid w:val="004C3961"/>
    <w:rsid w:val="004C3F72"/>
    <w:rsid w:val="004C4935"/>
    <w:rsid w:val="004C5ED4"/>
    <w:rsid w:val="004C6890"/>
    <w:rsid w:val="004C742B"/>
    <w:rsid w:val="004C78BE"/>
    <w:rsid w:val="004D1B30"/>
    <w:rsid w:val="004D3DF0"/>
    <w:rsid w:val="004D44A4"/>
    <w:rsid w:val="004D4992"/>
    <w:rsid w:val="004D50CD"/>
    <w:rsid w:val="004D5CB2"/>
    <w:rsid w:val="004D6F79"/>
    <w:rsid w:val="004D7228"/>
    <w:rsid w:val="004D7275"/>
    <w:rsid w:val="004D7BAD"/>
    <w:rsid w:val="004E17ED"/>
    <w:rsid w:val="004E3757"/>
    <w:rsid w:val="004E3F72"/>
    <w:rsid w:val="004E6783"/>
    <w:rsid w:val="004E7158"/>
    <w:rsid w:val="004E7D4F"/>
    <w:rsid w:val="004F01A3"/>
    <w:rsid w:val="004F176E"/>
    <w:rsid w:val="004F20C6"/>
    <w:rsid w:val="004F2BB7"/>
    <w:rsid w:val="004F558D"/>
    <w:rsid w:val="004F718B"/>
    <w:rsid w:val="004F7908"/>
    <w:rsid w:val="0050186D"/>
    <w:rsid w:val="005037A4"/>
    <w:rsid w:val="00503864"/>
    <w:rsid w:val="00504C0C"/>
    <w:rsid w:val="00506716"/>
    <w:rsid w:val="00506F62"/>
    <w:rsid w:val="00507BE3"/>
    <w:rsid w:val="00510117"/>
    <w:rsid w:val="00510C9B"/>
    <w:rsid w:val="0051124A"/>
    <w:rsid w:val="00511564"/>
    <w:rsid w:val="0051356E"/>
    <w:rsid w:val="0051557C"/>
    <w:rsid w:val="005179C6"/>
    <w:rsid w:val="00517BEC"/>
    <w:rsid w:val="005223D6"/>
    <w:rsid w:val="005227B5"/>
    <w:rsid w:val="00524543"/>
    <w:rsid w:val="0052596B"/>
    <w:rsid w:val="0052668F"/>
    <w:rsid w:val="00526726"/>
    <w:rsid w:val="00526C17"/>
    <w:rsid w:val="005272F4"/>
    <w:rsid w:val="00527825"/>
    <w:rsid w:val="00527ADA"/>
    <w:rsid w:val="00530196"/>
    <w:rsid w:val="00531578"/>
    <w:rsid w:val="00533443"/>
    <w:rsid w:val="0053378F"/>
    <w:rsid w:val="00533B9C"/>
    <w:rsid w:val="00535366"/>
    <w:rsid w:val="005361DC"/>
    <w:rsid w:val="00536E15"/>
    <w:rsid w:val="00537FAD"/>
    <w:rsid w:val="0054021E"/>
    <w:rsid w:val="0054233B"/>
    <w:rsid w:val="005462D0"/>
    <w:rsid w:val="005467AE"/>
    <w:rsid w:val="00546AC4"/>
    <w:rsid w:val="00547F42"/>
    <w:rsid w:val="00552A10"/>
    <w:rsid w:val="00552C68"/>
    <w:rsid w:val="00553B43"/>
    <w:rsid w:val="00553FB8"/>
    <w:rsid w:val="00554189"/>
    <w:rsid w:val="0055746B"/>
    <w:rsid w:val="0056188E"/>
    <w:rsid w:val="00562DE3"/>
    <w:rsid w:val="005646DE"/>
    <w:rsid w:val="00564E7E"/>
    <w:rsid w:val="00565714"/>
    <w:rsid w:val="005658E4"/>
    <w:rsid w:val="0056616E"/>
    <w:rsid w:val="00567282"/>
    <w:rsid w:val="00570CF8"/>
    <w:rsid w:val="0057228A"/>
    <w:rsid w:val="00573992"/>
    <w:rsid w:val="00574D1B"/>
    <w:rsid w:val="005779BE"/>
    <w:rsid w:val="00577F66"/>
    <w:rsid w:val="00581DAC"/>
    <w:rsid w:val="00583A98"/>
    <w:rsid w:val="00583EAB"/>
    <w:rsid w:val="005862BF"/>
    <w:rsid w:val="005900BF"/>
    <w:rsid w:val="00592049"/>
    <w:rsid w:val="00592D51"/>
    <w:rsid w:val="00593888"/>
    <w:rsid w:val="00594D8A"/>
    <w:rsid w:val="00597412"/>
    <w:rsid w:val="005A177A"/>
    <w:rsid w:val="005A2CEE"/>
    <w:rsid w:val="005A3076"/>
    <w:rsid w:val="005A3DEA"/>
    <w:rsid w:val="005A4283"/>
    <w:rsid w:val="005A4785"/>
    <w:rsid w:val="005A5A5B"/>
    <w:rsid w:val="005A5BB4"/>
    <w:rsid w:val="005A69EB"/>
    <w:rsid w:val="005B0317"/>
    <w:rsid w:val="005B2F95"/>
    <w:rsid w:val="005B3266"/>
    <w:rsid w:val="005B3BE8"/>
    <w:rsid w:val="005B7CA1"/>
    <w:rsid w:val="005C0030"/>
    <w:rsid w:val="005C0208"/>
    <w:rsid w:val="005C1464"/>
    <w:rsid w:val="005C3584"/>
    <w:rsid w:val="005C3BBB"/>
    <w:rsid w:val="005C4161"/>
    <w:rsid w:val="005C519B"/>
    <w:rsid w:val="005C60B0"/>
    <w:rsid w:val="005C663F"/>
    <w:rsid w:val="005D1B88"/>
    <w:rsid w:val="005D1DD1"/>
    <w:rsid w:val="005D275F"/>
    <w:rsid w:val="005D4389"/>
    <w:rsid w:val="005D4590"/>
    <w:rsid w:val="005D47DB"/>
    <w:rsid w:val="005D493D"/>
    <w:rsid w:val="005D6E8F"/>
    <w:rsid w:val="005D72D2"/>
    <w:rsid w:val="005E13D5"/>
    <w:rsid w:val="005E223D"/>
    <w:rsid w:val="005E33BB"/>
    <w:rsid w:val="005E423D"/>
    <w:rsid w:val="005E4EC7"/>
    <w:rsid w:val="005E630D"/>
    <w:rsid w:val="005E6397"/>
    <w:rsid w:val="005E688E"/>
    <w:rsid w:val="005E773E"/>
    <w:rsid w:val="005F0B85"/>
    <w:rsid w:val="005F1182"/>
    <w:rsid w:val="005F11E4"/>
    <w:rsid w:val="005F20D2"/>
    <w:rsid w:val="005F5D86"/>
    <w:rsid w:val="005F5DDA"/>
    <w:rsid w:val="005F6D1F"/>
    <w:rsid w:val="005F7207"/>
    <w:rsid w:val="005F7295"/>
    <w:rsid w:val="00602D85"/>
    <w:rsid w:val="00603045"/>
    <w:rsid w:val="0060568C"/>
    <w:rsid w:val="0060648E"/>
    <w:rsid w:val="00607640"/>
    <w:rsid w:val="006102BB"/>
    <w:rsid w:val="00611A9C"/>
    <w:rsid w:val="00612488"/>
    <w:rsid w:val="00613FC0"/>
    <w:rsid w:val="0061615E"/>
    <w:rsid w:val="0061666E"/>
    <w:rsid w:val="00616B5B"/>
    <w:rsid w:val="00620CEA"/>
    <w:rsid w:val="0062202A"/>
    <w:rsid w:val="006222D6"/>
    <w:rsid w:val="00622645"/>
    <w:rsid w:val="006231A6"/>
    <w:rsid w:val="006246F3"/>
    <w:rsid w:val="00624C67"/>
    <w:rsid w:val="00624FB6"/>
    <w:rsid w:val="0062533E"/>
    <w:rsid w:val="006254CE"/>
    <w:rsid w:val="00626EAF"/>
    <w:rsid w:val="00627ABD"/>
    <w:rsid w:val="00632124"/>
    <w:rsid w:val="00633008"/>
    <w:rsid w:val="006345D8"/>
    <w:rsid w:val="00634DDB"/>
    <w:rsid w:val="00634E91"/>
    <w:rsid w:val="00634F08"/>
    <w:rsid w:val="0063701A"/>
    <w:rsid w:val="0064074B"/>
    <w:rsid w:val="00640B11"/>
    <w:rsid w:val="00640C5D"/>
    <w:rsid w:val="006412DD"/>
    <w:rsid w:val="0064198D"/>
    <w:rsid w:val="00642185"/>
    <w:rsid w:val="006422F8"/>
    <w:rsid w:val="00644AC6"/>
    <w:rsid w:val="006452B9"/>
    <w:rsid w:val="00645C87"/>
    <w:rsid w:val="0064665F"/>
    <w:rsid w:val="006478B8"/>
    <w:rsid w:val="00647EC7"/>
    <w:rsid w:val="006502B5"/>
    <w:rsid w:val="00650DE0"/>
    <w:rsid w:val="00651486"/>
    <w:rsid w:val="00652046"/>
    <w:rsid w:val="006526C7"/>
    <w:rsid w:val="00653A27"/>
    <w:rsid w:val="00657A89"/>
    <w:rsid w:val="00657C84"/>
    <w:rsid w:val="00661C33"/>
    <w:rsid w:val="00662293"/>
    <w:rsid w:val="00663438"/>
    <w:rsid w:val="00663E84"/>
    <w:rsid w:val="0066492F"/>
    <w:rsid w:val="0066542A"/>
    <w:rsid w:val="0066618D"/>
    <w:rsid w:val="00671ABF"/>
    <w:rsid w:val="00673450"/>
    <w:rsid w:val="00673F65"/>
    <w:rsid w:val="00674246"/>
    <w:rsid w:val="00682ED3"/>
    <w:rsid w:val="0068372A"/>
    <w:rsid w:val="00686D7C"/>
    <w:rsid w:val="006903B1"/>
    <w:rsid w:val="00693C60"/>
    <w:rsid w:val="00694AA1"/>
    <w:rsid w:val="0069676E"/>
    <w:rsid w:val="00696DAE"/>
    <w:rsid w:val="006A3BC8"/>
    <w:rsid w:val="006A4895"/>
    <w:rsid w:val="006A5BA0"/>
    <w:rsid w:val="006A6451"/>
    <w:rsid w:val="006A7A52"/>
    <w:rsid w:val="006B1179"/>
    <w:rsid w:val="006B1CDA"/>
    <w:rsid w:val="006B3B39"/>
    <w:rsid w:val="006B3C87"/>
    <w:rsid w:val="006B3E5D"/>
    <w:rsid w:val="006B3EDE"/>
    <w:rsid w:val="006B4CE7"/>
    <w:rsid w:val="006B5ACD"/>
    <w:rsid w:val="006B60EB"/>
    <w:rsid w:val="006B793F"/>
    <w:rsid w:val="006C037D"/>
    <w:rsid w:val="006C07F0"/>
    <w:rsid w:val="006C1DAA"/>
    <w:rsid w:val="006C1E29"/>
    <w:rsid w:val="006C2961"/>
    <w:rsid w:val="006C31D7"/>
    <w:rsid w:val="006C37DF"/>
    <w:rsid w:val="006C4655"/>
    <w:rsid w:val="006C4EE7"/>
    <w:rsid w:val="006C71A1"/>
    <w:rsid w:val="006C78E4"/>
    <w:rsid w:val="006D49B3"/>
    <w:rsid w:val="006D4BC3"/>
    <w:rsid w:val="006D4C50"/>
    <w:rsid w:val="006D4EA6"/>
    <w:rsid w:val="006D741F"/>
    <w:rsid w:val="006D7799"/>
    <w:rsid w:val="006E1F8D"/>
    <w:rsid w:val="006E52F5"/>
    <w:rsid w:val="006E5DFC"/>
    <w:rsid w:val="006E7CF8"/>
    <w:rsid w:val="006F054A"/>
    <w:rsid w:val="006F392C"/>
    <w:rsid w:val="006F520A"/>
    <w:rsid w:val="006F74B6"/>
    <w:rsid w:val="00702444"/>
    <w:rsid w:val="00702B50"/>
    <w:rsid w:val="00704041"/>
    <w:rsid w:val="00707F2E"/>
    <w:rsid w:val="00711ACD"/>
    <w:rsid w:val="00712C2F"/>
    <w:rsid w:val="00715747"/>
    <w:rsid w:val="00717041"/>
    <w:rsid w:val="00720030"/>
    <w:rsid w:val="00723EEB"/>
    <w:rsid w:val="00724052"/>
    <w:rsid w:val="00724B75"/>
    <w:rsid w:val="00725D03"/>
    <w:rsid w:val="00726B3F"/>
    <w:rsid w:val="00726CDE"/>
    <w:rsid w:val="00730D95"/>
    <w:rsid w:val="00731B5F"/>
    <w:rsid w:val="00731C56"/>
    <w:rsid w:val="00732DC1"/>
    <w:rsid w:val="00733DB4"/>
    <w:rsid w:val="00733F86"/>
    <w:rsid w:val="00734260"/>
    <w:rsid w:val="00737BB4"/>
    <w:rsid w:val="00741F63"/>
    <w:rsid w:val="00744E05"/>
    <w:rsid w:val="0074649B"/>
    <w:rsid w:val="00746823"/>
    <w:rsid w:val="00746DBD"/>
    <w:rsid w:val="00747032"/>
    <w:rsid w:val="00754137"/>
    <w:rsid w:val="00755CC7"/>
    <w:rsid w:val="00757027"/>
    <w:rsid w:val="007572D3"/>
    <w:rsid w:val="0076060E"/>
    <w:rsid w:val="0076146F"/>
    <w:rsid w:val="00762F8D"/>
    <w:rsid w:val="007653D0"/>
    <w:rsid w:val="007658D8"/>
    <w:rsid w:val="00766A1C"/>
    <w:rsid w:val="00767205"/>
    <w:rsid w:val="00767613"/>
    <w:rsid w:val="0076781B"/>
    <w:rsid w:val="00770C42"/>
    <w:rsid w:val="007743C6"/>
    <w:rsid w:val="00774F9A"/>
    <w:rsid w:val="007757AA"/>
    <w:rsid w:val="0077643C"/>
    <w:rsid w:val="00776CA5"/>
    <w:rsid w:val="007773E2"/>
    <w:rsid w:val="00780478"/>
    <w:rsid w:val="00780B5E"/>
    <w:rsid w:val="0078248B"/>
    <w:rsid w:val="0078253D"/>
    <w:rsid w:val="0078758E"/>
    <w:rsid w:val="00792548"/>
    <w:rsid w:val="00793F5E"/>
    <w:rsid w:val="007955AE"/>
    <w:rsid w:val="00795EBF"/>
    <w:rsid w:val="007965D9"/>
    <w:rsid w:val="007A3F0A"/>
    <w:rsid w:val="007A4441"/>
    <w:rsid w:val="007A45C9"/>
    <w:rsid w:val="007A477F"/>
    <w:rsid w:val="007A4C9F"/>
    <w:rsid w:val="007A5D95"/>
    <w:rsid w:val="007A676E"/>
    <w:rsid w:val="007A7C27"/>
    <w:rsid w:val="007A7FF5"/>
    <w:rsid w:val="007B3BAA"/>
    <w:rsid w:val="007B5D02"/>
    <w:rsid w:val="007B62CB"/>
    <w:rsid w:val="007B6B08"/>
    <w:rsid w:val="007C095C"/>
    <w:rsid w:val="007C1289"/>
    <w:rsid w:val="007D06EA"/>
    <w:rsid w:val="007D07FB"/>
    <w:rsid w:val="007D2026"/>
    <w:rsid w:val="007D2C30"/>
    <w:rsid w:val="007D5BBB"/>
    <w:rsid w:val="007E55A2"/>
    <w:rsid w:val="007E6B8D"/>
    <w:rsid w:val="007F08F7"/>
    <w:rsid w:val="007F1FBA"/>
    <w:rsid w:val="007F3AF2"/>
    <w:rsid w:val="007F4328"/>
    <w:rsid w:val="007F50E3"/>
    <w:rsid w:val="007F547C"/>
    <w:rsid w:val="007F57F4"/>
    <w:rsid w:val="007F754F"/>
    <w:rsid w:val="0080219F"/>
    <w:rsid w:val="00802DF7"/>
    <w:rsid w:val="0080319C"/>
    <w:rsid w:val="00804FDA"/>
    <w:rsid w:val="00805002"/>
    <w:rsid w:val="00805041"/>
    <w:rsid w:val="00806E70"/>
    <w:rsid w:val="008102D6"/>
    <w:rsid w:val="0081189B"/>
    <w:rsid w:val="00811BAF"/>
    <w:rsid w:val="00813511"/>
    <w:rsid w:val="00814D58"/>
    <w:rsid w:val="008161BF"/>
    <w:rsid w:val="00816E04"/>
    <w:rsid w:val="00817969"/>
    <w:rsid w:val="00821673"/>
    <w:rsid w:val="00821C4B"/>
    <w:rsid w:val="00822AF2"/>
    <w:rsid w:val="008235CC"/>
    <w:rsid w:val="008244F8"/>
    <w:rsid w:val="008263F1"/>
    <w:rsid w:val="008279D9"/>
    <w:rsid w:val="00830495"/>
    <w:rsid w:val="008304A3"/>
    <w:rsid w:val="00831C2A"/>
    <w:rsid w:val="00831F15"/>
    <w:rsid w:val="008334F6"/>
    <w:rsid w:val="008344A0"/>
    <w:rsid w:val="00840BC8"/>
    <w:rsid w:val="00840C95"/>
    <w:rsid w:val="00841267"/>
    <w:rsid w:val="00842285"/>
    <w:rsid w:val="00842886"/>
    <w:rsid w:val="00844173"/>
    <w:rsid w:val="0084580C"/>
    <w:rsid w:val="00845E6B"/>
    <w:rsid w:val="00846869"/>
    <w:rsid w:val="00846BF7"/>
    <w:rsid w:val="00846F7E"/>
    <w:rsid w:val="00851757"/>
    <w:rsid w:val="00853B7E"/>
    <w:rsid w:val="00853DE2"/>
    <w:rsid w:val="0085521A"/>
    <w:rsid w:val="008555D5"/>
    <w:rsid w:val="0085682D"/>
    <w:rsid w:val="008577D5"/>
    <w:rsid w:val="00857FC5"/>
    <w:rsid w:val="008607D6"/>
    <w:rsid w:val="00862551"/>
    <w:rsid w:val="00862C45"/>
    <w:rsid w:val="00864082"/>
    <w:rsid w:val="0086687B"/>
    <w:rsid w:val="0087013C"/>
    <w:rsid w:val="008730CE"/>
    <w:rsid w:val="008732AC"/>
    <w:rsid w:val="00873649"/>
    <w:rsid w:val="00873895"/>
    <w:rsid w:val="00873CDD"/>
    <w:rsid w:val="0087447A"/>
    <w:rsid w:val="00875D14"/>
    <w:rsid w:val="00875D9E"/>
    <w:rsid w:val="00876EFB"/>
    <w:rsid w:val="008779D4"/>
    <w:rsid w:val="008779E7"/>
    <w:rsid w:val="008805E9"/>
    <w:rsid w:val="00880C62"/>
    <w:rsid w:val="008815EF"/>
    <w:rsid w:val="00883946"/>
    <w:rsid w:val="00884199"/>
    <w:rsid w:val="008844BB"/>
    <w:rsid w:val="0088593B"/>
    <w:rsid w:val="0088774A"/>
    <w:rsid w:val="008906C1"/>
    <w:rsid w:val="00890DEB"/>
    <w:rsid w:val="008916AE"/>
    <w:rsid w:val="00892550"/>
    <w:rsid w:val="00893A74"/>
    <w:rsid w:val="00893AAD"/>
    <w:rsid w:val="0089557F"/>
    <w:rsid w:val="0089603A"/>
    <w:rsid w:val="008A06D1"/>
    <w:rsid w:val="008A072B"/>
    <w:rsid w:val="008A160D"/>
    <w:rsid w:val="008A2FEA"/>
    <w:rsid w:val="008B11C7"/>
    <w:rsid w:val="008B1612"/>
    <w:rsid w:val="008B1CDB"/>
    <w:rsid w:val="008B1D7C"/>
    <w:rsid w:val="008B2092"/>
    <w:rsid w:val="008B3856"/>
    <w:rsid w:val="008B41F7"/>
    <w:rsid w:val="008B6FDF"/>
    <w:rsid w:val="008B7D28"/>
    <w:rsid w:val="008B7F12"/>
    <w:rsid w:val="008C0BAF"/>
    <w:rsid w:val="008C123D"/>
    <w:rsid w:val="008C77BD"/>
    <w:rsid w:val="008D1096"/>
    <w:rsid w:val="008D1FE7"/>
    <w:rsid w:val="008D40FD"/>
    <w:rsid w:val="008D48EF"/>
    <w:rsid w:val="008E15F6"/>
    <w:rsid w:val="008E2954"/>
    <w:rsid w:val="008E3239"/>
    <w:rsid w:val="008E3289"/>
    <w:rsid w:val="008E3973"/>
    <w:rsid w:val="008E618C"/>
    <w:rsid w:val="008F18B9"/>
    <w:rsid w:val="008F26E6"/>
    <w:rsid w:val="008F29D8"/>
    <w:rsid w:val="008F2BBC"/>
    <w:rsid w:val="008F63EC"/>
    <w:rsid w:val="008F6DEB"/>
    <w:rsid w:val="009002E1"/>
    <w:rsid w:val="00901708"/>
    <w:rsid w:val="00901782"/>
    <w:rsid w:val="00903213"/>
    <w:rsid w:val="0090369D"/>
    <w:rsid w:val="009036B1"/>
    <w:rsid w:val="009042BB"/>
    <w:rsid w:val="00904EB6"/>
    <w:rsid w:val="009055B2"/>
    <w:rsid w:val="009060CF"/>
    <w:rsid w:val="00906927"/>
    <w:rsid w:val="00907215"/>
    <w:rsid w:val="009107D0"/>
    <w:rsid w:val="00910CAE"/>
    <w:rsid w:val="009130C6"/>
    <w:rsid w:val="00913148"/>
    <w:rsid w:val="00913BA9"/>
    <w:rsid w:val="00914447"/>
    <w:rsid w:val="009154CE"/>
    <w:rsid w:val="00920B84"/>
    <w:rsid w:val="009213D2"/>
    <w:rsid w:val="0092238B"/>
    <w:rsid w:val="009226BD"/>
    <w:rsid w:val="0092343A"/>
    <w:rsid w:val="00926D90"/>
    <w:rsid w:val="0092798B"/>
    <w:rsid w:val="00930E0B"/>
    <w:rsid w:val="009311D7"/>
    <w:rsid w:val="009334CF"/>
    <w:rsid w:val="00933E04"/>
    <w:rsid w:val="009341F1"/>
    <w:rsid w:val="00934B1E"/>
    <w:rsid w:val="00934C68"/>
    <w:rsid w:val="009358FB"/>
    <w:rsid w:val="00936735"/>
    <w:rsid w:val="00940A11"/>
    <w:rsid w:val="00942B3A"/>
    <w:rsid w:val="00946540"/>
    <w:rsid w:val="009502AD"/>
    <w:rsid w:val="0095039C"/>
    <w:rsid w:val="0095156C"/>
    <w:rsid w:val="009526D8"/>
    <w:rsid w:val="00953B2D"/>
    <w:rsid w:val="0095463E"/>
    <w:rsid w:val="00954FA3"/>
    <w:rsid w:val="00956902"/>
    <w:rsid w:val="0096043D"/>
    <w:rsid w:val="00962069"/>
    <w:rsid w:val="00962825"/>
    <w:rsid w:val="00963FB8"/>
    <w:rsid w:val="00965A47"/>
    <w:rsid w:val="00966B1D"/>
    <w:rsid w:val="00970C5A"/>
    <w:rsid w:val="00970CE2"/>
    <w:rsid w:val="0097281C"/>
    <w:rsid w:val="009735BF"/>
    <w:rsid w:val="00973F23"/>
    <w:rsid w:val="00976D42"/>
    <w:rsid w:val="00980637"/>
    <w:rsid w:val="0098067F"/>
    <w:rsid w:val="00981C65"/>
    <w:rsid w:val="00984228"/>
    <w:rsid w:val="00984EBD"/>
    <w:rsid w:val="009851CA"/>
    <w:rsid w:val="00985C57"/>
    <w:rsid w:val="009864C6"/>
    <w:rsid w:val="00986AD9"/>
    <w:rsid w:val="00990634"/>
    <w:rsid w:val="00992AC4"/>
    <w:rsid w:val="00993578"/>
    <w:rsid w:val="00994DE3"/>
    <w:rsid w:val="00994E53"/>
    <w:rsid w:val="00996989"/>
    <w:rsid w:val="00997783"/>
    <w:rsid w:val="0099787F"/>
    <w:rsid w:val="009A03F3"/>
    <w:rsid w:val="009A1157"/>
    <w:rsid w:val="009A1E27"/>
    <w:rsid w:val="009A3C06"/>
    <w:rsid w:val="009A3D47"/>
    <w:rsid w:val="009B081F"/>
    <w:rsid w:val="009B19B1"/>
    <w:rsid w:val="009B2072"/>
    <w:rsid w:val="009B30EC"/>
    <w:rsid w:val="009B358D"/>
    <w:rsid w:val="009B3D40"/>
    <w:rsid w:val="009B3DCA"/>
    <w:rsid w:val="009B49C9"/>
    <w:rsid w:val="009B7C54"/>
    <w:rsid w:val="009C1CE9"/>
    <w:rsid w:val="009C24A3"/>
    <w:rsid w:val="009C2FFA"/>
    <w:rsid w:val="009C58A5"/>
    <w:rsid w:val="009D0FF8"/>
    <w:rsid w:val="009D1A4C"/>
    <w:rsid w:val="009D3089"/>
    <w:rsid w:val="009D440D"/>
    <w:rsid w:val="009D491C"/>
    <w:rsid w:val="009D5CEC"/>
    <w:rsid w:val="009E09B0"/>
    <w:rsid w:val="009E18D3"/>
    <w:rsid w:val="009E2812"/>
    <w:rsid w:val="009E4714"/>
    <w:rsid w:val="009E4AB1"/>
    <w:rsid w:val="009E4DC5"/>
    <w:rsid w:val="009E7877"/>
    <w:rsid w:val="009F1196"/>
    <w:rsid w:val="009F1C36"/>
    <w:rsid w:val="009F3888"/>
    <w:rsid w:val="009F3B35"/>
    <w:rsid w:val="009F42A6"/>
    <w:rsid w:val="009F60FA"/>
    <w:rsid w:val="009F67BB"/>
    <w:rsid w:val="009F6D51"/>
    <w:rsid w:val="009F7B59"/>
    <w:rsid w:val="009F7F91"/>
    <w:rsid w:val="00A01157"/>
    <w:rsid w:val="00A01869"/>
    <w:rsid w:val="00A029DE"/>
    <w:rsid w:val="00A04DEA"/>
    <w:rsid w:val="00A07E14"/>
    <w:rsid w:val="00A10A22"/>
    <w:rsid w:val="00A10CF5"/>
    <w:rsid w:val="00A115D4"/>
    <w:rsid w:val="00A117D2"/>
    <w:rsid w:val="00A12650"/>
    <w:rsid w:val="00A12FF6"/>
    <w:rsid w:val="00A16261"/>
    <w:rsid w:val="00A167A6"/>
    <w:rsid w:val="00A1712B"/>
    <w:rsid w:val="00A175D9"/>
    <w:rsid w:val="00A21D10"/>
    <w:rsid w:val="00A21D86"/>
    <w:rsid w:val="00A22B3B"/>
    <w:rsid w:val="00A236F4"/>
    <w:rsid w:val="00A24042"/>
    <w:rsid w:val="00A24D03"/>
    <w:rsid w:val="00A30362"/>
    <w:rsid w:val="00A33783"/>
    <w:rsid w:val="00A337D6"/>
    <w:rsid w:val="00A347D8"/>
    <w:rsid w:val="00A3591E"/>
    <w:rsid w:val="00A35E09"/>
    <w:rsid w:val="00A36621"/>
    <w:rsid w:val="00A372A5"/>
    <w:rsid w:val="00A375AE"/>
    <w:rsid w:val="00A37F33"/>
    <w:rsid w:val="00A40F5D"/>
    <w:rsid w:val="00A40F87"/>
    <w:rsid w:val="00A41FEC"/>
    <w:rsid w:val="00A433A8"/>
    <w:rsid w:val="00A463F7"/>
    <w:rsid w:val="00A47694"/>
    <w:rsid w:val="00A511A9"/>
    <w:rsid w:val="00A53280"/>
    <w:rsid w:val="00A54662"/>
    <w:rsid w:val="00A54693"/>
    <w:rsid w:val="00A551FA"/>
    <w:rsid w:val="00A55825"/>
    <w:rsid w:val="00A56A74"/>
    <w:rsid w:val="00A57AC9"/>
    <w:rsid w:val="00A57BE8"/>
    <w:rsid w:val="00A61521"/>
    <w:rsid w:val="00A62B5D"/>
    <w:rsid w:val="00A64125"/>
    <w:rsid w:val="00A662CC"/>
    <w:rsid w:val="00A679DF"/>
    <w:rsid w:val="00A72424"/>
    <w:rsid w:val="00A725FC"/>
    <w:rsid w:val="00A72B29"/>
    <w:rsid w:val="00A7334B"/>
    <w:rsid w:val="00A74E09"/>
    <w:rsid w:val="00A76383"/>
    <w:rsid w:val="00A76CDC"/>
    <w:rsid w:val="00A772E6"/>
    <w:rsid w:val="00A804B1"/>
    <w:rsid w:val="00A8291E"/>
    <w:rsid w:val="00A84996"/>
    <w:rsid w:val="00A862EB"/>
    <w:rsid w:val="00A91AB4"/>
    <w:rsid w:val="00A92765"/>
    <w:rsid w:val="00A929CF"/>
    <w:rsid w:val="00A92FE4"/>
    <w:rsid w:val="00A95D41"/>
    <w:rsid w:val="00A96D82"/>
    <w:rsid w:val="00A96ECA"/>
    <w:rsid w:val="00A97810"/>
    <w:rsid w:val="00A97EB2"/>
    <w:rsid w:val="00AA0FDB"/>
    <w:rsid w:val="00AA3923"/>
    <w:rsid w:val="00AA3AE4"/>
    <w:rsid w:val="00AA6879"/>
    <w:rsid w:val="00AB1C7C"/>
    <w:rsid w:val="00AB1E44"/>
    <w:rsid w:val="00AB36AC"/>
    <w:rsid w:val="00AB7DD0"/>
    <w:rsid w:val="00AC1498"/>
    <w:rsid w:val="00AC1E6E"/>
    <w:rsid w:val="00AC2394"/>
    <w:rsid w:val="00AC32ED"/>
    <w:rsid w:val="00AC3440"/>
    <w:rsid w:val="00AC346B"/>
    <w:rsid w:val="00AC3A86"/>
    <w:rsid w:val="00AC5B93"/>
    <w:rsid w:val="00AC6CEF"/>
    <w:rsid w:val="00AC6FAE"/>
    <w:rsid w:val="00AC72E7"/>
    <w:rsid w:val="00AC7DFE"/>
    <w:rsid w:val="00AD0BC0"/>
    <w:rsid w:val="00AD0E13"/>
    <w:rsid w:val="00AD1B7A"/>
    <w:rsid w:val="00AD1BD0"/>
    <w:rsid w:val="00AD1D7F"/>
    <w:rsid w:val="00AD619E"/>
    <w:rsid w:val="00AD6479"/>
    <w:rsid w:val="00AD78BC"/>
    <w:rsid w:val="00AE0C7B"/>
    <w:rsid w:val="00AE18FC"/>
    <w:rsid w:val="00AE2366"/>
    <w:rsid w:val="00AE25D6"/>
    <w:rsid w:val="00AE2AB9"/>
    <w:rsid w:val="00AE3417"/>
    <w:rsid w:val="00AE3736"/>
    <w:rsid w:val="00AE40D1"/>
    <w:rsid w:val="00AE72D3"/>
    <w:rsid w:val="00AE7489"/>
    <w:rsid w:val="00AF1E49"/>
    <w:rsid w:val="00AF33CC"/>
    <w:rsid w:val="00AF3C6B"/>
    <w:rsid w:val="00AF464A"/>
    <w:rsid w:val="00AF4D11"/>
    <w:rsid w:val="00AF60A7"/>
    <w:rsid w:val="00AF6BE9"/>
    <w:rsid w:val="00AF79C9"/>
    <w:rsid w:val="00B027E9"/>
    <w:rsid w:val="00B03D8D"/>
    <w:rsid w:val="00B0437E"/>
    <w:rsid w:val="00B046EF"/>
    <w:rsid w:val="00B04BA9"/>
    <w:rsid w:val="00B068ED"/>
    <w:rsid w:val="00B07992"/>
    <w:rsid w:val="00B07C09"/>
    <w:rsid w:val="00B1094A"/>
    <w:rsid w:val="00B10F35"/>
    <w:rsid w:val="00B132A1"/>
    <w:rsid w:val="00B13A35"/>
    <w:rsid w:val="00B140DF"/>
    <w:rsid w:val="00B14FC8"/>
    <w:rsid w:val="00B15248"/>
    <w:rsid w:val="00B15EDD"/>
    <w:rsid w:val="00B15FD4"/>
    <w:rsid w:val="00B208CA"/>
    <w:rsid w:val="00B21669"/>
    <w:rsid w:val="00B22E70"/>
    <w:rsid w:val="00B236CD"/>
    <w:rsid w:val="00B2428B"/>
    <w:rsid w:val="00B249DE"/>
    <w:rsid w:val="00B24E73"/>
    <w:rsid w:val="00B255D5"/>
    <w:rsid w:val="00B25D65"/>
    <w:rsid w:val="00B272E5"/>
    <w:rsid w:val="00B27BFD"/>
    <w:rsid w:val="00B32A6B"/>
    <w:rsid w:val="00B32CC5"/>
    <w:rsid w:val="00B333A2"/>
    <w:rsid w:val="00B362FA"/>
    <w:rsid w:val="00B37944"/>
    <w:rsid w:val="00B37DE0"/>
    <w:rsid w:val="00B43F87"/>
    <w:rsid w:val="00B4422C"/>
    <w:rsid w:val="00B45B93"/>
    <w:rsid w:val="00B5054F"/>
    <w:rsid w:val="00B50B55"/>
    <w:rsid w:val="00B519BB"/>
    <w:rsid w:val="00B53970"/>
    <w:rsid w:val="00B57BF4"/>
    <w:rsid w:val="00B62826"/>
    <w:rsid w:val="00B67382"/>
    <w:rsid w:val="00B7019C"/>
    <w:rsid w:val="00B70E28"/>
    <w:rsid w:val="00B71AFE"/>
    <w:rsid w:val="00B71F27"/>
    <w:rsid w:val="00B73016"/>
    <w:rsid w:val="00B735BC"/>
    <w:rsid w:val="00B75BE9"/>
    <w:rsid w:val="00B7770E"/>
    <w:rsid w:val="00B77F50"/>
    <w:rsid w:val="00B80050"/>
    <w:rsid w:val="00B80D86"/>
    <w:rsid w:val="00B810C0"/>
    <w:rsid w:val="00B81437"/>
    <w:rsid w:val="00B8423F"/>
    <w:rsid w:val="00B84811"/>
    <w:rsid w:val="00B86D76"/>
    <w:rsid w:val="00B87BA3"/>
    <w:rsid w:val="00B90739"/>
    <w:rsid w:val="00B90A34"/>
    <w:rsid w:val="00B90FBB"/>
    <w:rsid w:val="00B94DF6"/>
    <w:rsid w:val="00B979E2"/>
    <w:rsid w:val="00BA05FE"/>
    <w:rsid w:val="00BA061F"/>
    <w:rsid w:val="00BA0699"/>
    <w:rsid w:val="00BA08D8"/>
    <w:rsid w:val="00BA0E26"/>
    <w:rsid w:val="00BA134C"/>
    <w:rsid w:val="00BA2B9C"/>
    <w:rsid w:val="00BA34E3"/>
    <w:rsid w:val="00BA5305"/>
    <w:rsid w:val="00BA56D5"/>
    <w:rsid w:val="00BB142C"/>
    <w:rsid w:val="00BB26C1"/>
    <w:rsid w:val="00BB3665"/>
    <w:rsid w:val="00BB71BA"/>
    <w:rsid w:val="00BC056E"/>
    <w:rsid w:val="00BC1680"/>
    <w:rsid w:val="00BC1F09"/>
    <w:rsid w:val="00BC4638"/>
    <w:rsid w:val="00BC55CF"/>
    <w:rsid w:val="00BC57E3"/>
    <w:rsid w:val="00BC5B12"/>
    <w:rsid w:val="00BC5E57"/>
    <w:rsid w:val="00BC6992"/>
    <w:rsid w:val="00BD0809"/>
    <w:rsid w:val="00BD2B0C"/>
    <w:rsid w:val="00BD4C21"/>
    <w:rsid w:val="00BE0EA6"/>
    <w:rsid w:val="00BE0F48"/>
    <w:rsid w:val="00BE1ACA"/>
    <w:rsid w:val="00BE2518"/>
    <w:rsid w:val="00BE2FAC"/>
    <w:rsid w:val="00BE523F"/>
    <w:rsid w:val="00BE62E2"/>
    <w:rsid w:val="00BE63AC"/>
    <w:rsid w:val="00BF02AB"/>
    <w:rsid w:val="00BF04B0"/>
    <w:rsid w:val="00BF2226"/>
    <w:rsid w:val="00BF2D5B"/>
    <w:rsid w:val="00BF31FA"/>
    <w:rsid w:val="00BF47F0"/>
    <w:rsid w:val="00BF4E7E"/>
    <w:rsid w:val="00BF67CC"/>
    <w:rsid w:val="00BF760A"/>
    <w:rsid w:val="00BF7DBF"/>
    <w:rsid w:val="00C01200"/>
    <w:rsid w:val="00C0123F"/>
    <w:rsid w:val="00C01795"/>
    <w:rsid w:val="00C01B76"/>
    <w:rsid w:val="00C02485"/>
    <w:rsid w:val="00C03337"/>
    <w:rsid w:val="00C04CD0"/>
    <w:rsid w:val="00C05B60"/>
    <w:rsid w:val="00C06357"/>
    <w:rsid w:val="00C066F7"/>
    <w:rsid w:val="00C07DE4"/>
    <w:rsid w:val="00C11E1F"/>
    <w:rsid w:val="00C12A68"/>
    <w:rsid w:val="00C1352A"/>
    <w:rsid w:val="00C14B51"/>
    <w:rsid w:val="00C15981"/>
    <w:rsid w:val="00C15A27"/>
    <w:rsid w:val="00C171B2"/>
    <w:rsid w:val="00C2036A"/>
    <w:rsid w:val="00C220C8"/>
    <w:rsid w:val="00C22E58"/>
    <w:rsid w:val="00C23856"/>
    <w:rsid w:val="00C24932"/>
    <w:rsid w:val="00C24AC9"/>
    <w:rsid w:val="00C25C59"/>
    <w:rsid w:val="00C261E4"/>
    <w:rsid w:val="00C269EF"/>
    <w:rsid w:val="00C26CDE"/>
    <w:rsid w:val="00C26E6D"/>
    <w:rsid w:val="00C27660"/>
    <w:rsid w:val="00C27768"/>
    <w:rsid w:val="00C27F14"/>
    <w:rsid w:val="00C30B1E"/>
    <w:rsid w:val="00C30FE1"/>
    <w:rsid w:val="00C311CA"/>
    <w:rsid w:val="00C31A7F"/>
    <w:rsid w:val="00C3261F"/>
    <w:rsid w:val="00C336B5"/>
    <w:rsid w:val="00C33BD6"/>
    <w:rsid w:val="00C35052"/>
    <w:rsid w:val="00C353E8"/>
    <w:rsid w:val="00C358B5"/>
    <w:rsid w:val="00C36C11"/>
    <w:rsid w:val="00C4076D"/>
    <w:rsid w:val="00C40C33"/>
    <w:rsid w:val="00C42A5E"/>
    <w:rsid w:val="00C452A5"/>
    <w:rsid w:val="00C4607B"/>
    <w:rsid w:val="00C47367"/>
    <w:rsid w:val="00C47445"/>
    <w:rsid w:val="00C47945"/>
    <w:rsid w:val="00C54CA8"/>
    <w:rsid w:val="00C57882"/>
    <w:rsid w:val="00C61939"/>
    <w:rsid w:val="00C6221B"/>
    <w:rsid w:val="00C62B01"/>
    <w:rsid w:val="00C64B3F"/>
    <w:rsid w:val="00C65FB3"/>
    <w:rsid w:val="00C66023"/>
    <w:rsid w:val="00C66BCE"/>
    <w:rsid w:val="00C66E7B"/>
    <w:rsid w:val="00C70CC7"/>
    <w:rsid w:val="00C717BE"/>
    <w:rsid w:val="00C730AC"/>
    <w:rsid w:val="00C75655"/>
    <w:rsid w:val="00C75D03"/>
    <w:rsid w:val="00C76BB7"/>
    <w:rsid w:val="00C80C74"/>
    <w:rsid w:val="00C80E6B"/>
    <w:rsid w:val="00C81640"/>
    <w:rsid w:val="00C81659"/>
    <w:rsid w:val="00C81C9A"/>
    <w:rsid w:val="00C82074"/>
    <w:rsid w:val="00C8558B"/>
    <w:rsid w:val="00C86049"/>
    <w:rsid w:val="00C86894"/>
    <w:rsid w:val="00C90076"/>
    <w:rsid w:val="00C9516D"/>
    <w:rsid w:val="00CA21C6"/>
    <w:rsid w:val="00CA2FB4"/>
    <w:rsid w:val="00CA4CE3"/>
    <w:rsid w:val="00CA5811"/>
    <w:rsid w:val="00CA5B69"/>
    <w:rsid w:val="00CA6C56"/>
    <w:rsid w:val="00CA7D60"/>
    <w:rsid w:val="00CB031D"/>
    <w:rsid w:val="00CB11ED"/>
    <w:rsid w:val="00CB12EA"/>
    <w:rsid w:val="00CB1515"/>
    <w:rsid w:val="00CB1BC9"/>
    <w:rsid w:val="00CB1EE5"/>
    <w:rsid w:val="00CB262F"/>
    <w:rsid w:val="00CB3486"/>
    <w:rsid w:val="00CB5897"/>
    <w:rsid w:val="00CB6A2B"/>
    <w:rsid w:val="00CB6EB4"/>
    <w:rsid w:val="00CB79F9"/>
    <w:rsid w:val="00CC138D"/>
    <w:rsid w:val="00CC175C"/>
    <w:rsid w:val="00CC1C37"/>
    <w:rsid w:val="00CC208D"/>
    <w:rsid w:val="00CC2A35"/>
    <w:rsid w:val="00CC2A9F"/>
    <w:rsid w:val="00CC2FD6"/>
    <w:rsid w:val="00CC43D6"/>
    <w:rsid w:val="00CC444B"/>
    <w:rsid w:val="00CC4A76"/>
    <w:rsid w:val="00CC5369"/>
    <w:rsid w:val="00CC5FC2"/>
    <w:rsid w:val="00CC6EAD"/>
    <w:rsid w:val="00CC74D5"/>
    <w:rsid w:val="00CC75C8"/>
    <w:rsid w:val="00CD1E77"/>
    <w:rsid w:val="00CD26F1"/>
    <w:rsid w:val="00CD290B"/>
    <w:rsid w:val="00CD2E6C"/>
    <w:rsid w:val="00CD2E94"/>
    <w:rsid w:val="00CD30BC"/>
    <w:rsid w:val="00CD3A29"/>
    <w:rsid w:val="00CD40DB"/>
    <w:rsid w:val="00CD4F94"/>
    <w:rsid w:val="00CD6668"/>
    <w:rsid w:val="00CD6AC8"/>
    <w:rsid w:val="00CD7457"/>
    <w:rsid w:val="00CE5551"/>
    <w:rsid w:val="00CE56DE"/>
    <w:rsid w:val="00CE6692"/>
    <w:rsid w:val="00CE6F85"/>
    <w:rsid w:val="00CE7D90"/>
    <w:rsid w:val="00CF0707"/>
    <w:rsid w:val="00CF1B40"/>
    <w:rsid w:val="00CF1BD9"/>
    <w:rsid w:val="00CF4F1A"/>
    <w:rsid w:val="00CF71DB"/>
    <w:rsid w:val="00CF72DA"/>
    <w:rsid w:val="00CF7967"/>
    <w:rsid w:val="00D02453"/>
    <w:rsid w:val="00D0377D"/>
    <w:rsid w:val="00D04153"/>
    <w:rsid w:val="00D0557D"/>
    <w:rsid w:val="00D0642D"/>
    <w:rsid w:val="00D1543B"/>
    <w:rsid w:val="00D15628"/>
    <w:rsid w:val="00D158CB"/>
    <w:rsid w:val="00D20F53"/>
    <w:rsid w:val="00D2105F"/>
    <w:rsid w:val="00D21442"/>
    <w:rsid w:val="00D22303"/>
    <w:rsid w:val="00D229F5"/>
    <w:rsid w:val="00D22E61"/>
    <w:rsid w:val="00D2538A"/>
    <w:rsid w:val="00D26E6C"/>
    <w:rsid w:val="00D322DC"/>
    <w:rsid w:val="00D32D7E"/>
    <w:rsid w:val="00D3605F"/>
    <w:rsid w:val="00D367ED"/>
    <w:rsid w:val="00D4221E"/>
    <w:rsid w:val="00D426E0"/>
    <w:rsid w:val="00D42D36"/>
    <w:rsid w:val="00D4309C"/>
    <w:rsid w:val="00D43FC8"/>
    <w:rsid w:val="00D4464D"/>
    <w:rsid w:val="00D47B39"/>
    <w:rsid w:val="00D47CDD"/>
    <w:rsid w:val="00D5049F"/>
    <w:rsid w:val="00D5127F"/>
    <w:rsid w:val="00D5338B"/>
    <w:rsid w:val="00D53AF3"/>
    <w:rsid w:val="00D53B1E"/>
    <w:rsid w:val="00D54B8D"/>
    <w:rsid w:val="00D566FF"/>
    <w:rsid w:val="00D572F7"/>
    <w:rsid w:val="00D60DDA"/>
    <w:rsid w:val="00D617A1"/>
    <w:rsid w:val="00D6226E"/>
    <w:rsid w:val="00D642C3"/>
    <w:rsid w:val="00D65430"/>
    <w:rsid w:val="00D7067D"/>
    <w:rsid w:val="00D71C7A"/>
    <w:rsid w:val="00D72CB9"/>
    <w:rsid w:val="00D73D0E"/>
    <w:rsid w:val="00D7434C"/>
    <w:rsid w:val="00D75DDA"/>
    <w:rsid w:val="00D76174"/>
    <w:rsid w:val="00D767F1"/>
    <w:rsid w:val="00D76B22"/>
    <w:rsid w:val="00D76EB9"/>
    <w:rsid w:val="00D83B83"/>
    <w:rsid w:val="00D8697A"/>
    <w:rsid w:val="00D86E9B"/>
    <w:rsid w:val="00D91753"/>
    <w:rsid w:val="00D92A49"/>
    <w:rsid w:val="00D93E73"/>
    <w:rsid w:val="00D93FFC"/>
    <w:rsid w:val="00D95858"/>
    <w:rsid w:val="00D96BC2"/>
    <w:rsid w:val="00D9783B"/>
    <w:rsid w:val="00DA02F7"/>
    <w:rsid w:val="00DA3056"/>
    <w:rsid w:val="00DA3E2F"/>
    <w:rsid w:val="00DA450A"/>
    <w:rsid w:val="00DA4570"/>
    <w:rsid w:val="00DA5BEF"/>
    <w:rsid w:val="00DA617D"/>
    <w:rsid w:val="00DA64EA"/>
    <w:rsid w:val="00DB03F4"/>
    <w:rsid w:val="00DB1743"/>
    <w:rsid w:val="00DB6A07"/>
    <w:rsid w:val="00DB7F35"/>
    <w:rsid w:val="00DC0BB6"/>
    <w:rsid w:val="00DC1E85"/>
    <w:rsid w:val="00DC40B4"/>
    <w:rsid w:val="00DC547A"/>
    <w:rsid w:val="00DC59A4"/>
    <w:rsid w:val="00DC743D"/>
    <w:rsid w:val="00DD1172"/>
    <w:rsid w:val="00DD1294"/>
    <w:rsid w:val="00DD36B9"/>
    <w:rsid w:val="00DD3759"/>
    <w:rsid w:val="00DD37E1"/>
    <w:rsid w:val="00DD3A57"/>
    <w:rsid w:val="00DD49CB"/>
    <w:rsid w:val="00DD5AA7"/>
    <w:rsid w:val="00DD5D50"/>
    <w:rsid w:val="00DD6BD3"/>
    <w:rsid w:val="00DE038A"/>
    <w:rsid w:val="00DE252A"/>
    <w:rsid w:val="00DE4299"/>
    <w:rsid w:val="00DE4BE6"/>
    <w:rsid w:val="00DE4FA4"/>
    <w:rsid w:val="00DE6947"/>
    <w:rsid w:val="00DE770B"/>
    <w:rsid w:val="00DF0281"/>
    <w:rsid w:val="00DF0291"/>
    <w:rsid w:val="00DF0909"/>
    <w:rsid w:val="00DF2DFB"/>
    <w:rsid w:val="00DF2EC7"/>
    <w:rsid w:val="00DF45DB"/>
    <w:rsid w:val="00DF5ABC"/>
    <w:rsid w:val="00DF5BDE"/>
    <w:rsid w:val="00E015A9"/>
    <w:rsid w:val="00E0234B"/>
    <w:rsid w:val="00E023FC"/>
    <w:rsid w:val="00E02BC1"/>
    <w:rsid w:val="00E02E9A"/>
    <w:rsid w:val="00E06F7D"/>
    <w:rsid w:val="00E10FFF"/>
    <w:rsid w:val="00E1171F"/>
    <w:rsid w:val="00E12749"/>
    <w:rsid w:val="00E134CE"/>
    <w:rsid w:val="00E14F52"/>
    <w:rsid w:val="00E17431"/>
    <w:rsid w:val="00E20836"/>
    <w:rsid w:val="00E209F0"/>
    <w:rsid w:val="00E20DA0"/>
    <w:rsid w:val="00E222AF"/>
    <w:rsid w:val="00E25395"/>
    <w:rsid w:val="00E25DA4"/>
    <w:rsid w:val="00E32BD6"/>
    <w:rsid w:val="00E33737"/>
    <w:rsid w:val="00E34EFA"/>
    <w:rsid w:val="00E37960"/>
    <w:rsid w:val="00E424CA"/>
    <w:rsid w:val="00E427C9"/>
    <w:rsid w:val="00E42AEC"/>
    <w:rsid w:val="00E42B40"/>
    <w:rsid w:val="00E456C4"/>
    <w:rsid w:val="00E45955"/>
    <w:rsid w:val="00E45E50"/>
    <w:rsid w:val="00E4642E"/>
    <w:rsid w:val="00E50DBF"/>
    <w:rsid w:val="00E51207"/>
    <w:rsid w:val="00E5145F"/>
    <w:rsid w:val="00E52232"/>
    <w:rsid w:val="00E5261E"/>
    <w:rsid w:val="00E52A38"/>
    <w:rsid w:val="00E53066"/>
    <w:rsid w:val="00E53BCA"/>
    <w:rsid w:val="00E53DB6"/>
    <w:rsid w:val="00E54029"/>
    <w:rsid w:val="00E546F4"/>
    <w:rsid w:val="00E564E4"/>
    <w:rsid w:val="00E57F84"/>
    <w:rsid w:val="00E60FA8"/>
    <w:rsid w:val="00E61910"/>
    <w:rsid w:val="00E61D8E"/>
    <w:rsid w:val="00E64186"/>
    <w:rsid w:val="00E65D61"/>
    <w:rsid w:val="00E66D29"/>
    <w:rsid w:val="00E67426"/>
    <w:rsid w:val="00E6770C"/>
    <w:rsid w:val="00E67D6C"/>
    <w:rsid w:val="00E708C5"/>
    <w:rsid w:val="00E71A5E"/>
    <w:rsid w:val="00E73062"/>
    <w:rsid w:val="00E745B2"/>
    <w:rsid w:val="00E74EE2"/>
    <w:rsid w:val="00E778C4"/>
    <w:rsid w:val="00E81322"/>
    <w:rsid w:val="00E83429"/>
    <w:rsid w:val="00E85F40"/>
    <w:rsid w:val="00E90651"/>
    <w:rsid w:val="00E90D6F"/>
    <w:rsid w:val="00E91657"/>
    <w:rsid w:val="00E91AE2"/>
    <w:rsid w:val="00E922D9"/>
    <w:rsid w:val="00E9371A"/>
    <w:rsid w:val="00EA136B"/>
    <w:rsid w:val="00EA2D35"/>
    <w:rsid w:val="00EA34BD"/>
    <w:rsid w:val="00EA4238"/>
    <w:rsid w:val="00EA506D"/>
    <w:rsid w:val="00EB08D0"/>
    <w:rsid w:val="00EB5D16"/>
    <w:rsid w:val="00EB6186"/>
    <w:rsid w:val="00EC0FCD"/>
    <w:rsid w:val="00EC30A9"/>
    <w:rsid w:val="00EC3C6B"/>
    <w:rsid w:val="00EC480A"/>
    <w:rsid w:val="00ED0080"/>
    <w:rsid w:val="00ED12C1"/>
    <w:rsid w:val="00ED34A9"/>
    <w:rsid w:val="00ED58EE"/>
    <w:rsid w:val="00EE2D15"/>
    <w:rsid w:val="00EE4958"/>
    <w:rsid w:val="00EE620C"/>
    <w:rsid w:val="00EE7226"/>
    <w:rsid w:val="00EE73C4"/>
    <w:rsid w:val="00EE7E23"/>
    <w:rsid w:val="00EF066A"/>
    <w:rsid w:val="00EF0BC8"/>
    <w:rsid w:val="00EF0D66"/>
    <w:rsid w:val="00EF1014"/>
    <w:rsid w:val="00EF1918"/>
    <w:rsid w:val="00EF3E5B"/>
    <w:rsid w:val="00EF4456"/>
    <w:rsid w:val="00EF627E"/>
    <w:rsid w:val="00EF6370"/>
    <w:rsid w:val="00EF7672"/>
    <w:rsid w:val="00EF7AA2"/>
    <w:rsid w:val="00EF7FD3"/>
    <w:rsid w:val="00F00807"/>
    <w:rsid w:val="00F01AF4"/>
    <w:rsid w:val="00F02610"/>
    <w:rsid w:val="00F03914"/>
    <w:rsid w:val="00F03AAC"/>
    <w:rsid w:val="00F04BF6"/>
    <w:rsid w:val="00F0638F"/>
    <w:rsid w:val="00F1441D"/>
    <w:rsid w:val="00F152CB"/>
    <w:rsid w:val="00F16A45"/>
    <w:rsid w:val="00F16CC7"/>
    <w:rsid w:val="00F20802"/>
    <w:rsid w:val="00F2111F"/>
    <w:rsid w:val="00F21DFA"/>
    <w:rsid w:val="00F230AA"/>
    <w:rsid w:val="00F238AD"/>
    <w:rsid w:val="00F24350"/>
    <w:rsid w:val="00F25E5D"/>
    <w:rsid w:val="00F30525"/>
    <w:rsid w:val="00F30DDD"/>
    <w:rsid w:val="00F31761"/>
    <w:rsid w:val="00F322F4"/>
    <w:rsid w:val="00F357CE"/>
    <w:rsid w:val="00F35DFC"/>
    <w:rsid w:val="00F378AF"/>
    <w:rsid w:val="00F37DCA"/>
    <w:rsid w:val="00F415D5"/>
    <w:rsid w:val="00F417BA"/>
    <w:rsid w:val="00F42290"/>
    <w:rsid w:val="00F42535"/>
    <w:rsid w:val="00F43179"/>
    <w:rsid w:val="00F47954"/>
    <w:rsid w:val="00F512FB"/>
    <w:rsid w:val="00F516DF"/>
    <w:rsid w:val="00F5176F"/>
    <w:rsid w:val="00F51AB4"/>
    <w:rsid w:val="00F53346"/>
    <w:rsid w:val="00F53413"/>
    <w:rsid w:val="00F53982"/>
    <w:rsid w:val="00F5504C"/>
    <w:rsid w:val="00F5648E"/>
    <w:rsid w:val="00F5719C"/>
    <w:rsid w:val="00F572E8"/>
    <w:rsid w:val="00F573E5"/>
    <w:rsid w:val="00F576D0"/>
    <w:rsid w:val="00F57BA0"/>
    <w:rsid w:val="00F61513"/>
    <w:rsid w:val="00F62E1E"/>
    <w:rsid w:val="00F62EB2"/>
    <w:rsid w:val="00F634D6"/>
    <w:rsid w:val="00F667C0"/>
    <w:rsid w:val="00F709C9"/>
    <w:rsid w:val="00F729B5"/>
    <w:rsid w:val="00F73215"/>
    <w:rsid w:val="00F76ABE"/>
    <w:rsid w:val="00F76C99"/>
    <w:rsid w:val="00F81B03"/>
    <w:rsid w:val="00F81BC5"/>
    <w:rsid w:val="00F82799"/>
    <w:rsid w:val="00F83D57"/>
    <w:rsid w:val="00F840D7"/>
    <w:rsid w:val="00F8540B"/>
    <w:rsid w:val="00F85D6A"/>
    <w:rsid w:val="00F86BDA"/>
    <w:rsid w:val="00F87165"/>
    <w:rsid w:val="00F87CF5"/>
    <w:rsid w:val="00F91884"/>
    <w:rsid w:val="00F91DEB"/>
    <w:rsid w:val="00F921F8"/>
    <w:rsid w:val="00F93E78"/>
    <w:rsid w:val="00F94E7A"/>
    <w:rsid w:val="00F952A6"/>
    <w:rsid w:val="00F96227"/>
    <w:rsid w:val="00F96996"/>
    <w:rsid w:val="00F96C8F"/>
    <w:rsid w:val="00F972CE"/>
    <w:rsid w:val="00FA0932"/>
    <w:rsid w:val="00FA0C6A"/>
    <w:rsid w:val="00FA2304"/>
    <w:rsid w:val="00FA323A"/>
    <w:rsid w:val="00FA3359"/>
    <w:rsid w:val="00FA3483"/>
    <w:rsid w:val="00FA35B2"/>
    <w:rsid w:val="00FA3FB2"/>
    <w:rsid w:val="00FA4DBD"/>
    <w:rsid w:val="00FB207D"/>
    <w:rsid w:val="00FB2403"/>
    <w:rsid w:val="00FB5BE5"/>
    <w:rsid w:val="00FB7831"/>
    <w:rsid w:val="00FC109A"/>
    <w:rsid w:val="00FC17B0"/>
    <w:rsid w:val="00FC1830"/>
    <w:rsid w:val="00FC4273"/>
    <w:rsid w:val="00FC4FB1"/>
    <w:rsid w:val="00FC542D"/>
    <w:rsid w:val="00FD1CAC"/>
    <w:rsid w:val="00FD247B"/>
    <w:rsid w:val="00FD2548"/>
    <w:rsid w:val="00FD71E9"/>
    <w:rsid w:val="00FE1060"/>
    <w:rsid w:val="00FE59A7"/>
    <w:rsid w:val="00FE7675"/>
    <w:rsid w:val="00FE7677"/>
    <w:rsid w:val="00FE7BB4"/>
    <w:rsid w:val="00FF03BB"/>
    <w:rsid w:val="00FF2E41"/>
    <w:rsid w:val="00FF353A"/>
    <w:rsid w:val="00FF3D2F"/>
    <w:rsid w:val="00FF5E1F"/>
    <w:rsid w:val="00FF763C"/>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49EE3"/>
  <w15:docId w15:val="{1B4F39CA-7F98-487B-A308-789F72FB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653D0"/>
    <w:pPr>
      <w:keepNext/>
      <w:numPr>
        <w:numId w:val="4"/>
      </w:numPr>
      <w:spacing w:after="120" w:line="360" w:lineRule="auto"/>
      <w:jc w:val="both"/>
      <w:outlineLvl w:val="0"/>
    </w:pPr>
    <w:rPr>
      <w:rFonts w:ascii="Times Cirilica" w:hAnsi="Times Cirilica"/>
      <w:b/>
      <w:smallCaps/>
      <w:sz w:val="32"/>
      <w:szCs w:val="20"/>
    </w:rPr>
  </w:style>
  <w:style w:type="paragraph" w:styleId="Heading2">
    <w:name w:val="heading 2"/>
    <w:basedOn w:val="Heading1"/>
    <w:next w:val="Normal"/>
    <w:qFormat/>
    <w:rsid w:val="007653D0"/>
    <w:pPr>
      <w:numPr>
        <w:ilvl w:val="1"/>
      </w:numPr>
      <w:spacing w:before="120" w:after="0"/>
      <w:jc w:val="left"/>
      <w:outlineLvl w:val="1"/>
    </w:pPr>
  </w:style>
  <w:style w:type="paragraph" w:styleId="Heading3">
    <w:name w:val="heading 3"/>
    <w:basedOn w:val="Normal"/>
    <w:next w:val="Normal"/>
    <w:qFormat/>
    <w:rsid w:val="007653D0"/>
    <w:pPr>
      <w:keepNext/>
      <w:numPr>
        <w:ilvl w:val="2"/>
        <w:numId w:val="4"/>
      </w:numPr>
      <w:spacing w:after="120" w:line="360" w:lineRule="auto"/>
      <w:jc w:val="both"/>
      <w:outlineLvl w:val="2"/>
    </w:pPr>
    <w:rPr>
      <w:rFonts w:ascii="Times Cirilica" w:hAnsi="Times Cirilica"/>
      <w:b/>
      <w:sz w:val="32"/>
      <w:szCs w:val="20"/>
    </w:rPr>
  </w:style>
  <w:style w:type="paragraph" w:styleId="Heading4">
    <w:name w:val="heading 4"/>
    <w:basedOn w:val="Normal"/>
    <w:next w:val="Normal"/>
    <w:qFormat/>
    <w:rsid w:val="007653D0"/>
    <w:pPr>
      <w:keepNext/>
      <w:numPr>
        <w:ilvl w:val="3"/>
        <w:numId w:val="4"/>
      </w:numPr>
      <w:outlineLvl w:val="3"/>
    </w:pPr>
    <w:rPr>
      <w:b/>
      <w:szCs w:val="20"/>
      <w:lang w:val="sl-SI"/>
    </w:rPr>
  </w:style>
  <w:style w:type="paragraph" w:styleId="Heading5">
    <w:name w:val="heading 5"/>
    <w:basedOn w:val="Normal"/>
    <w:next w:val="Normal"/>
    <w:qFormat/>
    <w:rsid w:val="007653D0"/>
    <w:pPr>
      <w:keepNext/>
      <w:numPr>
        <w:ilvl w:val="4"/>
        <w:numId w:val="4"/>
      </w:numPr>
      <w:jc w:val="both"/>
      <w:outlineLvl w:val="4"/>
    </w:pPr>
    <w:rPr>
      <w:b/>
      <w:bCs/>
      <w:szCs w:val="20"/>
      <w:lang w:val="sl-SI"/>
    </w:rPr>
  </w:style>
  <w:style w:type="paragraph" w:styleId="Heading6">
    <w:name w:val="heading 6"/>
    <w:basedOn w:val="Normal"/>
    <w:next w:val="Normal"/>
    <w:qFormat/>
    <w:rsid w:val="007653D0"/>
    <w:pPr>
      <w:keepNext/>
      <w:numPr>
        <w:ilvl w:val="5"/>
        <w:numId w:val="4"/>
      </w:numPr>
      <w:jc w:val="center"/>
      <w:outlineLvl w:val="5"/>
    </w:pPr>
    <w:rPr>
      <w:b/>
      <w:szCs w:val="20"/>
      <w:lang w:val="sl-SI"/>
    </w:rPr>
  </w:style>
  <w:style w:type="paragraph" w:styleId="Heading7">
    <w:name w:val="heading 7"/>
    <w:basedOn w:val="Normal"/>
    <w:next w:val="Normal"/>
    <w:qFormat/>
    <w:rsid w:val="007653D0"/>
    <w:pPr>
      <w:keepNext/>
      <w:numPr>
        <w:ilvl w:val="6"/>
        <w:numId w:val="4"/>
      </w:numPr>
      <w:jc w:val="center"/>
      <w:outlineLvl w:val="6"/>
    </w:pPr>
    <w:rPr>
      <w:b/>
      <w:sz w:val="20"/>
      <w:szCs w:val="20"/>
      <w:lang w:val="sl-SI"/>
    </w:rPr>
  </w:style>
  <w:style w:type="paragraph" w:styleId="Heading8">
    <w:name w:val="heading 8"/>
    <w:basedOn w:val="Normal"/>
    <w:next w:val="Normal"/>
    <w:qFormat/>
    <w:rsid w:val="007653D0"/>
    <w:pPr>
      <w:keepNext/>
      <w:numPr>
        <w:ilvl w:val="7"/>
        <w:numId w:val="4"/>
      </w:numPr>
      <w:jc w:val="both"/>
      <w:outlineLvl w:val="7"/>
    </w:pPr>
    <w:rPr>
      <w:b/>
      <w:sz w:val="20"/>
      <w:szCs w:val="20"/>
      <w:lang w:val="sl-SI"/>
    </w:rPr>
  </w:style>
  <w:style w:type="paragraph" w:styleId="Heading9">
    <w:name w:val="heading 9"/>
    <w:basedOn w:val="Normal"/>
    <w:next w:val="Normal"/>
    <w:qFormat/>
    <w:rsid w:val="007653D0"/>
    <w:pPr>
      <w:keepNext/>
      <w:numPr>
        <w:ilvl w:val="8"/>
        <w:numId w:val="4"/>
      </w:numPr>
      <w:jc w:val="center"/>
      <w:outlineLvl w:val="8"/>
    </w:pPr>
    <w:rPr>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7944"/>
    <w:rPr>
      <w:rFonts w:ascii="Tahoma" w:hAnsi="Tahoma" w:cs="Tahoma"/>
      <w:sz w:val="16"/>
      <w:szCs w:val="16"/>
    </w:rPr>
  </w:style>
  <w:style w:type="paragraph" w:styleId="PlainText">
    <w:name w:val="Plain Text"/>
    <w:basedOn w:val="Normal"/>
    <w:rsid w:val="007653D0"/>
    <w:pPr>
      <w:spacing w:after="120"/>
      <w:jc w:val="both"/>
    </w:pPr>
    <w:rPr>
      <w:rFonts w:ascii="Courier New" w:hAnsi="Courier New"/>
      <w:sz w:val="20"/>
      <w:szCs w:val="20"/>
    </w:rPr>
  </w:style>
  <w:style w:type="paragraph" w:styleId="Footer">
    <w:name w:val="footer"/>
    <w:basedOn w:val="Normal"/>
    <w:rsid w:val="007653D0"/>
    <w:pPr>
      <w:tabs>
        <w:tab w:val="center" w:pos="4153"/>
        <w:tab w:val="right" w:pos="8306"/>
      </w:tabs>
      <w:spacing w:after="120"/>
      <w:jc w:val="both"/>
    </w:pPr>
    <w:rPr>
      <w:szCs w:val="20"/>
    </w:rPr>
  </w:style>
  <w:style w:type="paragraph" w:styleId="Header">
    <w:name w:val="header"/>
    <w:basedOn w:val="Normal"/>
    <w:rsid w:val="007653D0"/>
    <w:pPr>
      <w:tabs>
        <w:tab w:val="center" w:pos="4320"/>
        <w:tab w:val="right" w:pos="8640"/>
      </w:tabs>
    </w:pPr>
    <w:rPr>
      <w:sz w:val="18"/>
      <w:szCs w:val="20"/>
      <w:lang w:val="sr-Cyrl-CS" w:eastAsia="hr-HR"/>
    </w:rPr>
  </w:style>
  <w:style w:type="character" w:styleId="PageNumber">
    <w:name w:val="page number"/>
    <w:basedOn w:val="DefaultParagraphFont"/>
    <w:rsid w:val="00DA450A"/>
  </w:style>
  <w:style w:type="paragraph" w:styleId="NoSpacing">
    <w:name w:val="No Spacing"/>
    <w:link w:val="NoSpacingChar"/>
    <w:qFormat/>
    <w:rsid w:val="00DD3A57"/>
    <w:rPr>
      <w:rFonts w:ascii="Calibri" w:eastAsia="Calibri" w:hAnsi="Calibri"/>
      <w:sz w:val="22"/>
      <w:szCs w:val="22"/>
    </w:rPr>
  </w:style>
  <w:style w:type="character" w:customStyle="1" w:styleId="NoSpacingChar">
    <w:name w:val="No Spacing Char"/>
    <w:link w:val="NoSpacing"/>
    <w:rsid w:val="00DD3A57"/>
    <w:rPr>
      <w:rFonts w:ascii="Calibri" w:eastAsia="Calibri" w:hAnsi="Calibri"/>
      <w:sz w:val="22"/>
      <w:szCs w:val="22"/>
      <w:lang w:val="en-US" w:eastAsia="en-US" w:bidi="ar-SA"/>
    </w:rPr>
  </w:style>
  <w:style w:type="character" w:styleId="FootnoteReference">
    <w:name w:val="footnote reference"/>
    <w:unhideWhenUsed/>
    <w:rsid w:val="00830495"/>
    <w:rPr>
      <w:vertAlign w:val="superscript"/>
    </w:rPr>
  </w:style>
  <w:style w:type="paragraph" w:styleId="BodyText2">
    <w:name w:val="Body Text 2"/>
    <w:basedOn w:val="Normal"/>
    <w:link w:val="BodyText2Char"/>
    <w:rsid w:val="00830495"/>
    <w:pPr>
      <w:jc w:val="both"/>
    </w:pPr>
    <w:rPr>
      <w:lang w:val="sr-Cyrl-CS"/>
    </w:rPr>
  </w:style>
  <w:style w:type="character" w:customStyle="1" w:styleId="BodyText2Char">
    <w:name w:val="Body Text 2 Char"/>
    <w:link w:val="BodyText2"/>
    <w:rsid w:val="00830495"/>
    <w:rPr>
      <w:sz w:val="24"/>
      <w:szCs w:val="24"/>
      <w:lang w:val="sr-Cyrl-CS"/>
    </w:rPr>
  </w:style>
  <w:style w:type="paragraph" w:styleId="FootnoteText">
    <w:name w:val="footnote text"/>
    <w:basedOn w:val="Normal"/>
    <w:link w:val="FootnoteTextChar"/>
    <w:rsid w:val="00830495"/>
    <w:rPr>
      <w:sz w:val="20"/>
      <w:szCs w:val="20"/>
    </w:rPr>
  </w:style>
  <w:style w:type="character" w:customStyle="1" w:styleId="FootnoteTextChar">
    <w:name w:val="Footnote Text Char"/>
    <w:basedOn w:val="DefaultParagraphFont"/>
    <w:link w:val="FootnoteText"/>
    <w:rsid w:val="00830495"/>
  </w:style>
  <w:style w:type="table" w:styleId="TableGrid">
    <w:name w:val="Table Grid"/>
    <w:basedOn w:val="TableNormal"/>
    <w:rsid w:val="002F05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4F7908"/>
    <w:pPr>
      <w:shd w:val="clear" w:color="auto" w:fill="000080"/>
    </w:pPr>
    <w:rPr>
      <w:rFonts w:ascii="Tahoma" w:hAnsi="Tahoma" w:cs="Tahoma"/>
      <w:sz w:val="20"/>
      <w:szCs w:val="20"/>
    </w:rPr>
  </w:style>
  <w:style w:type="character" w:customStyle="1" w:styleId="st">
    <w:name w:val="st"/>
    <w:basedOn w:val="DefaultParagraphFont"/>
    <w:rsid w:val="006B1179"/>
  </w:style>
  <w:style w:type="character" w:styleId="Emphasis">
    <w:name w:val="Emphasis"/>
    <w:uiPriority w:val="20"/>
    <w:qFormat/>
    <w:rsid w:val="006B1179"/>
    <w:rPr>
      <w:i/>
      <w:iCs/>
    </w:rPr>
  </w:style>
  <w:style w:type="character" w:styleId="Hyperlink">
    <w:name w:val="Hyperlink"/>
    <w:rsid w:val="00042897"/>
    <w:rPr>
      <w:color w:val="0000FF"/>
      <w:u w:val="single"/>
    </w:rPr>
  </w:style>
  <w:style w:type="paragraph" w:styleId="BodyText">
    <w:name w:val="Body Text"/>
    <w:basedOn w:val="Normal"/>
    <w:link w:val="BodyTextChar"/>
    <w:rsid w:val="00673F65"/>
    <w:pPr>
      <w:spacing w:after="120"/>
    </w:pPr>
  </w:style>
  <w:style w:type="character" w:customStyle="1" w:styleId="BodyTextChar">
    <w:name w:val="Body Text Char"/>
    <w:basedOn w:val="DefaultParagraphFont"/>
    <w:link w:val="BodyText"/>
    <w:rsid w:val="00673F65"/>
    <w:rPr>
      <w:sz w:val="24"/>
      <w:szCs w:val="24"/>
    </w:rPr>
  </w:style>
  <w:style w:type="paragraph" w:styleId="ListParagraph">
    <w:name w:val="List Paragraph"/>
    <w:basedOn w:val="Normal"/>
    <w:uiPriority w:val="34"/>
    <w:qFormat/>
    <w:rsid w:val="0033759C"/>
    <w:pPr>
      <w:ind w:left="720"/>
      <w:contextualSpacing/>
    </w:pPr>
  </w:style>
  <w:style w:type="character" w:customStyle="1" w:styleId="FontStyle11">
    <w:name w:val="Font Style11"/>
    <w:rsid w:val="0033759C"/>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999199">
      <w:bodyDiv w:val="1"/>
      <w:marLeft w:val="0"/>
      <w:marRight w:val="0"/>
      <w:marTop w:val="0"/>
      <w:marBottom w:val="0"/>
      <w:divBdr>
        <w:top w:val="none" w:sz="0" w:space="0" w:color="auto"/>
        <w:left w:val="none" w:sz="0" w:space="0" w:color="auto"/>
        <w:bottom w:val="none" w:sz="0" w:space="0" w:color="auto"/>
        <w:right w:val="none" w:sz="0" w:space="0" w:color="auto"/>
      </w:divBdr>
    </w:div>
    <w:div w:id="626352907">
      <w:bodyDiv w:val="1"/>
      <w:marLeft w:val="0"/>
      <w:marRight w:val="0"/>
      <w:marTop w:val="0"/>
      <w:marBottom w:val="0"/>
      <w:divBdr>
        <w:top w:val="none" w:sz="0" w:space="0" w:color="auto"/>
        <w:left w:val="none" w:sz="0" w:space="0" w:color="auto"/>
        <w:bottom w:val="none" w:sz="0" w:space="0" w:color="auto"/>
        <w:right w:val="none" w:sz="0" w:space="0" w:color="auto"/>
      </w:divBdr>
    </w:div>
    <w:div w:id="918565216">
      <w:bodyDiv w:val="1"/>
      <w:marLeft w:val="0"/>
      <w:marRight w:val="0"/>
      <w:marTop w:val="0"/>
      <w:marBottom w:val="0"/>
      <w:divBdr>
        <w:top w:val="none" w:sz="0" w:space="0" w:color="auto"/>
        <w:left w:val="none" w:sz="0" w:space="0" w:color="auto"/>
        <w:bottom w:val="none" w:sz="0" w:space="0" w:color="auto"/>
        <w:right w:val="none" w:sz="0" w:space="0" w:color="auto"/>
      </w:divBdr>
    </w:div>
    <w:div w:id="923340485">
      <w:bodyDiv w:val="1"/>
      <w:marLeft w:val="0"/>
      <w:marRight w:val="0"/>
      <w:marTop w:val="0"/>
      <w:marBottom w:val="0"/>
      <w:divBdr>
        <w:top w:val="none" w:sz="0" w:space="0" w:color="auto"/>
        <w:left w:val="none" w:sz="0" w:space="0" w:color="auto"/>
        <w:bottom w:val="none" w:sz="0" w:space="0" w:color="auto"/>
        <w:right w:val="none" w:sz="0" w:space="0" w:color="auto"/>
      </w:divBdr>
    </w:div>
    <w:div w:id="1118178776">
      <w:bodyDiv w:val="1"/>
      <w:marLeft w:val="0"/>
      <w:marRight w:val="0"/>
      <w:marTop w:val="0"/>
      <w:marBottom w:val="0"/>
      <w:divBdr>
        <w:top w:val="none" w:sz="0" w:space="0" w:color="auto"/>
        <w:left w:val="none" w:sz="0" w:space="0" w:color="auto"/>
        <w:bottom w:val="none" w:sz="0" w:space="0" w:color="auto"/>
        <w:right w:val="none" w:sz="0" w:space="0" w:color="auto"/>
      </w:divBdr>
    </w:div>
    <w:div w:id="1634483312">
      <w:bodyDiv w:val="1"/>
      <w:marLeft w:val="0"/>
      <w:marRight w:val="0"/>
      <w:marTop w:val="0"/>
      <w:marBottom w:val="0"/>
      <w:divBdr>
        <w:top w:val="none" w:sz="0" w:space="0" w:color="auto"/>
        <w:left w:val="none" w:sz="0" w:space="0" w:color="auto"/>
        <w:bottom w:val="none" w:sz="0" w:space="0" w:color="auto"/>
        <w:right w:val="none" w:sz="0" w:space="0" w:color="auto"/>
      </w:divBdr>
    </w:div>
    <w:div w:id="20107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DEF3A-DF6B-494A-A3E2-F8BEC640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2027</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Napomene</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Napomene</dc:title>
  <dc:subject/>
  <dc:creator>Darija</dc:creator>
  <cp:keywords/>
  <cp:lastModifiedBy>Korisnik</cp:lastModifiedBy>
  <cp:revision>6</cp:revision>
  <cp:lastPrinted>2017-04-13T12:31:00Z</cp:lastPrinted>
  <dcterms:created xsi:type="dcterms:W3CDTF">2019-07-19T12:03:00Z</dcterms:created>
  <dcterms:modified xsi:type="dcterms:W3CDTF">2019-07-29T06:58:00Z</dcterms:modified>
</cp:coreProperties>
</file>