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5F9" w:rsidRPr="0051184D" w:rsidRDefault="006475F9" w:rsidP="006475F9">
      <w:pPr>
        <w:rPr>
          <w:sz w:val="18"/>
          <w:szCs w:val="18"/>
          <w:lang w:val="hr-BA"/>
        </w:rPr>
      </w:pPr>
      <w:r w:rsidRPr="0051184D">
        <w:rPr>
          <w:noProof/>
          <w:sz w:val="18"/>
          <w:szCs w:val="18"/>
          <w:lang w:val="en-US"/>
        </w:rPr>
        <w:drawing>
          <wp:inline distT="0" distB="0" distL="0" distR="0">
            <wp:extent cx="5762625" cy="1419225"/>
            <wp:effectExtent l="19050" t="0" r="9525" b="0"/>
            <wp:docPr id="2" name="Slika 0"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Untitled-1.jpg"/>
                    <pic:cNvPicPr>
                      <a:picLocks noChangeAspect="1" noChangeArrowheads="1"/>
                    </pic:cNvPicPr>
                  </pic:nvPicPr>
                  <pic:blipFill>
                    <a:blip r:embed="rId8"/>
                    <a:srcRect/>
                    <a:stretch>
                      <a:fillRect/>
                    </a:stretch>
                  </pic:blipFill>
                  <pic:spPr bwMode="auto">
                    <a:xfrm>
                      <a:off x="0" y="0"/>
                      <a:ext cx="5762625" cy="1419225"/>
                    </a:xfrm>
                    <a:prstGeom prst="rect">
                      <a:avLst/>
                    </a:prstGeom>
                    <a:noFill/>
                    <a:ln w="9525">
                      <a:noFill/>
                      <a:miter lim="800000"/>
                      <a:headEnd/>
                      <a:tailEnd/>
                    </a:ln>
                  </pic:spPr>
                </pic:pic>
              </a:graphicData>
            </a:graphic>
          </wp:inline>
        </w:drawing>
      </w:r>
    </w:p>
    <w:p w:rsidR="006475F9" w:rsidRPr="0051184D" w:rsidRDefault="006475F9" w:rsidP="006475F9">
      <w:pPr>
        <w:rPr>
          <w:sz w:val="18"/>
          <w:szCs w:val="18"/>
          <w:lang w:val="hr-BA"/>
        </w:rPr>
      </w:pPr>
    </w:p>
    <w:p w:rsidR="006475F9" w:rsidRPr="0051184D" w:rsidRDefault="006475F9" w:rsidP="006475F9">
      <w:pPr>
        <w:rPr>
          <w:sz w:val="18"/>
          <w:szCs w:val="18"/>
          <w:lang w:val="hr-BA"/>
        </w:rPr>
      </w:pPr>
    </w:p>
    <w:p w:rsidR="006475F9" w:rsidRPr="0051184D" w:rsidRDefault="006475F9" w:rsidP="006475F9">
      <w:pPr>
        <w:rPr>
          <w:sz w:val="18"/>
          <w:szCs w:val="18"/>
          <w:lang w:val="hr-BA"/>
        </w:rPr>
      </w:pPr>
    </w:p>
    <w:p w:rsidR="006475F9" w:rsidRPr="0051184D" w:rsidRDefault="006475F9" w:rsidP="006475F9">
      <w:pPr>
        <w:rPr>
          <w:sz w:val="18"/>
          <w:szCs w:val="18"/>
          <w:lang w:val="hr-BA"/>
        </w:rPr>
      </w:pPr>
    </w:p>
    <w:p w:rsidR="006475F9" w:rsidRPr="0051184D" w:rsidRDefault="006475F9" w:rsidP="006475F9">
      <w:pPr>
        <w:rPr>
          <w:sz w:val="18"/>
          <w:szCs w:val="18"/>
          <w:lang w:val="hr-BA"/>
        </w:rPr>
      </w:pPr>
    </w:p>
    <w:p w:rsidR="006475F9" w:rsidRPr="0051184D" w:rsidRDefault="006475F9" w:rsidP="006475F9">
      <w:pPr>
        <w:rPr>
          <w:sz w:val="18"/>
          <w:szCs w:val="18"/>
          <w:lang w:val="hr-BA"/>
        </w:rPr>
      </w:pPr>
    </w:p>
    <w:p w:rsidR="006475F9" w:rsidRPr="0051184D" w:rsidRDefault="006475F9" w:rsidP="006475F9">
      <w:pPr>
        <w:rPr>
          <w:sz w:val="18"/>
          <w:szCs w:val="18"/>
          <w:lang w:val="hr-BA"/>
        </w:rPr>
      </w:pPr>
    </w:p>
    <w:p w:rsidR="006475F9" w:rsidRPr="0051184D" w:rsidRDefault="006475F9" w:rsidP="006475F9">
      <w:pPr>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rPr>
          <w:sz w:val="18"/>
          <w:szCs w:val="18"/>
          <w:lang w:val="hr-BA"/>
        </w:rPr>
      </w:pPr>
    </w:p>
    <w:p w:rsidR="006475F9" w:rsidRPr="0051184D" w:rsidRDefault="008162AC" w:rsidP="006475F9">
      <w:pPr>
        <w:pStyle w:val="IntenseQuote"/>
        <w:spacing w:before="0" w:after="0"/>
        <w:jc w:val="center"/>
        <w:rPr>
          <w:color w:val="000000"/>
          <w:sz w:val="44"/>
          <w:lang w:val="hr-BA"/>
        </w:rPr>
      </w:pPr>
      <w:r>
        <w:rPr>
          <w:color w:val="000000"/>
          <w:sz w:val="44"/>
          <w:lang w:val="hr-BA"/>
        </w:rPr>
        <w:t>Borac</w:t>
      </w:r>
      <w:r w:rsidR="006522E0">
        <w:rPr>
          <w:color w:val="000000"/>
          <w:sz w:val="44"/>
          <w:lang w:val="hr-BA"/>
        </w:rPr>
        <w:t xml:space="preserve"> a.d. Trebinje</w:t>
      </w:r>
    </w:p>
    <w:p w:rsidR="006475F9" w:rsidRDefault="006475F9" w:rsidP="006475F9">
      <w:pPr>
        <w:spacing w:after="0"/>
        <w:jc w:val="center"/>
        <w:rPr>
          <w:rFonts w:ascii="Cambria" w:hAnsi="Cambria"/>
          <w:color w:val="000000"/>
          <w:sz w:val="32"/>
          <w:szCs w:val="18"/>
          <w:lang w:val="hr-BA"/>
        </w:rPr>
      </w:pPr>
    </w:p>
    <w:p w:rsidR="00432E2B" w:rsidRDefault="006475F9" w:rsidP="006475F9">
      <w:pPr>
        <w:spacing w:after="0"/>
        <w:jc w:val="center"/>
        <w:rPr>
          <w:rFonts w:ascii="Cambria" w:hAnsi="Cambria"/>
          <w:color w:val="000000"/>
          <w:sz w:val="32"/>
          <w:szCs w:val="18"/>
          <w:lang w:val="hr-BA"/>
        </w:rPr>
      </w:pPr>
      <w:r>
        <w:rPr>
          <w:rFonts w:ascii="Cambria" w:hAnsi="Cambria"/>
          <w:color w:val="000000"/>
          <w:sz w:val="32"/>
          <w:szCs w:val="18"/>
          <w:lang w:val="hr-BA"/>
        </w:rPr>
        <w:t>Finan</w:t>
      </w:r>
      <w:r w:rsidR="00432E2B">
        <w:rPr>
          <w:rFonts w:ascii="Cambria" w:hAnsi="Cambria"/>
          <w:color w:val="000000"/>
          <w:sz w:val="32"/>
          <w:szCs w:val="18"/>
          <w:lang w:val="hr-BA"/>
        </w:rPr>
        <w:t>s</w:t>
      </w:r>
      <w:r>
        <w:rPr>
          <w:rFonts w:ascii="Cambria" w:hAnsi="Cambria"/>
          <w:color w:val="000000"/>
          <w:sz w:val="32"/>
          <w:szCs w:val="18"/>
          <w:lang w:val="hr-BA"/>
        </w:rPr>
        <w:t xml:space="preserve">ijski izvještaji za godinu koja je završila </w:t>
      </w:r>
    </w:p>
    <w:p w:rsidR="00432E2B" w:rsidRDefault="006475F9" w:rsidP="006475F9">
      <w:pPr>
        <w:spacing w:after="0"/>
        <w:jc w:val="center"/>
        <w:rPr>
          <w:rFonts w:ascii="Cambria" w:hAnsi="Cambria"/>
          <w:color w:val="000000"/>
          <w:sz w:val="32"/>
          <w:szCs w:val="18"/>
          <w:lang w:val="hr-BA"/>
        </w:rPr>
      </w:pPr>
      <w:r>
        <w:rPr>
          <w:rFonts w:ascii="Cambria" w:hAnsi="Cambria"/>
          <w:color w:val="000000"/>
          <w:sz w:val="32"/>
          <w:szCs w:val="18"/>
          <w:lang w:val="hr-BA"/>
        </w:rPr>
        <w:t xml:space="preserve">31. </w:t>
      </w:r>
      <w:r w:rsidR="00432E2B">
        <w:rPr>
          <w:rFonts w:ascii="Cambria" w:hAnsi="Cambria"/>
          <w:color w:val="000000"/>
          <w:sz w:val="32"/>
          <w:szCs w:val="18"/>
          <w:lang w:val="hr-BA"/>
        </w:rPr>
        <w:t>decembra</w:t>
      </w:r>
      <w:r>
        <w:rPr>
          <w:rFonts w:ascii="Cambria" w:hAnsi="Cambria"/>
          <w:color w:val="000000"/>
          <w:sz w:val="32"/>
          <w:szCs w:val="18"/>
          <w:lang w:val="hr-BA"/>
        </w:rPr>
        <w:t xml:space="preserve"> 2014. godine i izvještaj </w:t>
      </w:r>
    </w:p>
    <w:p w:rsidR="006475F9" w:rsidRPr="0051184D" w:rsidRDefault="006475F9" w:rsidP="006475F9">
      <w:pPr>
        <w:spacing w:after="0"/>
        <w:jc w:val="center"/>
        <w:rPr>
          <w:rFonts w:ascii="Cambria" w:hAnsi="Cambria"/>
          <w:color w:val="000000"/>
          <w:sz w:val="32"/>
          <w:szCs w:val="18"/>
          <w:lang w:val="hr-BA"/>
        </w:rPr>
      </w:pPr>
      <w:r>
        <w:rPr>
          <w:rFonts w:ascii="Cambria" w:hAnsi="Cambria"/>
          <w:color w:val="000000"/>
          <w:sz w:val="32"/>
          <w:szCs w:val="18"/>
          <w:lang w:val="hr-BA"/>
        </w:rPr>
        <w:t>ne</w:t>
      </w:r>
      <w:r w:rsidR="00432E2B">
        <w:rPr>
          <w:rFonts w:ascii="Cambria" w:hAnsi="Cambria"/>
          <w:color w:val="000000"/>
          <w:sz w:val="32"/>
          <w:szCs w:val="18"/>
          <w:lang w:val="hr-BA"/>
        </w:rPr>
        <w:t>zav</w:t>
      </w:r>
      <w:r>
        <w:rPr>
          <w:rFonts w:ascii="Cambria" w:hAnsi="Cambria"/>
          <w:color w:val="000000"/>
          <w:sz w:val="32"/>
          <w:szCs w:val="18"/>
          <w:lang w:val="hr-BA"/>
        </w:rPr>
        <w:t>isnog revizora</w:t>
      </w:r>
    </w:p>
    <w:p w:rsidR="006475F9" w:rsidRPr="0051184D" w:rsidRDefault="006475F9" w:rsidP="006475F9">
      <w:pPr>
        <w:spacing w:after="0"/>
        <w:jc w:val="left"/>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jc w:val="center"/>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rPr>
          <w:sz w:val="18"/>
          <w:szCs w:val="18"/>
          <w:lang w:val="hr-BA"/>
        </w:rPr>
      </w:pPr>
    </w:p>
    <w:p w:rsidR="006475F9" w:rsidRDefault="006475F9" w:rsidP="006475F9">
      <w:pPr>
        <w:spacing w:after="0"/>
        <w:rPr>
          <w:sz w:val="18"/>
          <w:szCs w:val="18"/>
          <w:lang w:val="hr-BA"/>
        </w:rPr>
      </w:pPr>
    </w:p>
    <w:p w:rsidR="006475F9" w:rsidRDefault="006475F9" w:rsidP="006475F9">
      <w:pPr>
        <w:spacing w:after="0"/>
        <w:rPr>
          <w:sz w:val="18"/>
          <w:szCs w:val="18"/>
          <w:lang w:val="hr-BA"/>
        </w:rPr>
      </w:pPr>
    </w:p>
    <w:p w:rsidR="006475F9" w:rsidRDefault="006475F9" w:rsidP="006475F9">
      <w:pPr>
        <w:spacing w:after="0"/>
        <w:rPr>
          <w:sz w:val="18"/>
          <w:szCs w:val="18"/>
          <w:lang w:val="hr-BA"/>
        </w:rPr>
      </w:pPr>
    </w:p>
    <w:p w:rsidR="006475F9" w:rsidRDefault="006475F9" w:rsidP="006475F9">
      <w:pPr>
        <w:spacing w:after="0"/>
        <w:rPr>
          <w:sz w:val="18"/>
          <w:szCs w:val="18"/>
          <w:lang w:val="hr-BA"/>
        </w:rPr>
      </w:pPr>
    </w:p>
    <w:p w:rsidR="006475F9" w:rsidRDefault="006475F9" w:rsidP="006475F9">
      <w:pPr>
        <w:spacing w:after="0"/>
        <w:rPr>
          <w:sz w:val="18"/>
          <w:szCs w:val="18"/>
          <w:lang w:val="hr-BA"/>
        </w:rPr>
      </w:pPr>
    </w:p>
    <w:p w:rsidR="006475F9" w:rsidRDefault="006475F9" w:rsidP="006475F9">
      <w:pPr>
        <w:spacing w:after="0"/>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rPr>
          <w:sz w:val="18"/>
          <w:szCs w:val="18"/>
          <w:lang w:val="hr-BA"/>
        </w:rPr>
      </w:pPr>
    </w:p>
    <w:p w:rsidR="006475F9" w:rsidRPr="0051184D" w:rsidRDefault="006475F9" w:rsidP="006475F9">
      <w:pPr>
        <w:spacing w:after="0"/>
        <w:jc w:val="center"/>
        <w:rPr>
          <w:rFonts w:ascii="Cambria" w:hAnsi="Cambria"/>
          <w:sz w:val="18"/>
          <w:szCs w:val="18"/>
          <w:lang w:val="hr-BA"/>
        </w:rPr>
      </w:pPr>
      <w:r w:rsidRPr="0051184D">
        <w:rPr>
          <w:rFonts w:ascii="Cambria" w:hAnsi="Cambria"/>
          <w:sz w:val="18"/>
          <w:szCs w:val="18"/>
          <w:lang w:val="hr-BA"/>
        </w:rPr>
        <w:t>REVIDENT d.o.o. Trg Herceg Bosne 4, 88340 Grude, BiH</w:t>
      </w:r>
    </w:p>
    <w:p w:rsidR="006475F9" w:rsidRPr="0051184D" w:rsidRDefault="006475F9" w:rsidP="006475F9">
      <w:pPr>
        <w:spacing w:after="0"/>
        <w:jc w:val="center"/>
        <w:rPr>
          <w:rFonts w:ascii="Cambria" w:hAnsi="Cambria"/>
          <w:sz w:val="18"/>
          <w:szCs w:val="18"/>
          <w:lang w:val="hr-BA"/>
        </w:rPr>
      </w:pPr>
      <w:r w:rsidRPr="0051184D">
        <w:rPr>
          <w:rFonts w:ascii="Cambria" w:hAnsi="Cambria"/>
          <w:sz w:val="18"/>
          <w:szCs w:val="18"/>
          <w:lang w:val="hr-BA"/>
        </w:rPr>
        <w:t>Tel/Fax.: +387 39 662-485</w:t>
      </w:r>
      <w:r w:rsidR="00924717">
        <w:rPr>
          <w:rFonts w:ascii="Cambria" w:hAnsi="Cambria"/>
          <w:sz w:val="18"/>
          <w:szCs w:val="18"/>
          <w:lang w:val="hr-BA"/>
        </w:rPr>
        <w:t xml:space="preserve"> </w:t>
      </w:r>
      <w:r w:rsidRPr="0051184D">
        <w:rPr>
          <w:rFonts w:ascii="Cambria" w:hAnsi="Cambria"/>
          <w:sz w:val="18"/>
          <w:szCs w:val="18"/>
          <w:lang w:val="hr-BA"/>
        </w:rPr>
        <w:t>e-mail: bozo.vukoja@tel.net.ba</w:t>
      </w:r>
      <w:r w:rsidR="00924717">
        <w:rPr>
          <w:rFonts w:ascii="Cambria" w:hAnsi="Cambria"/>
          <w:sz w:val="18"/>
          <w:szCs w:val="18"/>
          <w:lang w:val="hr-BA"/>
        </w:rPr>
        <w:t xml:space="preserve"> </w:t>
      </w:r>
      <w:r w:rsidRPr="0051184D">
        <w:rPr>
          <w:rFonts w:ascii="Cambria" w:hAnsi="Cambria"/>
          <w:sz w:val="18"/>
          <w:szCs w:val="18"/>
          <w:lang w:val="hr-BA"/>
        </w:rPr>
        <w:t>www.revident.ba</w:t>
      </w:r>
    </w:p>
    <w:p w:rsidR="006475F9" w:rsidRDefault="006475F9" w:rsidP="006475F9">
      <w:pPr>
        <w:spacing w:after="0"/>
        <w:jc w:val="center"/>
        <w:rPr>
          <w:rFonts w:ascii="Cambria" w:hAnsi="Cambria"/>
          <w:sz w:val="18"/>
          <w:szCs w:val="18"/>
          <w:lang w:val="hr-BA"/>
        </w:rPr>
      </w:pPr>
      <w:r w:rsidRPr="0051184D">
        <w:rPr>
          <w:rFonts w:ascii="Cambria" w:hAnsi="Cambria"/>
          <w:sz w:val="18"/>
          <w:szCs w:val="18"/>
          <w:lang w:val="hr-BA"/>
        </w:rPr>
        <w:t>Grude</w:t>
      </w:r>
      <w:r w:rsidR="00461A44">
        <w:rPr>
          <w:rFonts w:ascii="Cambria" w:hAnsi="Cambria"/>
          <w:sz w:val="18"/>
          <w:szCs w:val="18"/>
          <w:lang w:val="hr-BA"/>
        </w:rPr>
        <w:t xml:space="preserve">, </w:t>
      </w:r>
      <w:r w:rsidR="00322374">
        <w:rPr>
          <w:rFonts w:ascii="Cambria" w:hAnsi="Cambria"/>
          <w:sz w:val="18"/>
          <w:szCs w:val="18"/>
          <w:lang w:val="hr-BA"/>
        </w:rPr>
        <w:t>april</w:t>
      </w:r>
      <w:r w:rsidRPr="0051184D">
        <w:rPr>
          <w:rFonts w:ascii="Cambria" w:hAnsi="Cambria"/>
          <w:sz w:val="18"/>
          <w:szCs w:val="18"/>
          <w:lang w:val="hr-BA"/>
        </w:rPr>
        <w:t xml:space="preserve"> 201</w:t>
      </w:r>
      <w:r>
        <w:rPr>
          <w:rFonts w:ascii="Cambria" w:hAnsi="Cambria"/>
          <w:sz w:val="18"/>
          <w:szCs w:val="18"/>
          <w:lang w:val="hr-BA"/>
        </w:rPr>
        <w:t>5</w:t>
      </w:r>
      <w:r w:rsidRPr="0051184D">
        <w:rPr>
          <w:rFonts w:ascii="Cambria" w:hAnsi="Cambria"/>
          <w:sz w:val="18"/>
          <w:szCs w:val="18"/>
          <w:lang w:val="hr-BA"/>
        </w:rPr>
        <w:t>. godine</w:t>
      </w:r>
    </w:p>
    <w:p w:rsidR="006475F9" w:rsidRPr="006475F9" w:rsidRDefault="006475F9" w:rsidP="006475F9">
      <w:pPr>
        <w:spacing w:after="0"/>
        <w:jc w:val="center"/>
        <w:rPr>
          <w:rFonts w:ascii="Cambria" w:hAnsi="Cambria"/>
          <w:sz w:val="18"/>
          <w:szCs w:val="18"/>
          <w:lang w:val="hr-BA"/>
        </w:rPr>
        <w:sectPr w:rsidR="006475F9" w:rsidRPr="006475F9" w:rsidSect="006475F9">
          <w:footerReference w:type="default" r:id="rId9"/>
          <w:pgSz w:w="11906" w:h="16838"/>
          <w:pgMar w:top="1417" w:right="1417" w:bottom="1417" w:left="1417" w:header="708" w:footer="708" w:gutter="0"/>
          <w:cols w:space="708"/>
          <w:titlePg/>
          <w:docGrid w:linePitch="360"/>
        </w:sectPr>
      </w:pPr>
    </w:p>
    <w:p w:rsidR="006475F9" w:rsidRDefault="006475F9" w:rsidP="006475F9">
      <w:pPr>
        <w:pStyle w:val="TOCHeading"/>
        <w:rPr>
          <w:lang w:val="hr-BA"/>
        </w:rPr>
      </w:pPr>
    </w:p>
    <w:p w:rsidR="006475F9" w:rsidRPr="003D1BD9" w:rsidRDefault="006475F9" w:rsidP="006475F9">
      <w:pPr>
        <w:pStyle w:val="TOCHeading"/>
        <w:rPr>
          <w:rFonts w:ascii="Arial" w:hAnsi="Arial" w:cs="Arial"/>
          <w:lang w:val="hr-BA"/>
        </w:rPr>
      </w:pPr>
      <w:r w:rsidRPr="003D1BD9">
        <w:rPr>
          <w:rFonts w:ascii="Arial" w:hAnsi="Arial" w:cs="Arial"/>
          <w:lang w:val="hr-BA"/>
        </w:rPr>
        <w:t>Sadržaj</w:t>
      </w:r>
    </w:p>
    <w:p w:rsidR="006475F9" w:rsidRDefault="006475F9" w:rsidP="006475F9">
      <w:pPr>
        <w:rPr>
          <w:lang w:val="hr-BA"/>
        </w:rPr>
      </w:pPr>
    </w:p>
    <w:p w:rsidR="006475F9" w:rsidRPr="0051184D" w:rsidRDefault="006475F9" w:rsidP="006475F9">
      <w:pPr>
        <w:rPr>
          <w:lang w:val="hr-BA"/>
        </w:rPr>
      </w:pPr>
    </w:p>
    <w:p w:rsidR="006475F9" w:rsidRPr="0051184D" w:rsidRDefault="006475F9" w:rsidP="006475F9">
      <w:pPr>
        <w:rPr>
          <w:sz w:val="18"/>
          <w:szCs w:val="18"/>
          <w:lang w:val="hr-BA"/>
        </w:rPr>
      </w:pPr>
      <w:r w:rsidRPr="006665D0">
        <w:rPr>
          <w:sz w:val="18"/>
          <w:szCs w:val="18"/>
          <w:lang w:val="hr-BA"/>
        </w:rPr>
        <w:t>Odgovornost za finan</w:t>
      </w:r>
      <w:r w:rsidR="00590BC9">
        <w:rPr>
          <w:sz w:val="18"/>
          <w:szCs w:val="18"/>
          <w:lang w:val="hr-BA"/>
        </w:rPr>
        <w:t>s</w:t>
      </w:r>
      <w:r w:rsidRPr="006665D0">
        <w:rPr>
          <w:sz w:val="18"/>
          <w:szCs w:val="18"/>
          <w:lang w:val="hr-BA"/>
        </w:rPr>
        <w:t>ijske izvještaje</w:t>
      </w:r>
      <w:r>
        <w:rPr>
          <w:sz w:val="18"/>
          <w:szCs w:val="18"/>
          <w:lang w:val="hr-BA"/>
        </w:rPr>
        <w:tab/>
      </w:r>
      <w:r>
        <w:rPr>
          <w:sz w:val="18"/>
          <w:szCs w:val="18"/>
          <w:lang w:val="hr-BA"/>
        </w:rPr>
        <w:tab/>
      </w:r>
      <w:r>
        <w:rPr>
          <w:sz w:val="18"/>
          <w:szCs w:val="18"/>
          <w:lang w:val="hr-BA"/>
        </w:rPr>
        <w:tab/>
      </w:r>
      <w:r>
        <w:rPr>
          <w:sz w:val="18"/>
          <w:szCs w:val="18"/>
          <w:lang w:val="hr-BA"/>
        </w:rPr>
        <w:tab/>
      </w:r>
      <w:r>
        <w:rPr>
          <w:sz w:val="18"/>
          <w:szCs w:val="18"/>
          <w:lang w:val="hr-BA"/>
        </w:rPr>
        <w:tab/>
      </w:r>
      <w:r>
        <w:rPr>
          <w:sz w:val="18"/>
          <w:szCs w:val="18"/>
          <w:lang w:val="hr-BA"/>
        </w:rPr>
        <w:tab/>
      </w:r>
      <w:r>
        <w:rPr>
          <w:sz w:val="18"/>
          <w:szCs w:val="18"/>
          <w:lang w:val="hr-BA"/>
        </w:rPr>
        <w:tab/>
      </w:r>
      <w:r>
        <w:rPr>
          <w:sz w:val="18"/>
          <w:szCs w:val="18"/>
          <w:lang w:val="hr-BA"/>
        </w:rPr>
        <w:tab/>
      </w:r>
      <w:r w:rsidR="0067680C">
        <w:rPr>
          <w:sz w:val="18"/>
          <w:szCs w:val="18"/>
          <w:lang w:val="hr-BA"/>
        </w:rPr>
        <w:t xml:space="preserve">  </w:t>
      </w:r>
      <w:r w:rsidR="00EA428E">
        <w:rPr>
          <w:sz w:val="18"/>
          <w:szCs w:val="18"/>
          <w:lang w:val="hr-BA"/>
        </w:rPr>
        <w:t xml:space="preserve"> </w:t>
      </w:r>
      <w:r w:rsidR="0067680C">
        <w:rPr>
          <w:sz w:val="18"/>
          <w:szCs w:val="18"/>
          <w:lang w:val="hr-BA"/>
        </w:rPr>
        <w:t xml:space="preserve">  </w:t>
      </w:r>
      <w:r w:rsidR="00924717">
        <w:rPr>
          <w:sz w:val="18"/>
          <w:szCs w:val="18"/>
          <w:lang w:val="hr-BA"/>
        </w:rPr>
        <w:t xml:space="preserve"> </w:t>
      </w:r>
      <w:r>
        <w:rPr>
          <w:sz w:val="18"/>
          <w:szCs w:val="18"/>
          <w:lang w:val="hr-BA"/>
        </w:rPr>
        <w:t>3</w:t>
      </w:r>
    </w:p>
    <w:p w:rsidR="006475F9" w:rsidRDefault="006475F9" w:rsidP="006475F9">
      <w:pPr>
        <w:rPr>
          <w:sz w:val="18"/>
          <w:szCs w:val="18"/>
          <w:lang w:val="hr-BA"/>
        </w:rPr>
      </w:pPr>
    </w:p>
    <w:p w:rsidR="006475F9" w:rsidRDefault="006475F9" w:rsidP="006475F9">
      <w:pPr>
        <w:rPr>
          <w:sz w:val="18"/>
          <w:szCs w:val="18"/>
          <w:lang w:val="hr-BA"/>
        </w:rPr>
      </w:pPr>
      <w:r w:rsidRPr="006665D0">
        <w:rPr>
          <w:sz w:val="18"/>
          <w:szCs w:val="18"/>
          <w:lang w:val="hr-BA"/>
        </w:rPr>
        <w:t>Izvještaj ne</w:t>
      </w:r>
      <w:r w:rsidR="00590BC9">
        <w:rPr>
          <w:sz w:val="18"/>
          <w:szCs w:val="18"/>
          <w:lang w:val="hr-BA"/>
        </w:rPr>
        <w:t>za</w:t>
      </w:r>
      <w:r w:rsidRPr="006665D0">
        <w:rPr>
          <w:sz w:val="18"/>
          <w:szCs w:val="18"/>
          <w:lang w:val="hr-BA"/>
        </w:rPr>
        <w:t>visnog revizora</w:t>
      </w:r>
      <w:r>
        <w:rPr>
          <w:sz w:val="18"/>
          <w:szCs w:val="18"/>
          <w:lang w:val="hr-BA"/>
        </w:rPr>
        <w:tab/>
      </w:r>
      <w:r>
        <w:rPr>
          <w:sz w:val="18"/>
          <w:szCs w:val="18"/>
          <w:lang w:val="hr-BA"/>
        </w:rPr>
        <w:tab/>
      </w:r>
      <w:r>
        <w:rPr>
          <w:sz w:val="18"/>
          <w:szCs w:val="18"/>
          <w:lang w:val="hr-BA"/>
        </w:rPr>
        <w:tab/>
      </w:r>
      <w:r>
        <w:rPr>
          <w:sz w:val="18"/>
          <w:szCs w:val="18"/>
          <w:lang w:val="hr-BA"/>
        </w:rPr>
        <w:tab/>
      </w:r>
      <w:r>
        <w:rPr>
          <w:sz w:val="18"/>
          <w:szCs w:val="18"/>
          <w:lang w:val="hr-BA"/>
        </w:rPr>
        <w:tab/>
      </w:r>
      <w:r>
        <w:rPr>
          <w:sz w:val="18"/>
          <w:szCs w:val="18"/>
          <w:lang w:val="hr-BA"/>
        </w:rPr>
        <w:tab/>
      </w:r>
      <w:r>
        <w:rPr>
          <w:sz w:val="18"/>
          <w:szCs w:val="18"/>
          <w:lang w:val="hr-BA"/>
        </w:rPr>
        <w:tab/>
      </w:r>
      <w:r>
        <w:rPr>
          <w:sz w:val="18"/>
          <w:szCs w:val="18"/>
          <w:lang w:val="hr-BA"/>
        </w:rPr>
        <w:tab/>
      </w:r>
      <w:r>
        <w:rPr>
          <w:sz w:val="18"/>
          <w:szCs w:val="18"/>
          <w:lang w:val="hr-BA"/>
        </w:rPr>
        <w:tab/>
      </w:r>
      <w:r w:rsidR="0067680C">
        <w:rPr>
          <w:sz w:val="18"/>
          <w:szCs w:val="18"/>
          <w:lang w:val="hr-BA"/>
        </w:rPr>
        <w:t xml:space="preserve">   </w:t>
      </w:r>
      <w:r w:rsidR="00EA428E">
        <w:rPr>
          <w:sz w:val="18"/>
          <w:szCs w:val="18"/>
          <w:lang w:val="hr-BA"/>
        </w:rPr>
        <w:t xml:space="preserve"> </w:t>
      </w:r>
      <w:r w:rsidR="0067680C">
        <w:rPr>
          <w:sz w:val="18"/>
          <w:szCs w:val="18"/>
          <w:lang w:val="hr-BA"/>
        </w:rPr>
        <w:t xml:space="preserve"> </w:t>
      </w:r>
      <w:r w:rsidR="00924717">
        <w:rPr>
          <w:sz w:val="18"/>
          <w:szCs w:val="18"/>
          <w:lang w:val="hr-BA"/>
        </w:rPr>
        <w:t xml:space="preserve"> </w:t>
      </w:r>
      <w:r>
        <w:rPr>
          <w:sz w:val="18"/>
          <w:szCs w:val="18"/>
          <w:lang w:val="hr-BA"/>
        </w:rPr>
        <w:t>5</w:t>
      </w:r>
    </w:p>
    <w:p w:rsidR="006475F9" w:rsidRDefault="006475F9" w:rsidP="006475F9">
      <w:pPr>
        <w:rPr>
          <w:sz w:val="18"/>
          <w:szCs w:val="18"/>
          <w:lang w:val="hr-BA"/>
        </w:rPr>
      </w:pPr>
    </w:p>
    <w:p w:rsidR="006475F9" w:rsidRDefault="006475F9" w:rsidP="006475F9">
      <w:pPr>
        <w:rPr>
          <w:bCs/>
        </w:rPr>
      </w:pPr>
      <w:r w:rsidRPr="006E26B6">
        <w:rPr>
          <w:bCs/>
        </w:rPr>
        <w:t>Izvještaj o bilan</w:t>
      </w:r>
      <w:r w:rsidR="00590BC9">
        <w:rPr>
          <w:bCs/>
        </w:rPr>
        <w:t>su</w:t>
      </w:r>
      <w:r w:rsidRPr="006E26B6">
        <w:rPr>
          <w:bCs/>
        </w:rPr>
        <w:t xml:space="preserve"> uspjeha</w:t>
      </w:r>
      <w:r>
        <w:rPr>
          <w:bCs/>
        </w:rPr>
        <w:tab/>
      </w:r>
      <w:r>
        <w:rPr>
          <w:bCs/>
        </w:rPr>
        <w:tab/>
      </w:r>
      <w:r>
        <w:rPr>
          <w:bCs/>
        </w:rPr>
        <w:tab/>
      </w:r>
      <w:r>
        <w:rPr>
          <w:bCs/>
        </w:rPr>
        <w:tab/>
      </w:r>
      <w:r>
        <w:rPr>
          <w:bCs/>
        </w:rPr>
        <w:tab/>
      </w:r>
      <w:r>
        <w:rPr>
          <w:bCs/>
        </w:rPr>
        <w:tab/>
      </w:r>
      <w:r>
        <w:rPr>
          <w:bCs/>
        </w:rPr>
        <w:tab/>
      </w:r>
      <w:r>
        <w:rPr>
          <w:bCs/>
        </w:rPr>
        <w:tab/>
      </w:r>
      <w:r>
        <w:rPr>
          <w:bCs/>
        </w:rPr>
        <w:tab/>
      </w:r>
      <w:r w:rsidR="00EA428E">
        <w:rPr>
          <w:bCs/>
        </w:rPr>
        <w:t xml:space="preserve"> </w:t>
      </w:r>
      <w:r w:rsidR="0067680C">
        <w:rPr>
          <w:bCs/>
        </w:rPr>
        <w:t xml:space="preserve">   </w:t>
      </w:r>
      <w:r w:rsidR="00924717">
        <w:rPr>
          <w:bCs/>
        </w:rPr>
        <w:t xml:space="preserve"> </w:t>
      </w:r>
      <w:r>
        <w:rPr>
          <w:bCs/>
        </w:rPr>
        <w:t>7</w:t>
      </w:r>
    </w:p>
    <w:p w:rsidR="006475F9" w:rsidRDefault="006475F9" w:rsidP="006475F9">
      <w:pPr>
        <w:rPr>
          <w:bCs/>
        </w:rPr>
      </w:pPr>
    </w:p>
    <w:p w:rsidR="006475F9" w:rsidRDefault="006475F9" w:rsidP="006475F9">
      <w:pPr>
        <w:rPr>
          <w:bCs/>
        </w:rPr>
      </w:pPr>
      <w:r w:rsidRPr="006E26B6">
        <w:rPr>
          <w:bCs/>
        </w:rPr>
        <w:t xml:space="preserve">Izvještaj o </w:t>
      </w:r>
      <w:r>
        <w:rPr>
          <w:bCs/>
        </w:rPr>
        <w:t>finan</w:t>
      </w:r>
      <w:r w:rsidR="00590BC9">
        <w:rPr>
          <w:bCs/>
        </w:rPr>
        <w:t>s</w:t>
      </w:r>
      <w:r>
        <w:rPr>
          <w:bCs/>
        </w:rPr>
        <w:t>ijskom položaju</w:t>
      </w:r>
      <w:r>
        <w:rPr>
          <w:bCs/>
        </w:rPr>
        <w:tab/>
      </w:r>
      <w:r>
        <w:rPr>
          <w:bCs/>
        </w:rPr>
        <w:tab/>
      </w:r>
      <w:r>
        <w:rPr>
          <w:bCs/>
        </w:rPr>
        <w:tab/>
      </w:r>
      <w:r>
        <w:rPr>
          <w:bCs/>
        </w:rPr>
        <w:tab/>
      </w:r>
      <w:r>
        <w:rPr>
          <w:bCs/>
        </w:rPr>
        <w:tab/>
      </w:r>
      <w:r>
        <w:rPr>
          <w:bCs/>
        </w:rPr>
        <w:tab/>
      </w:r>
      <w:r>
        <w:rPr>
          <w:bCs/>
        </w:rPr>
        <w:tab/>
      </w:r>
      <w:r>
        <w:rPr>
          <w:bCs/>
        </w:rPr>
        <w:tab/>
      </w:r>
      <w:r w:rsidR="0067680C">
        <w:rPr>
          <w:bCs/>
        </w:rPr>
        <w:t xml:space="preserve">    </w:t>
      </w:r>
      <w:r w:rsidR="00924717">
        <w:rPr>
          <w:bCs/>
        </w:rPr>
        <w:t xml:space="preserve"> </w:t>
      </w:r>
      <w:r>
        <w:rPr>
          <w:bCs/>
        </w:rPr>
        <w:t>8</w:t>
      </w:r>
    </w:p>
    <w:p w:rsidR="006475F9" w:rsidRDefault="006475F9" w:rsidP="006475F9">
      <w:pPr>
        <w:rPr>
          <w:bCs/>
        </w:rPr>
      </w:pPr>
    </w:p>
    <w:p w:rsidR="006475F9" w:rsidRDefault="006475F9" w:rsidP="006475F9">
      <w:pPr>
        <w:rPr>
          <w:bCs/>
        </w:rPr>
      </w:pPr>
      <w:r w:rsidRPr="006E26B6">
        <w:rPr>
          <w:bCs/>
        </w:rPr>
        <w:t xml:space="preserve">Izvještaj o </w:t>
      </w:r>
      <w:r w:rsidR="00590BC9">
        <w:rPr>
          <w:bCs/>
        </w:rPr>
        <w:t>novčanim tokovima</w:t>
      </w:r>
      <w:r>
        <w:rPr>
          <w:bCs/>
        </w:rPr>
        <w:tab/>
      </w:r>
      <w:r>
        <w:rPr>
          <w:bCs/>
        </w:rPr>
        <w:tab/>
      </w:r>
      <w:r>
        <w:rPr>
          <w:bCs/>
        </w:rPr>
        <w:tab/>
      </w:r>
      <w:r>
        <w:rPr>
          <w:bCs/>
        </w:rPr>
        <w:tab/>
      </w:r>
      <w:r>
        <w:rPr>
          <w:bCs/>
        </w:rPr>
        <w:tab/>
      </w:r>
      <w:r>
        <w:rPr>
          <w:bCs/>
        </w:rPr>
        <w:tab/>
      </w:r>
      <w:r>
        <w:rPr>
          <w:bCs/>
        </w:rPr>
        <w:tab/>
      </w:r>
      <w:r>
        <w:rPr>
          <w:bCs/>
        </w:rPr>
        <w:tab/>
      </w:r>
      <w:r>
        <w:rPr>
          <w:bCs/>
        </w:rPr>
        <w:tab/>
      </w:r>
      <w:r w:rsidR="0067680C">
        <w:rPr>
          <w:bCs/>
        </w:rPr>
        <w:t xml:space="preserve">   </w:t>
      </w:r>
      <w:r w:rsidR="00924717">
        <w:rPr>
          <w:bCs/>
        </w:rPr>
        <w:t xml:space="preserve"> </w:t>
      </w:r>
      <w:r>
        <w:rPr>
          <w:bCs/>
        </w:rPr>
        <w:t>10</w:t>
      </w:r>
    </w:p>
    <w:p w:rsidR="006475F9" w:rsidRDefault="006475F9" w:rsidP="006475F9">
      <w:pPr>
        <w:rPr>
          <w:bCs/>
        </w:rPr>
      </w:pPr>
    </w:p>
    <w:p w:rsidR="006475F9" w:rsidRPr="009A44BE" w:rsidRDefault="00322374" w:rsidP="006475F9">
      <w:pPr>
        <w:rPr>
          <w:sz w:val="18"/>
          <w:szCs w:val="18"/>
          <w:lang w:val="hr-BA"/>
        </w:rPr>
      </w:pPr>
      <w:r>
        <w:rPr>
          <w:bCs/>
        </w:rPr>
        <w:t>Izvještaj o promjenama u kapitalu</w:t>
      </w:r>
      <w:r>
        <w:rPr>
          <w:bCs/>
        </w:rPr>
        <w:tab/>
      </w:r>
      <w:r>
        <w:rPr>
          <w:bCs/>
        </w:rPr>
        <w:tab/>
      </w:r>
      <w:r>
        <w:rPr>
          <w:bCs/>
        </w:rPr>
        <w:tab/>
      </w:r>
      <w:r>
        <w:rPr>
          <w:bCs/>
        </w:rPr>
        <w:tab/>
      </w:r>
      <w:r>
        <w:rPr>
          <w:bCs/>
        </w:rPr>
        <w:tab/>
      </w:r>
      <w:r>
        <w:rPr>
          <w:bCs/>
        </w:rPr>
        <w:tab/>
      </w:r>
      <w:r>
        <w:rPr>
          <w:bCs/>
        </w:rPr>
        <w:tab/>
      </w:r>
      <w:r>
        <w:rPr>
          <w:bCs/>
        </w:rPr>
        <w:tab/>
      </w:r>
      <w:r w:rsidR="0067680C">
        <w:rPr>
          <w:bCs/>
        </w:rPr>
        <w:t xml:space="preserve">   </w:t>
      </w:r>
      <w:r w:rsidR="00924717">
        <w:rPr>
          <w:bCs/>
        </w:rPr>
        <w:t xml:space="preserve"> </w:t>
      </w:r>
      <w:r>
        <w:rPr>
          <w:bCs/>
        </w:rPr>
        <w:t>11</w:t>
      </w:r>
    </w:p>
    <w:p w:rsidR="00322374" w:rsidRDefault="00322374" w:rsidP="00322374">
      <w:pPr>
        <w:rPr>
          <w:bCs/>
        </w:rPr>
      </w:pPr>
    </w:p>
    <w:p w:rsidR="00322374" w:rsidRPr="009A44BE" w:rsidRDefault="00322374" w:rsidP="00322374">
      <w:pPr>
        <w:rPr>
          <w:sz w:val="18"/>
          <w:szCs w:val="18"/>
          <w:lang w:val="hr-BA"/>
        </w:rPr>
      </w:pPr>
      <w:r>
        <w:rPr>
          <w:bCs/>
        </w:rPr>
        <w:t>Note uz finansijske izvještaje</w:t>
      </w:r>
      <w:r>
        <w:rPr>
          <w:bCs/>
        </w:rPr>
        <w:tab/>
      </w:r>
      <w:r>
        <w:rPr>
          <w:bCs/>
        </w:rPr>
        <w:tab/>
      </w:r>
      <w:r>
        <w:rPr>
          <w:bCs/>
        </w:rPr>
        <w:tab/>
      </w:r>
      <w:r>
        <w:rPr>
          <w:bCs/>
        </w:rPr>
        <w:tab/>
      </w:r>
      <w:r>
        <w:rPr>
          <w:bCs/>
        </w:rPr>
        <w:tab/>
      </w:r>
      <w:r>
        <w:rPr>
          <w:bCs/>
        </w:rPr>
        <w:tab/>
      </w:r>
      <w:r>
        <w:rPr>
          <w:bCs/>
        </w:rPr>
        <w:tab/>
      </w:r>
      <w:r>
        <w:rPr>
          <w:bCs/>
        </w:rPr>
        <w:tab/>
      </w:r>
      <w:r>
        <w:rPr>
          <w:bCs/>
        </w:rPr>
        <w:tab/>
        <w:t xml:space="preserve"> 12-3</w:t>
      </w:r>
      <w:r w:rsidR="003272BB">
        <w:rPr>
          <w:bCs/>
        </w:rPr>
        <w:t>4</w:t>
      </w:r>
    </w:p>
    <w:p w:rsidR="006475F9" w:rsidRPr="0051184D" w:rsidRDefault="006475F9" w:rsidP="006475F9">
      <w:pPr>
        <w:rPr>
          <w:sz w:val="18"/>
          <w:szCs w:val="18"/>
          <w:lang w:val="hr-BA"/>
        </w:rPr>
      </w:pPr>
    </w:p>
    <w:p w:rsidR="006475F9" w:rsidRDefault="006475F9"/>
    <w:p w:rsidR="006475F9" w:rsidRDefault="006475F9"/>
    <w:p w:rsidR="006475F9" w:rsidRDefault="006475F9"/>
    <w:p w:rsidR="006475F9" w:rsidRDefault="006475F9">
      <w:r>
        <w:br w:type="page"/>
      </w:r>
    </w:p>
    <w:p w:rsidR="006475F9" w:rsidRDefault="006475F9" w:rsidP="006475F9">
      <w:pPr>
        <w:pStyle w:val="TOCHeading"/>
        <w:rPr>
          <w:lang w:val="hr-BA"/>
        </w:rPr>
      </w:pPr>
    </w:p>
    <w:p w:rsidR="006475F9" w:rsidRPr="003D1BD9" w:rsidRDefault="00307B74" w:rsidP="006475F9">
      <w:pPr>
        <w:pStyle w:val="TOCHeading"/>
        <w:rPr>
          <w:rFonts w:ascii="Arial" w:hAnsi="Arial" w:cs="Arial"/>
          <w:b/>
          <w:lang w:val="hr-BA"/>
        </w:rPr>
      </w:pPr>
      <w:r>
        <w:rPr>
          <w:rFonts w:ascii="Arial" w:hAnsi="Arial" w:cs="Arial"/>
          <w:b/>
          <w:lang w:val="hr-BA"/>
        </w:rPr>
        <w:t>Odgovornost za finans</w:t>
      </w:r>
      <w:r w:rsidR="006475F9" w:rsidRPr="003D1BD9">
        <w:rPr>
          <w:rFonts w:ascii="Arial" w:hAnsi="Arial" w:cs="Arial"/>
          <w:b/>
          <w:lang w:val="hr-BA"/>
        </w:rPr>
        <w:t>ijske izvještaje</w:t>
      </w:r>
    </w:p>
    <w:p w:rsidR="006475F9" w:rsidRPr="003D1BD9" w:rsidRDefault="006475F9" w:rsidP="006475F9">
      <w:pPr>
        <w:rPr>
          <w:b/>
          <w:sz w:val="19"/>
          <w:szCs w:val="19"/>
          <w:lang w:val="hr-BA"/>
        </w:rPr>
      </w:pPr>
    </w:p>
    <w:p w:rsidR="006475F9" w:rsidRDefault="006475F9" w:rsidP="006475F9">
      <w:pPr>
        <w:spacing w:after="0" w:line="240" w:lineRule="auto"/>
        <w:rPr>
          <w:sz w:val="19"/>
          <w:szCs w:val="19"/>
          <w:lang w:val="hr-BA"/>
        </w:rPr>
      </w:pPr>
    </w:p>
    <w:p w:rsidR="00461A44" w:rsidRPr="006475F9" w:rsidRDefault="00461A44" w:rsidP="006475F9">
      <w:pPr>
        <w:spacing w:after="0" w:line="240" w:lineRule="auto"/>
        <w:rPr>
          <w:sz w:val="19"/>
          <w:szCs w:val="19"/>
          <w:lang w:val="hr-BA"/>
        </w:rPr>
      </w:pPr>
    </w:p>
    <w:p w:rsidR="00461A44" w:rsidRPr="00461A44" w:rsidRDefault="00461A44" w:rsidP="00461A44">
      <w:pPr>
        <w:spacing w:after="0"/>
        <w:rPr>
          <w:sz w:val="19"/>
          <w:szCs w:val="19"/>
          <w:lang w:val="sr-Latn-BA"/>
        </w:rPr>
      </w:pPr>
      <w:r w:rsidRPr="00461A44">
        <w:rPr>
          <w:sz w:val="19"/>
          <w:szCs w:val="19"/>
          <w:lang w:val="sr-Latn-BA"/>
        </w:rPr>
        <w:t>Poslovodstvo</w:t>
      </w:r>
      <w:r w:rsidR="00924717">
        <w:rPr>
          <w:sz w:val="19"/>
          <w:szCs w:val="19"/>
          <w:lang w:val="sr-Latn-BA"/>
        </w:rPr>
        <w:t xml:space="preserve"> </w:t>
      </w:r>
      <w:r w:rsidR="004E4FDF">
        <w:rPr>
          <w:sz w:val="19"/>
          <w:szCs w:val="19"/>
          <w:lang w:val="sr-Latn-BA"/>
        </w:rPr>
        <w:t>Društva</w:t>
      </w:r>
      <w:r w:rsidRPr="00461A44">
        <w:rPr>
          <w:sz w:val="19"/>
          <w:szCs w:val="19"/>
          <w:lang w:val="sr-Latn-BA"/>
        </w:rPr>
        <w:t xml:space="preserve"> dužno je obezbjediti da finansijski izvještaji za svaki obračunski period budu izrađeni u skladu sa Međunarodnim standardima finansijskog izvještavanja (MSFI/IFRS), a koje je izdao Odbor za Međunarodne računovodstvene standarde, tako da daju istinitu i objektivnu sliku finansijskog stanja i rezultata poslovanja za taj period.</w:t>
      </w:r>
    </w:p>
    <w:p w:rsidR="00461A44" w:rsidRDefault="00461A44" w:rsidP="00461A44">
      <w:pPr>
        <w:spacing w:after="0"/>
        <w:rPr>
          <w:sz w:val="19"/>
          <w:szCs w:val="19"/>
          <w:lang w:val="sr-Latn-BA"/>
        </w:rPr>
      </w:pPr>
    </w:p>
    <w:p w:rsidR="00461A44" w:rsidRDefault="00461A44" w:rsidP="00461A44">
      <w:pPr>
        <w:spacing w:after="0"/>
        <w:rPr>
          <w:sz w:val="19"/>
          <w:szCs w:val="19"/>
          <w:lang w:val="sr-Latn-BA"/>
        </w:rPr>
      </w:pPr>
    </w:p>
    <w:p w:rsidR="00461A44" w:rsidRPr="00461A44" w:rsidRDefault="00461A44" w:rsidP="00461A44">
      <w:pPr>
        <w:spacing w:after="0"/>
        <w:rPr>
          <w:sz w:val="19"/>
          <w:szCs w:val="19"/>
          <w:lang w:val="sr-Latn-BA"/>
        </w:rPr>
      </w:pPr>
    </w:p>
    <w:p w:rsidR="00461A44" w:rsidRPr="00461A44" w:rsidRDefault="00461A44" w:rsidP="00461A44">
      <w:pPr>
        <w:spacing w:after="0"/>
        <w:rPr>
          <w:sz w:val="19"/>
          <w:szCs w:val="19"/>
          <w:lang w:val="sr-Latn-BA"/>
        </w:rPr>
      </w:pPr>
      <w:r w:rsidRPr="00461A44">
        <w:rPr>
          <w:sz w:val="19"/>
          <w:szCs w:val="19"/>
          <w:lang w:val="sr-Latn-BA"/>
        </w:rPr>
        <w:t xml:space="preserve">Poslovodstvo je upoznato da je ono odgovorno za istinito i objektivno prikazivanje finansijskog položaja i rezultata poslovanja </w:t>
      </w:r>
      <w:r w:rsidR="004E4FDF">
        <w:rPr>
          <w:sz w:val="19"/>
          <w:szCs w:val="19"/>
          <w:lang w:val="sr-Latn-BA"/>
        </w:rPr>
        <w:t>Društva</w:t>
      </w:r>
      <w:r w:rsidRPr="00461A44">
        <w:rPr>
          <w:sz w:val="19"/>
          <w:szCs w:val="19"/>
          <w:lang w:val="sr-Latn-BA"/>
        </w:rPr>
        <w:t xml:space="preserve"> u finansijskim izvještajima u skladu sa računovodstvenim propisima važećim u Republici Srpskoj, kao i za implementaciju i funkcioniranje računovodstvenog sistema i sistema internih kontrola, koji si dizajnirani na taj način da spriječe, odnosno detektiraju nastanak grešaka i pronevjera.</w:t>
      </w:r>
    </w:p>
    <w:p w:rsidR="00461A44" w:rsidRDefault="00461A44" w:rsidP="00461A44">
      <w:pPr>
        <w:spacing w:after="0"/>
        <w:rPr>
          <w:sz w:val="19"/>
          <w:szCs w:val="19"/>
          <w:lang w:val="sr-Latn-BA"/>
        </w:rPr>
      </w:pPr>
    </w:p>
    <w:p w:rsidR="00461A44" w:rsidRDefault="00461A44" w:rsidP="00461A44">
      <w:pPr>
        <w:spacing w:after="0"/>
        <w:rPr>
          <w:sz w:val="19"/>
          <w:szCs w:val="19"/>
          <w:lang w:val="sr-Latn-BA"/>
        </w:rPr>
      </w:pPr>
    </w:p>
    <w:p w:rsidR="00461A44" w:rsidRPr="00461A44" w:rsidRDefault="00461A44" w:rsidP="00461A44">
      <w:pPr>
        <w:spacing w:after="0"/>
        <w:rPr>
          <w:sz w:val="19"/>
          <w:szCs w:val="19"/>
          <w:lang w:val="sr-Latn-BA"/>
        </w:rPr>
      </w:pPr>
    </w:p>
    <w:p w:rsidR="00461A44" w:rsidRPr="00461A44" w:rsidRDefault="00461A44" w:rsidP="00461A44">
      <w:pPr>
        <w:spacing w:after="0"/>
        <w:rPr>
          <w:sz w:val="19"/>
          <w:szCs w:val="19"/>
          <w:lang w:val="sr-Latn-BA"/>
        </w:rPr>
      </w:pPr>
      <w:r w:rsidRPr="00461A44">
        <w:rPr>
          <w:sz w:val="19"/>
          <w:szCs w:val="19"/>
          <w:lang w:val="sr-Latn-BA"/>
        </w:rPr>
        <w:t>Prihvaćanjem i primjenom Međunarodnih standarda finansijskog izvještavanja i Međunarodnih računovodstvenih standarda (MSR/IAS) je potvrđeno da:</w:t>
      </w:r>
    </w:p>
    <w:p w:rsidR="00461A44" w:rsidRPr="00461A44" w:rsidRDefault="00461A44" w:rsidP="00461A44">
      <w:pPr>
        <w:spacing w:after="0"/>
        <w:rPr>
          <w:sz w:val="19"/>
          <w:szCs w:val="19"/>
          <w:lang w:val="sr-Latn-BA"/>
        </w:rPr>
      </w:pPr>
    </w:p>
    <w:p w:rsidR="00461A44" w:rsidRPr="00461A44" w:rsidRDefault="00461A44" w:rsidP="002F4D0C">
      <w:pPr>
        <w:numPr>
          <w:ilvl w:val="0"/>
          <w:numId w:val="3"/>
        </w:numPr>
        <w:spacing w:after="0"/>
        <w:rPr>
          <w:sz w:val="19"/>
          <w:szCs w:val="19"/>
          <w:lang w:val="sr-Latn-BA"/>
        </w:rPr>
      </w:pPr>
      <w:r w:rsidRPr="00461A44">
        <w:rPr>
          <w:sz w:val="19"/>
          <w:szCs w:val="19"/>
          <w:lang w:val="sr-Latn-BA"/>
        </w:rPr>
        <w:t xml:space="preserve">finansijski izvještaji </w:t>
      </w:r>
      <w:r w:rsidR="004E4FDF">
        <w:rPr>
          <w:sz w:val="19"/>
          <w:szCs w:val="19"/>
          <w:lang w:val="sr-Latn-BA"/>
        </w:rPr>
        <w:t>Društva</w:t>
      </w:r>
      <w:r w:rsidRPr="00461A44">
        <w:rPr>
          <w:sz w:val="19"/>
          <w:szCs w:val="19"/>
          <w:lang w:val="sr-Latn-BA"/>
        </w:rPr>
        <w:t xml:space="preserve"> su prikazani u skladu sa Međunarodnim računovodstvenim standardima (MRS), Međunarodnim standardima finansijskog izvještavanja (MSFI) i drugim važećim</w:t>
      </w:r>
      <w:r w:rsidR="00924717">
        <w:rPr>
          <w:sz w:val="19"/>
          <w:szCs w:val="19"/>
          <w:lang w:val="sr-Latn-BA"/>
        </w:rPr>
        <w:t xml:space="preserve"> </w:t>
      </w:r>
      <w:r w:rsidRPr="00461A44">
        <w:rPr>
          <w:sz w:val="19"/>
          <w:szCs w:val="19"/>
          <w:lang w:val="sr-Latn-BA"/>
        </w:rPr>
        <w:t xml:space="preserve">zakonskim propisima. </w:t>
      </w:r>
    </w:p>
    <w:p w:rsidR="00461A44" w:rsidRPr="00461A44" w:rsidRDefault="00461A44" w:rsidP="00461A44">
      <w:pPr>
        <w:spacing w:after="0"/>
        <w:rPr>
          <w:sz w:val="19"/>
          <w:szCs w:val="19"/>
          <w:lang w:val="sr-Latn-BA"/>
        </w:rPr>
      </w:pPr>
    </w:p>
    <w:p w:rsidR="00461A44" w:rsidRPr="00461A44" w:rsidRDefault="00461A44" w:rsidP="002F4D0C">
      <w:pPr>
        <w:numPr>
          <w:ilvl w:val="0"/>
          <w:numId w:val="3"/>
        </w:numPr>
        <w:spacing w:after="0"/>
        <w:rPr>
          <w:sz w:val="19"/>
          <w:szCs w:val="19"/>
          <w:lang w:val="sr-Latn-BA"/>
        </w:rPr>
      </w:pPr>
      <w:r w:rsidRPr="00461A44">
        <w:rPr>
          <w:sz w:val="19"/>
          <w:szCs w:val="19"/>
          <w:lang w:val="sr-Latn-BA"/>
        </w:rPr>
        <w:t>da im nije poznato da je itko od rukovodilaca ili zaposlenih u društvu sa ovlaštenjima da kontrolira i odobrava poslovne promjene, umiješan u bilo kakve nezakonite ili neregularne aktivnosti koje bi mogle utjecati na istinitost finansijskih izvještaja.</w:t>
      </w:r>
    </w:p>
    <w:p w:rsidR="00461A44" w:rsidRPr="00461A44" w:rsidRDefault="00461A44" w:rsidP="00461A44">
      <w:pPr>
        <w:spacing w:after="0"/>
        <w:rPr>
          <w:sz w:val="19"/>
          <w:szCs w:val="19"/>
          <w:lang w:val="sr-Latn-BA"/>
        </w:rPr>
      </w:pPr>
    </w:p>
    <w:p w:rsidR="00461A44" w:rsidRPr="00461A44" w:rsidRDefault="00461A44" w:rsidP="002F4D0C">
      <w:pPr>
        <w:numPr>
          <w:ilvl w:val="0"/>
          <w:numId w:val="3"/>
        </w:numPr>
        <w:spacing w:after="0"/>
        <w:rPr>
          <w:sz w:val="19"/>
          <w:szCs w:val="19"/>
          <w:lang w:val="sr-Latn-BA"/>
        </w:rPr>
      </w:pPr>
      <w:r w:rsidRPr="00461A44">
        <w:rPr>
          <w:sz w:val="19"/>
          <w:szCs w:val="19"/>
          <w:lang w:val="sr-Latn-BA"/>
        </w:rPr>
        <w:t xml:space="preserve">da nisu poznati drugi slučajevi pronevjera, ili sumnji u pronevjere, koje se odnose na poslovanje </w:t>
      </w:r>
      <w:r w:rsidR="004E4FDF">
        <w:rPr>
          <w:sz w:val="19"/>
          <w:szCs w:val="19"/>
          <w:lang w:val="sr-Latn-BA"/>
        </w:rPr>
        <w:t>Društva</w:t>
      </w:r>
      <w:r w:rsidRPr="00461A44">
        <w:rPr>
          <w:sz w:val="19"/>
          <w:szCs w:val="19"/>
          <w:lang w:val="sr-Latn-BA"/>
        </w:rPr>
        <w:t xml:space="preserve">. </w:t>
      </w:r>
    </w:p>
    <w:p w:rsidR="00461A44" w:rsidRPr="00461A44" w:rsidRDefault="00461A44" w:rsidP="00461A44">
      <w:pPr>
        <w:spacing w:after="0"/>
        <w:rPr>
          <w:sz w:val="19"/>
          <w:szCs w:val="19"/>
          <w:lang w:val="sr-Latn-BA"/>
        </w:rPr>
      </w:pPr>
    </w:p>
    <w:p w:rsidR="00461A44" w:rsidRPr="00461A44" w:rsidRDefault="00461A44" w:rsidP="002F4D0C">
      <w:pPr>
        <w:numPr>
          <w:ilvl w:val="0"/>
          <w:numId w:val="3"/>
        </w:numPr>
        <w:spacing w:after="0"/>
        <w:rPr>
          <w:sz w:val="19"/>
          <w:szCs w:val="19"/>
          <w:lang w:val="sr-Latn-BA"/>
        </w:rPr>
      </w:pPr>
      <w:r w:rsidRPr="00461A44">
        <w:rPr>
          <w:sz w:val="19"/>
          <w:szCs w:val="19"/>
          <w:lang w:val="sr-Latn-BA"/>
        </w:rPr>
        <w:t>da su stavili revizoru na raspolaganje sve poslovne knjige i potkrepljujuću dokumentaciju, sve zapisnike sa sjednica organa</w:t>
      </w:r>
      <w:r w:rsidR="00924717">
        <w:rPr>
          <w:sz w:val="19"/>
          <w:szCs w:val="19"/>
          <w:lang w:val="sr-Latn-BA"/>
        </w:rPr>
        <w:t xml:space="preserve"> </w:t>
      </w:r>
      <w:r w:rsidRPr="00461A44">
        <w:rPr>
          <w:sz w:val="19"/>
          <w:szCs w:val="19"/>
          <w:lang w:val="sr-Latn-BA"/>
        </w:rPr>
        <w:t xml:space="preserve">upravljanja i drugih organa </w:t>
      </w:r>
      <w:r w:rsidR="004E4FDF">
        <w:rPr>
          <w:sz w:val="19"/>
          <w:szCs w:val="19"/>
          <w:lang w:val="sr-Latn-BA"/>
        </w:rPr>
        <w:t>Društva</w:t>
      </w:r>
      <w:r w:rsidRPr="00461A44">
        <w:rPr>
          <w:sz w:val="19"/>
          <w:szCs w:val="19"/>
          <w:lang w:val="sr-Latn-BA"/>
        </w:rPr>
        <w:t>.</w:t>
      </w:r>
    </w:p>
    <w:p w:rsidR="00461A44" w:rsidRPr="00461A44" w:rsidRDefault="00461A44" w:rsidP="00461A44">
      <w:pPr>
        <w:spacing w:after="0"/>
        <w:rPr>
          <w:sz w:val="19"/>
          <w:szCs w:val="19"/>
          <w:lang w:val="sr-Latn-BA"/>
        </w:rPr>
      </w:pPr>
    </w:p>
    <w:p w:rsidR="00461A44" w:rsidRPr="00461A44" w:rsidRDefault="00461A44" w:rsidP="002F4D0C">
      <w:pPr>
        <w:numPr>
          <w:ilvl w:val="0"/>
          <w:numId w:val="3"/>
        </w:numPr>
        <w:spacing w:after="0"/>
        <w:rPr>
          <w:sz w:val="19"/>
          <w:szCs w:val="19"/>
          <w:lang w:val="sr-Latn-BA"/>
        </w:rPr>
      </w:pPr>
      <w:r w:rsidRPr="00461A44">
        <w:rPr>
          <w:sz w:val="19"/>
          <w:szCs w:val="19"/>
          <w:lang w:val="sr-Latn-BA"/>
        </w:rPr>
        <w:t>da im nisu poznati materijalno značajni propusti i greške koje bi mogle da utječu na istinitost finansijskih izvještaja.</w:t>
      </w:r>
    </w:p>
    <w:p w:rsidR="00461A44" w:rsidRPr="00461A44" w:rsidRDefault="00461A44" w:rsidP="00461A44">
      <w:pPr>
        <w:spacing w:after="0"/>
        <w:rPr>
          <w:sz w:val="19"/>
          <w:szCs w:val="19"/>
          <w:lang w:val="sr-Latn-BA"/>
        </w:rPr>
      </w:pPr>
    </w:p>
    <w:p w:rsidR="00461A44" w:rsidRPr="00461A44" w:rsidRDefault="00461A44" w:rsidP="002F4D0C">
      <w:pPr>
        <w:numPr>
          <w:ilvl w:val="0"/>
          <w:numId w:val="3"/>
        </w:numPr>
        <w:spacing w:after="0"/>
        <w:rPr>
          <w:sz w:val="19"/>
          <w:szCs w:val="19"/>
          <w:lang w:val="sr-Latn-BA"/>
        </w:rPr>
      </w:pPr>
      <w:r w:rsidRPr="00461A44">
        <w:rPr>
          <w:sz w:val="19"/>
          <w:szCs w:val="19"/>
          <w:lang w:val="sr-Latn-BA"/>
        </w:rPr>
        <w:t>da su primijenjeni Međunarodni računovodstveni standardi (MRS) i Međunarodni standardi finansijskog izvještavanja (MSFI) a svako eventualno odstupanje je iskazano i objašnjeno u finansijskim izvještajima te da su izabrane i primijenjene odgovarajuće Računovodstvene politike i da su procjene i prosudbe razumno sastavljene.</w:t>
      </w:r>
    </w:p>
    <w:p w:rsidR="00461A44" w:rsidRPr="00461A44" w:rsidRDefault="00461A44" w:rsidP="00461A44">
      <w:pPr>
        <w:spacing w:after="0"/>
        <w:rPr>
          <w:sz w:val="19"/>
          <w:szCs w:val="19"/>
          <w:lang w:val="sr-Latn-BA"/>
        </w:rPr>
      </w:pPr>
    </w:p>
    <w:p w:rsidR="00461A44" w:rsidRPr="00461A44" w:rsidRDefault="00461A44" w:rsidP="002F4D0C">
      <w:pPr>
        <w:numPr>
          <w:ilvl w:val="0"/>
          <w:numId w:val="3"/>
        </w:numPr>
        <w:spacing w:after="0"/>
        <w:rPr>
          <w:b/>
          <w:bCs/>
          <w:sz w:val="19"/>
          <w:szCs w:val="19"/>
          <w:lang w:val="sr-Latn-BA"/>
        </w:rPr>
      </w:pPr>
      <w:r w:rsidRPr="00461A44">
        <w:rPr>
          <w:sz w:val="19"/>
          <w:szCs w:val="19"/>
          <w:lang w:val="sr-Latn-BA"/>
        </w:rPr>
        <w:t xml:space="preserve">da je osigurano vođenje svih računovodstvenih evidencija koje u bilo kojem momentu sa tačnošću odražava položaj i poslovanje </w:t>
      </w:r>
      <w:r w:rsidR="004E4FDF">
        <w:rPr>
          <w:sz w:val="19"/>
          <w:szCs w:val="19"/>
          <w:lang w:val="sr-Latn-BA"/>
        </w:rPr>
        <w:t>Društva</w:t>
      </w:r>
      <w:r w:rsidRPr="00461A44">
        <w:rPr>
          <w:sz w:val="19"/>
          <w:szCs w:val="19"/>
          <w:lang w:val="sr-Latn-BA"/>
        </w:rPr>
        <w:t>. Poslovodstvo je odgovorno za gospodarenje i čuvanje imovine i za preduzimanje svih razumnih mjera sa ciljem da se spriječe ili otklone sve eventualne pronevjere ili nezakonitosti.</w:t>
      </w:r>
    </w:p>
    <w:p w:rsidR="00461A44" w:rsidRPr="00461A44" w:rsidRDefault="00461A44" w:rsidP="00461A44">
      <w:pPr>
        <w:spacing w:after="0"/>
        <w:rPr>
          <w:sz w:val="19"/>
          <w:szCs w:val="19"/>
          <w:lang w:val="sr-Latn-BA"/>
        </w:rPr>
      </w:pPr>
    </w:p>
    <w:p w:rsidR="00461A44" w:rsidRPr="00461A44" w:rsidRDefault="00461A44" w:rsidP="00461A44">
      <w:pPr>
        <w:spacing w:after="0"/>
        <w:rPr>
          <w:sz w:val="19"/>
          <w:szCs w:val="19"/>
          <w:lang w:val="sr-Latn-BA"/>
        </w:rPr>
      </w:pPr>
    </w:p>
    <w:p w:rsidR="00461A44" w:rsidRDefault="00461A44">
      <w:pPr>
        <w:rPr>
          <w:sz w:val="19"/>
          <w:szCs w:val="19"/>
          <w:lang w:val="sr-Latn-BA"/>
        </w:rPr>
      </w:pPr>
      <w:r>
        <w:rPr>
          <w:sz w:val="19"/>
          <w:szCs w:val="19"/>
          <w:lang w:val="sr-Latn-BA"/>
        </w:rPr>
        <w:br w:type="page"/>
      </w:r>
    </w:p>
    <w:p w:rsidR="00461A44" w:rsidRPr="00461A44" w:rsidRDefault="00461A44" w:rsidP="00461A44">
      <w:pPr>
        <w:spacing w:after="0"/>
        <w:rPr>
          <w:sz w:val="19"/>
          <w:szCs w:val="19"/>
          <w:lang w:val="sr-Latn-BA"/>
        </w:rPr>
      </w:pPr>
      <w:r w:rsidRPr="00461A44">
        <w:rPr>
          <w:sz w:val="19"/>
          <w:szCs w:val="19"/>
          <w:lang w:val="sr-Latn-BA"/>
        </w:rPr>
        <w:lastRenderedPageBreak/>
        <w:t xml:space="preserve">Navedenu izjavu za upravu potpisao </w:t>
      </w:r>
      <w:r w:rsidR="004E4FDF">
        <w:rPr>
          <w:sz w:val="19"/>
          <w:szCs w:val="19"/>
          <w:lang w:val="sr-Latn-BA"/>
        </w:rPr>
        <w:t>direktor</w:t>
      </w:r>
      <w:r w:rsidRPr="00461A44">
        <w:rPr>
          <w:sz w:val="19"/>
          <w:szCs w:val="19"/>
          <w:lang w:val="sr-Latn-BA"/>
        </w:rPr>
        <w:t xml:space="preserve"> </w:t>
      </w:r>
      <w:r w:rsidR="004E4FDF">
        <w:rPr>
          <w:sz w:val="19"/>
          <w:szCs w:val="19"/>
          <w:lang w:val="sr-Latn-BA"/>
        </w:rPr>
        <w:t>Društva</w:t>
      </w:r>
      <w:r w:rsidRPr="00461A44">
        <w:rPr>
          <w:sz w:val="19"/>
          <w:szCs w:val="19"/>
          <w:lang w:val="sr-Latn-BA"/>
        </w:rPr>
        <w:t xml:space="preserve"> prije obavljanja revizije tj u fazi planiranja a izjava je sastavni dio radne dokumentacije u našem revizorskom društvu.</w:t>
      </w:r>
    </w:p>
    <w:p w:rsidR="006475F9" w:rsidRPr="005F7FAB" w:rsidRDefault="006475F9" w:rsidP="006475F9">
      <w:pPr>
        <w:spacing w:after="0"/>
        <w:rPr>
          <w:sz w:val="19"/>
          <w:szCs w:val="19"/>
          <w:lang w:val="hr-BA"/>
        </w:rPr>
      </w:pPr>
    </w:p>
    <w:p w:rsidR="00461A44" w:rsidRDefault="00461A44">
      <w:pPr>
        <w:rPr>
          <w:sz w:val="19"/>
          <w:szCs w:val="19"/>
          <w:lang w:val="hr-BA"/>
        </w:rPr>
      </w:pPr>
    </w:p>
    <w:p w:rsidR="00461A44" w:rsidRDefault="00461A44">
      <w:pPr>
        <w:rPr>
          <w:sz w:val="19"/>
          <w:szCs w:val="19"/>
          <w:lang w:val="hr-BA"/>
        </w:rPr>
      </w:pPr>
    </w:p>
    <w:p w:rsidR="006475F9" w:rsidRPr="005F7FAB" w:rsidRDefault="006475F9" w:rsidP="006475F9">
      <w:pPr>
        <w:spacing w:after="0"/>
        <w:rPr>
          <w:sz w:val="19"/>
          <w:szCs w:val="19"/>
          <w:lang w:val="hr-BA"/>
        </w:rPr>
      </w:pPr>
      <w:r w:rsidRPr="005F7FAB">
        <w:rPr>
          <w:sz w:val="19"/>
          <w:szCs w:val="19"/>
          <w:lang w:val="hr-BA"/>
        </w:rPr>
        <w:t>Za i u ime Uprave</w:t>
      </w:r>
    </w:p>
    <w:p w:rsidR="006475F9" w:rsidRPr="005F7FAB" w:rsidRDefault="006475F9" w:rsidP="006475F9">
      <w:pPr>
        <w:spacing w:after="40"/>
        <w:rPr>
          <w:sz w:val="19"/>
          <w:szCs w:val="19"/>
          <w:lang w:val="hr-BA"/>
        </w:rPr>
      </w:pPr>
    </w:p>
    <w:p w:rsidR="006475F9" w:rsidRPr="005F7FAB" w:rsidRDefault="006475F9" w:rsidP="006475F9">
      <w:pPr>
        <w:spacing w:after="40"/>
        <w:rPr>
          <w:sz w:val="19"/>
          <w:szCs w:val="19"/>
          <w:lang w:val="hr-BA"/>
        </w:rPr>
      </w:pPr>
    </w:p>
    <w:p w:rsidR="006475F9" w:rsidRPr="00BC0F71" w:rsidRDefault="006475F9" w:rsidP="006475F9">
      <w:pPr>
        <w:spacing w:after="40"/>
        <w:rPr>
          <w:sz w:val="19"/>
          <w:szCs w:val="19"/>
          <w:lang w:val="hr-BA"/>
        </w:rPr>
      </w:pPr>
    </w:p>
    <w:p w:rsidR="006475F9" w:rsidRDefault="006475F9" w:rsidP="006475F9">
      <w:pPr>
        <w:spacing w:after="40"/>
        <w:rPr>
          <w:sz w:val="19"/>
          <w:szCs w:val="19"/>
          <w:lang w:val="hr-BA"/>
        </w:rPr>
      </w:pPr>
    </w:p>
    <w:p w:rsidR="004E4FDF" w:rsidRPr="00BC0F71" w:rsidRDefault="004E4FDF" w:rsidP="006475F9">
      <w:pPr>
        <w:spacing w:after="40"/>
        <w:rPr>
          <w:sz w:val="19"/>
          <w:szCs w:val="19"/>
          <w:lang w:val="hr-BA"/>
        </w:rPr>
      </w:pPr>
    </w:p>
    <w:p w:rsidR="00054723" w:rsidRPr="00F44F79" w:rsidRDefault="008162AC" w:rsidP="00054723">
      <w:pPr>
        <w:spacing w:after="40"/>
        <w:rPr>
          <w:bCs/>
          <w:iCs/>
          <w:sz w:val="19"/>
          <w:szCs w:val="19"/>
        </w:rPr>
      </w:pPr>
      <w:r>
        <w:rPr>
          <w:bCs/>
          <w:iCs/>
          <w:sz w:val="19"/>
          <w:szCs w:val="19"/>
        </w:rPr>
        <w:t>Milojević Savo</w:t>
      </w:r>
    </w:p>
    <w:p w:rsidR="006475F9" w:rsidRPr="00F44F79" w:rsidRDefault="004E4FDF" w:rsidP="006475F9">
      <w:pPr>
        <w:spacing w:after="40"/>
        <w:rPr>
          <w:sz w:val="19"/>
          <w:szCs w:val="19"/>
          <w:lang w:val="hr-BA"/>
        </w:rPr>
      </w:pPr>
      <w:r>
        <w:rPr>
          <w:sz w:val="19"/>
          <w:szCs w:val="19"/>
          <w:lang w:val="hr-BA"/>
        </w:rPr>
        <w:t>Direktor</w:t>
      </w:r>
    </w:p>
    <w:p w:rsidR="006475F9" w:rsidRDefault="006475F9" w:rsidP="006475F9">
      <w:pPr>
        <w:spacing w:after="40"/>
        <w:rPr>
          <w:sz w:val="19"/>
          <w:szCs w:val="19"/>
          <w:lang w:val="hr-BA"/>
        </w:rPr>
      </w:pPr>
    </w:p>
    <w:p w:rsidR="004E4FDF" w:rsidRPr="00F44F79" w:rsidRDefault="004E4FDF" w:rsidP="006475F9">
      <w:pPr>
        <w:spacing w:after="40"/>
        <w:rPr>
          <w:sz w:val="19"/>
          <w:szCs w:val="19"/>
          <w:lang w:val="hr-BA"/>
        </w:rPr>
      </w:pPr>
    </w:p>
    <w:p w:rsidR="00BC0F71" w:rsidRPr="00F44F79" w:rsidRDefault="008162AC" w:rsidP="006475F9">
      <w:pPr>
        <w:spacing w:after="40"/>
        <w:rPr>
          <w:sz w:val="19"/>
          <w:szCs w:val="19"/>
          <w:lang w:val="hr-BA"/>
        </w:rPr>
      </w:pPr>
      <w:r>
        <w:rPr>
          <w:sz w:val="19"/>
          <w:szCs w:val="19"/>
          <w:lang w:val="hr-BA"/>
        </w:rPr>
        <w:t>Borac</w:t>
      </w:r>
      <w:r w:rsidR="006522E0">
        <w:rPr>
          <w:sz w:val="19"/>
          <w:szCs w:val="19"/>
          <w:lang w:val="hr-BA"/>
        </w:rPr>
        <w:t xml:space="preserve"> a.d. Trebinje</w:t>
      </w:r>
    </w:p>
    <w:p w:rsidR="006676F0" w:rsidRDefault="008162AC" w:rsidP="006475F9">
      <w:pPr>
        <w:spacing w:after="40"/>
        <w:rPr>
          <w:sz w:val="19"/>
          <w:szCs w:val="19"/>
        </w:rPr>
      </w:pPr>
      <w:r w:rsidRPr="00C60A5C">
        <w:rPr>
          <w:sz w:val="18"/>
          <w:szCs w:val="18"/>
        </w:rPr>
        <w:t>Herceg S. Kosače</w:t>
      </w:r>
      <w:r>
        <w:rPr>
          <w:sz w:val="18"/>
          <w:szCs w:val="18"/>
        </w:rPr>
        <w:t xml:space="preserve"> </w:t>
      </w:r>
      <w:r w:rsidRPr="00C60A5C">
        <w:rPr>
          <w:sz w:val="18"/>
          <w:szCs w:val="18"/>
        </w:rPr>
        <w:t>br. 1</w:t>
      </w:r>
    </w:p>
    <w:p w:rsidR="00BC0F71" w:rsidRPr="006676F0" w:rsidRDefault="006676F0" w:rsidP="006475F9">
      <w:pPr>
        <w:spacing w:after="40"/>
        <w:rPr>
          <w:sz w:val="19"/>
          <w:szCs w:val="19"/>
        </w:rPr>
      </w:pPr>
      <w:r w:rsidRPr="006676F0">
        <w:rPr>
          <w:sz w:val="19"/>
          <w:szCs w:val="19"/>
        </w:rPr>
        <w:t>Trebinje</w:t>
      </w:r>
    </w:p>
    <w:p w:rsidR="006475F9" w:rsidRPr="00DE2401" w:rsidRDefault="00DE2401" w:rsidP="006475F9">
      <w:pPr>
        <w:spacing w:after="40"/>
        <w:rPr>
          <w:sz w:val="19"/>
          <w:szCs w:val="19"/>
          <w:lang w:val="hr-BA"/>
        </w:rPr>
      </w:pPr>
      <w:r w:rsidRPr="00DE2401">
        <w:rPr>
          <w:sz w:val="19"/>
          <w:szCs w:val="19"/>
          <w:lang w:val="hr-BA"/>
        </w:rPr>
        <w:t xml:space="preserve">04.april </w:t>
      </w:r>
      <w:r w:rsidR="006475F9" w:rsidRPr="00DE2401">
        <w:rPr>
          <w:sz w:val="19"/>
          <w:szCs w:val="19"/>
          <w:lang w:val="hr-BA"/>
        </w:rPr>
        <w:t xml:space="preserve"> 2015. godine</w:t>
      </w:r>
    </w:p>
    <w:p w:rsidR="006475F9" w:rsidRDefault="006475F9" w:rsidP="006475F9">
      <w:pPr>
        <w:spacing w:after="40"/>
        <w:rPr>
          <w:sz w:val="19"/>
          <w:szCs w:val="19"/>
          <w:lang w:val="hr-BA"/>
        </w:rPr>
      </w:pPr>
    </w:p>
    <w:p w:rsidR="006475F9" w:rsidRDefault="006475F9">
      <w:pPr>
        <w:rPr>
          <w:sz w:val="19"/>
          <w:szCs w:val="19"/>
          <w:lang w:val="hr-BA"/>
        </w:rPr>
      </w:pPr>
      <w:r>
        <w:rPr>
          <w:sz w:val="19"/>
          <w:szCs w:val="19"/>
          <w:lang w:val="hr-BA"/>
        </w:rPr>
        <w:br w:type="page"/>
      </w:r>
    </w:p>
    <w:p w:rsidR="006475F9" w:rsidRDefault="006475F9" w:rsidP="006475F9">
      <w:pPr>
        <w:rPr>
          <w:sz w:val="19"/>
          <w:szCs w:val="19"/>
          <w:lang w:val="hr-BA"/>
        </w:rPr>
      </w:pPr>
    </w:p>
    <w:tbl>
      <w:tblPr>
        <w:tblStyle w:val="TableGrid"/>
        <w:tblpPr w:leftFromText="180" w:rightFromText="180" w:vertAnchor="page" w:horzAnchor="margin" w:tblpXSpec="right" w:tblpY="2596"/>
        <w:tblW w:w="0" w:type="auto"/>
        <w:tblLook w:val="04A0"/>
      </w:tblPr>
      <w:tblGrid>
        <w:gridCol w:w="2324"/>
      </w:tblGrid>
      <w:tr w:rsidR="006475F9" w:rsidRPr="0051184D" w:rsidTr="006475F9">
        <w:trPr>
          <w:trHeight w:val="227"/>
        </w:trPr>
        <w:tc>
          <w:tcPr>
            <w:tcW w:w="2324" w:type="dxa"/>
            <w:tcBorders>
              <w:top w:val="nil"/>
              <w:left w:val="nil"/>
              <w:bottom w:val="nil"/>
              <w:right w:val="nil"/>
            </w:tcBorders>
            <w:vAlign w:val="center"/>
          </w:tcPr>
          <w:p w:rsidR="006475F9" w:rsidRPr="0051184D" w:rsidRDefault="006475F9" w:rsidP="006475F9">
            <w:pPr>
              <w:spacing w:after="0"/>
              <w:jc w:val="center"/>
              <w:rPr>
                <w:sz w:val="14"/>
                <w:szCs w:val="14"/>
                <w:lang w:val="hr-BA"/>
              </w:rPr>
            </w:pPr>
          </w:p>
        </w:tc>
      </w:tr>
      <w:tr w:rsidR="006475F9" w:rsidRPr="0051184D" w:rsidTr="006475F9">
        <w:trPr>
          <w:trHeight w:val="227"/>
        </w:trPr>
        <w:tc>
          <w:tcPr>
            <w:tcW w:w="2324" w:type="dxa"/>
            <w:tcBorders>
              <w:top w:val="nil"/>
              <w:left w:val="nil"/>
              <w:bottom w:val="nil"/>
              <w:right w:val="nil"/>
            </w:tcBorders>
            <w:vAlign w:val="center"/>
          </w:tcPr>
          <w:p w:rsidR="006475F9" w:rsidRPr="0051184D" w:rsidRDefault="006475F9" w:rsidP="006475F9">
            <w:pPr>
              <w:spacing w:after="0"/>
              <w:jc w:val="center"/>
              <w:rPr>
                <w:bCs/>
                <w:sz w:val="14"/>
                <w:szCs w:val="14"/>
                <w:lang w:val="hr-BA"/>
              </w:rPr>
            </w:pPr>
            <w:r w:rsidRPr="0051184D">
              <w:rPr>
                <w:sz w:val="14"/>
                <w:szCs w:val="14"/>
                <w:lang w:val="hr-BA"/>
              </w:rPr>
              <w:t>REVIDENT d.o.o.</w:t>
            </w:r>
          </w:p>
        </w:tc>
      </w:tr>
      <w:tr w:rsidR="006475F9" w:rsidRPr="0051184D" w:rsidTr="006475F9">
        <w:trPr>
          <w:trHeight w:val="227"/>
        </w:trPr>
        <w:tc>
          <w:tcPr>
            <w:tcW w:w="2324" w:type="dxa"/>
            <w:tcBorders>
              <w:top w:val="nil"/>
              <w:left w:val="nil"/>
              <w:bottom w:val="nil"/>
              <w:right w:val="nil"/>
            </w:tcBorders>
            <w:vAlign w:val="center"/>
          </w:tcPr>
          <w:p w:rsidR="006475F9" w:rsidRPr="0051184D" w:rsidRDefault="006475F9" w:rsidP="006475F9">
            <w:pPr>
              <w:spacing w:after="0"/>
              <w:jc w:val="center"/>
              <w:rPr>
                <w:bCs/>
                <w:sz w:val="14"/>
                <w:szCs w:val="14"/>
                <w:lang w:val="hr-BA"/>
              </w:rPr>
            </w:pPr>
            <w:r w:rsidRPr="0051184D">
              <w:rPr>
                <w:sz w:val="14"/>
                <w:szCs w:val="14"/>
                <w:lang w:val="hr-BA"/>
              </w:rPr>
              <w:t>Trg Herceg Bosne 4</w:t>
            </w:r>
          </w:p>
        </w:tc>
      </w:tr>
      <w:tr w:rsidR="006475F9" w:rsidRPr="0051184D" w:rsidTr="006475F9">
        <w:trPr>
          <w:trHeight w:val="227"/>
        </w:trPr>
        <w:tc>
          <w:tcPr>
            <w:tcW w:w="2324" w:type="dxa"/>
            <w:tcBorders>
              <w:top w:val="nil"/>
              <w:left w:val="nil"/>
              <w:bottom w:val="nil"/>
              <w:right w:val="nil"/>
            </w:tcBorders>
            <w:vAlign w:val="center"/>
          </w:tcPr>
          <w:p w:rsidR="006475F9" w:rsidRPr="0051184D" w:rsidRDefault="006475F9" w:rsidP="006475F9">
            <w:pPr>
              <w:spacing w:after="0"/>
              <w:jc w:val="center"/>
              <w:rPr>
                <w:bCs/>
                <w:sz w:val="14"/>
                <w:szCs w:val="14"/>
                <w:lang w:val="hr-BA"/>
              </w:rPr>
            </w:pPr>
            <w:r w:rsidRPr="0051184D">
              <w:rPr>
                <w:bCs/>
                <w:sz w:val="14"/>
                <w:szCs w:val="14"/>
                <w:lang w:val="hr-BA"/>
              </w:rPr>
              <w:t>BiH-88340 Grude</w:t>
            </w:r>
          </w:p>
        </w:tc>
      </w:tr>
      <w:tr w:rsidR="006475F9" w:rsidRPr="0051184D" w:rsidTr="006475F9">
        <w:trPr>
          <w:trHeight w:val="227"/>
        </w:trPr>
        <w:tc>
          <w:tcPr>
            <w:tcW w:w="2324" w:type="dxa"/>
            <w:tcBorders>
              <w:top w:val="nil"/>
              <w:left w:val="nil"/>
              <w:bottom w:val="nil"/>
              <w:right w:val="nil"/>
            </w:tcBorders>
            <w:vAlign w:val="center"/>
          </w:tcPr>
          <w:p w:rsidR="006475F9" w:rsidRPr="0051184D" w:rsidRDefault="006475F9" w:rsidP="006475F9">
            <w:pPr>
              <w:spacing w:after="0"/>
              <w:jc w:val="center"/>
              <w:rPr>
                <w:bCs/>
                <w:sz w:val="14"/>
                <w:szCs w:val="14"/>
                <w:lang w:val="hr-BA"/>
              </w:rPr>
            </w:pPr>
            <w:r w:rsidRPr="0051184D">
              <w:rPr>
                <w:bCs/>
                <w:sz w:val="14"/>
                <w:szCs w:val="14"/>
                <w:lang w:val="hr-BA"/>
              </w:rPr>
              <w:t>BOSNA I HERCEGOVINA</w:t>
            </w:r>
          </w:p>
        </w:tc>
      </w:tr>
      <w:tr w:rsidR="006475F9" w:rsidRPr="0051184D" w:rsidTr="006475F9">
        <w:trPr>
          <w:trHeight w:val="227"/>
        </w:trPr>
        <w:tc>
          <w:tcPr>
            <w:tcW w:w="2324" w:type="dxa"/>
            <w:tcBorders>
              <w:top w:val="nil"/>
              <w:left w:val="nil"/>
              <w:bottom w:val="nil"/>
              <w:right w:val="nil"/>
            </w:tcBorders>
            <w:vAlign w:val="center"/>
          </w:tcPr>
          <w:p w:rsidR="006475F9" w:rsidRPr="0051184D" w:rsidRDefault="006475F9" w:rsidP="006475F9">
            <w:pPr>
              <w:spacing w:after="0"/>
              <w:jc w:val="center"/>
              <w:rPr>
                <w:bCs/>
                <w:sz w:val="14"/>
                <w:szCs w:val="14"/>
                <w:lang w:val="hr-BA"/>
              </w:rPr>
            </w:pPr>
            <w:r w:rsidRPr="0051184D">
              <w:rPr>
                <w:sz w:val="14"/>
                <w:szCs w:val="14"/>
                <w:lang w:val="hr-BA"/>
              </w:rPr>
              <w:t>Tel/Fax.: +387 39 660 015</w:t>
            </w:r>
          </w:p>
        </w:tc>
      </w:tr>
      <w:tr w:rsidR="006475F9" w:rsidRPr="0051184D" w:rsidTr="006475F9">
        <w:trPr>
          <w:trHeight w:val="227"/>
        </w:trPr>
        <w:tc>
          <w:tcPr>
            <w:tcW w:w="2324" w:type="dxa"/>
            <w:tcBorders>
              <w:top w:val="nil"/>
              <w:left w:val="nil"/>
              <w:bottom w:val="nil"/>
              <w:right w:val="nil"/>
            </w:tcBorders>
            <w:vAlign w:val="center"/>
          </w:tcPr>
          <w:p w:rsidR="006475F9" w:rsidRPr="0051184D" w:rsidRDefault="006475F9" w:rsidP="006475F9">
            <w:pPr>
              <w:spacing w:after="0"/>
              <w:jc w:val="center"/>
              <w:rPr>
                <w:bCs/>
                <w:sz w:val="14"/>
                <w:szCs w:val="14"/>
                <w:lang w:val="hr-BA"/>
              </w:rPr>
            </w:pPr>
            <w:r w:rsidRPr="0051184D">
              <w:rPr>
                <w:sz w:val="14"/>
                <w:szCs w:val="14"/>
                <w:lang w:val="hr-BA"/>
              </w:rPr>
              <w:t>mail: bozo.vukoja@tel.net.ba</w:t>
            </w:r>
          </w:p>
        </w:tc>
      </w:tr>
      <w:tr w:rsidR="006475F9" w:rsidRPr="0051184D" w:rsidTr="006475F9">
        <w:trPr>
          <w:trHeight w:val="227"/>
        </w:trPr>
        <w:tc>
          <w:tcPr>
            <w:tcW w:w="2324" w:type="dxa"/>
            <w:tcBorders>
              <w:top w:val="nil"/>
              <w:left w:val="nil"/>
              <w:bottom w:val="nil"/>
              <w:right w:val="nil"/>
            </w:tcBorders>
            <w:vAlign w:val="center"/>
          </w:tcPr>
          <w:p w:rsidR="006475F9" w:rsidRPr="0051184D" w:rsidRDefault="006475F9" w:rsidP="006475F9">
            <w:pPr>
              <w:spacing w:after="0"/>
              <w:jc w:val="center"/>
              <w:rPr>
                <w:sz w:val="14"/>
                <w:szCs w:val="14"/>
                <w:lang w:val="hr-BA"/>
              </w:rPr>
            </w:pPr>
            <w:r w:rsidRPr="0051184D">
              <w:rPr>
                <w:sz w:val="14"/>
                <w:szCs w:val="14"/>
                <w:lang w:val="hr-BA"/>
              </w:rPr>
              <w:t>www.revident.ba</w:t>
            </w:r>
          </w:p>
        </w:tc>
      </w:tr>
      <w:tr w:rsidR="006475F9" w:rsidRPr="0051184D" w:rsidTr="006475F9">
        <w:trPr>
          <w:trHeight w:val="227"/>
        </w:trPr>
        <w:tc>
          <w:tcPr>
            <w:tcW w:w="2324" w:type="dxa"/>
            <w:tcBorders>
              <w:top w:val="nil"/>
              <w:left w:val="nil"/>
              <w:bottom w:val="nil"/>
              <w:right w:val="nil"/>
            </w:tcBorders>
            <w:vAlign w:val="center"/>
          </w:tcPr>
          <w:p w:rsidR="006475F9" w:rsidRPr="0051184D" w:rsidRDefault="006475F9" w:rsidP="006475F9">
            <w:pPr>
              <w:jc w:val="center"/>
              <w:rPr>
                <w:sz w:val="14"/>
                <w:szCs w:val="14"/>
                <w:lang w:val="hr-BA"/>
              </w:rPr>
            </w:pPr>
          </w:p>
        </w:tc>
      </w:tr>
    </w:tbl>
    <w:p w:rsidR="006475F9" w:rsidRDefault="006475F9" w:rsidP="006475F9">
      <w:pPr>
        <w:rPr>
          <w:sz w:val="19"/>
          <w:szCs w:val="19"/>
          <w:lang w:val="hr-BA"/>
        </w:rPr>
      </w:pPr>
      <w:r w:rsidRPr="00730F71">
        <w:rPr>
          <w:noProof/>
          <w:sz w:val="19"/>
          <w:szCs w:val="19"/>
          <w:lang w:val="en-US"/>
        </w:rPr>
        <w:drawing>
          <wp:inline distT="0" distB="0" distL="0" distR="0">
            <wp:extent cx="2184829" cy="657225"/>
            <wp:effectExtent l="19050" t="0" r="5921" b="0"/>
            <wp:docPr id="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0"/>
                    <a:srcRect/>
                    <a:stretch>
                      <a:fillRect/>
                    </a:stretch>
                  </pic:blipFill>
                  <pic:spPr bwMode="auto">
                    <a:xfrm>
                      <a:off x="0" y="0"/>
                      <a:ext cx="2184829" cy="657225"/>
                    </a:xfrm>
                    <a:prstGeom prst="rect">
                      <a:avLst/>
                    </a:prstGeom>
                    <a:noFill/>
                    <a:ln w="9525">
                      <a:noFill/>
                      <a:miter lim="800000"/>
                      <a:headEnd/>
                      <a:tailEnd/>
                    </a:ln>
                  </pic:spPr>
                </pic:pic>
              </a:graphicData>
            </a:graphic>
          </wp:inline>
        </w:drawing>
      </w:r>
    </w:p>
    <w:p w:rsidR="006475F9" w:rsidRDefault="006475F9" w:rsidP="006475F9">
      <w:pPr>
        <w:rPr>
          <w:sz w:val="19"/>
          <w:szCs w:val="19"/>
          <w:lang w:val="hr-BA"/>
        </w:rPr>
      </w:pPr>
    </w:p>
    <w:p w:rsidR="006475F9" w:rsidRDefault="006475F9" w:rsidP="006475F9">
      <w:pPr>
        <w:rPr>
          <w:sz w:val="19"/>
          <w:szCs w:val="19"/>
          <w:lang w:val="hr-BA"/>
        </w:rPr>
      </w:pPr>
    </w:p>
    <w:p w:rsidR="006475F9" w:rsidRDefault="006475F9" w:rsidP="006475F9">
      <w:pPr>
        <w:rPr>
          <w:sz w:val="19"/>
          <w:szCs w:val="19"/>
          <w:lang w:val="hr-BA"/>
        </w:rPr>
      </w:pPr>
    </w:p>
    <w:p w:rsidR="006475F9" w:rsidRDefault="006475F9" w:rsidP="006475F9">
      <w:pPr>
        <w:rPr>
          <w:sz w:val="19"/>
          <w:szCs w:val="19"/>
          <w:lang w:val="hr-BA"/>
        </w:rPr>
      </w:pPr>
    </w:p>
    <w:p w:rsidR="006475F9" w:rsidRDefault="006475F9" w:rsidP="006475F9">
      <w:pPr>
        <w:rPr>
          <w:sz w:val="19"/>
          <w:szCs w:val="19"/>
          <w:lang w:val="hr-BA"/>
        </w:rPr>
      </w:pPr>
    </w:p>
    <w:p w:rsidR="006475F9" w:rsidRDefault="006475F9" w:rsidP="006475F9">
      <w:pPr>
        <w:rPr>
          <w:sz w:val="19"/>
          <w:szCs w:val="19"/>
          <w:lang w:val="hr-BA"/>
        </w:rPr>
      </w:pPr>
    </w:p>
    <w:p w:rsidR="006475F9" w:rsidRPr="00F44F79" w:rsidRDefault="00373577" w:rsidP="00F44F79">
      <w:pPr>
        <w:spacing w:after="0"/>
        <w:rPr>
          <w:b/>
          <w:sz w:val="19"/>
          <w:szCs w:val="19"/>
          <w:lang w:val="hr-BA"/>
        </w:rPr>
      </w:pPr>
      <w:bookmarkStart w:id="0" w:name="_Toc274673294"/>
      <w:bookmarkStart w:id="1" w:name="_Toc412553773"/>
      <w:r w:rsidRPr="00F44F79">
        <w:rPr>
          <w:b/>
          <w:sz w:val="19"/>
          <w:szCs w:val="19"/>
          <w:lang w:val="hr-BA"/>
        </w:rPr>
        <w:t>Izvještaj neza</w:t>
      </w:r>
      <w:r w:rsidR="006475F9" w:rsidRPr="00F44F79">
        <w:rPr>
          <w:b/>
          <w:sz w:val="19"/>
          <w:szCs w:val="19"/>
          <w:lang w:val="hr-BA"/>
        </w:rPr>
        <w:t>visnog revizora</w:t>
      </w:r>
      <w:bookmarkEnd w:id="0"/>
      <w:bookmarkEnd w:id="1"/>
    </w:p>
    <w:p w:rsidR="006475F9" w:rsidRPr="00F44F79" w:rsidRDefault="006475F9" w:rsidP="00F44F79">
      <w:pPr>
        <w:spacing w:after="0"/>
        <w:rPr>
          <w:b/>
          <w:bCs/>
          <w:sz w:val="19"/>
          <w:szCs w:val="19"/>
          <w:lang w:val="hr-BA"/>
        </w:rPr>
      </w:pPr>
    </w:p>
    <w:p w:rsidR="006475F9" w:rsidRPr="00F44F79" w:rsidRDefault="006475F9" w:rsidP="00F44F79">
      <w:pPr>
        <w:spacing w:after="0"/>
        <w:rPr>
          <w:bCs/>
          <w:sz w:val="19"/>
          <w:szCs w:val="19"/>
          <w:lang w:val="hr-BA"/>
        </w:rPr>
      </w:pPr>
    </w:p>
    <w:p w:rsidR="00461A44" w:rsidRPr="00F44F79" w:rsidRDefault="00461A44" w:rsidP="00F44F79">
      <w:pPr>
        <w:spacing w:after="0"/>
        <w:rPr>
          <w:b/>
          <w:bCs/>
          <w:sz w:val="19"/>
          <w:szCs w:val="19"/>
          <w:lang w:val="sr-Latn-BA"/>
        </w:rPr>
      </w:pPr>
      <w:r w:rsidRPr="00F44F79">
        <w:rPr>
          <w:b/>
          <w:bCs/>
          <w:sz w:val="19"/>
          <w:szCs w:val="19"/>
          <w:lang w:val="sr-Latn-BA"/>
        </w:rPr>
        <w:t xml:space="preserve">Skupštini, Nadzornom odboru i Upravi </w:t>
      </w:r>
      <w:r w:rsidR="008162AC">
        <w:rPr>
          <w:b/>
          <w:bCs/>
          <w:sz w:val="19"/>
          <w:szCs w:val="19"/>
          <w:lang w:val="sr-Latn-BA"/>
        </w:rPr>
        <w:t>Borac</w:t>
      </w:r>
      <w:r w:rsidR="006522E0">
        <w:rPr>
          <w:b/>
          <w:bCs/>
          <w:sz w:val="19"/>
          <w:szCs w:val="19"/>
          <w:lang w:val="sr-Latn-BA"/>
        </w:rPr>
        <w:t xml:space="preserve"> a.d. Trebinje</w:t>
      </w:r>
    </w:p>
    <w:p w:rsidR="00461A44" w:rsidRPr="00F44F79" w:rsidRDefault="00461A44" w:rsidP="00F44F79">
      <w:pPr>
        <w:spacing w:after="0"/>
        <w:rPr>
          <w:bCs/>
          <w:sz w:val="19"/>
          <w:szCs w:val="19"/>
          <w:lang w:val="sr-Latn-BA"/>
        </w:rPr>
      </w:pPr>
    </w:p>
    <w:p w:rsidR="00461A44" w:rsidRPr="00F44F79" w:rsidRDefault="00461A44" w:rsidP="00F44F79">
      <w:pPr>
        <w:spacing w:after="0"/>
        <w:rPr>
          <w:bCs/>
          <w:sz w:val="19"/>
          <w:szCs w:val="19"/>
          <w:lang w:val="sr-Latn-BA"/>
        </w:rPr>
      </w:pPr>
    </w:p>
    <w:p w:rsidR="00461A44" w:rsidRPr="00F44F79" w:rsidRDefault="00461A44" w:rsidP="00F44F79">
      <w:pPr>
        <w:spacing w:after="0"/>
        <w:rPr>
          <w:bCs/>
          <w:sz w:val="19"/>
          <w:szCs w:val="19"/>
          <w:lang w:val="sr-Latn-BA"/>
        </w:rPr>
      </w:pPr>
    </w:p>
    <w:p w:rsidR="00461A44" w:rsidRPr="00F44F79" w:rsidRDefault="00461A44" w:rsidP="00F44F79">
      <w:pPr>
        <w:spacing w:after="0"/>
        <w:rPr>
          <w:b/>
          <w:bCs/>
          <w:sz w:val="19"/>
          <w:szCs w:val="19"/>
          <w:lang w:val="sr-Latn-BA"/>
        </w:rPr>
      </w:pPr>
      <w:r w:rsidRPr="00F44F79">
        <w:rPr>
          <w:b/>
          <w:bCs/>
          <w:sz w:val="19"/>
          <w:szCs w:val="19"/>
          <w:lang w:val="sr-Latn-BA"/>
        </w:rPr>
        <w:t>Predmet revizije</w:t>
      </w:r>
    </w:p>
    <w:p w:rsidR="00461A44" w:rsidRPr="00F44F79" w:rsidRDefault="00461A44" w:rsidP="00F44F79">
      <w:pPr>
        <w:spacing w:after="0"/>
        <w:rPr>
          <w:bCs/>
          <w:sz w:val="19"/>
          <w:szCs w:val="19"/>
          <w:lang w:val="sr-Latn-BA"/>
        </w:rPr>
      </w:pPr>
    </w:p>
    <w:p w:rsidR="00461A44" w:rsidRPr="00F44F79" w:rsidRDefault="00461A44" w:rsidP="00F44F79">
      <w:pPr>
        <w:spacing w:after="0"/>
        <w:rPr>
          <w:bCs/>
          <w:sz w:val="19"/>
          <w:szCs w:val="19"/>
          <w:lang w:val="sr-Latn-BA"/>
        </w:rPr>
      </w:pPr>
      <w:r w:rsidRPr="00F44F79">
        <w:rPr>
          <w:bCs/>
          <w:sz w:val="19"/>
          <w:szCs w:val="19"/>
          <w:lang w:val="sr-Latn-BA"/>
        </w:rPr>
        <w:t xml:space="preserve">Izvršili smo reviziju finansijskih izvještaja </w:t>
      </w:r>
      <w:r w:rsidR="008162AC">
        <w:rPr>
          <w:bCs/>
          <w:sz w:val="19"/>
          <w:szCs w:val="19"/>
          <w:lang w:val="sr-Latn-BA"/>
        </w:rPr>
        <w:t>Borac</w:t>
      </w:r>
      <w:r w:rsidR="006522E0">
        <w:rPr>
          <w:bCs/>
          <w:sz w:val="19"/>
          <w:szCs w:val="19"/>
          <w:lang w:val="sr-Latn-BA"/>
        </w:rPr>
        <w:t xml:space="preserve"> a.d. Trebinje</w:t>
      </w:r>
      <w:r w:rsidRPr="00F44F79">
        <w:rPr>
          <w:bCs/>
          <w:sz w:val="19"/>
          <w:szCs w:val="19"/>
          <w:lang w:val="sr-Latn-BA"/>
        </w:rPr>
        <w:t xml:space="preserve"> za </w:t>
      </w:r>
      <w:r w:rsidR="00373577" w:rsidRPr="00F44F79">
        <w:rPr>
          <w:bCs/>
          <w:sz w:val="19"/>
          <w:szCs w:val="19"/>
          <w:lang w:val="sr-Latn-BA"/>
        </w:rPr>
        <w:t>2014</w:t>
      </w:r>
      <w:r w:rsidRPr="00F44F79">
        <w:rPr>
          <w:bCs/>
          <w:sz w:val="19"/>
          <w:szCs w:val="19"/>
          <w:lang w:val="sr-Latn-BA"/>
        </w:rPr>
        <w:t>. godinu. Revizijom su obuhvaćeni bilans stanja na dan 31.12.</w:t>
      </w:r>
      <w:r w:rsidR="00373577" w:rsidRPr="00F44F79">
        <w:rPr>
          <w:bCs/>
          <w:sz w:val="19"/>
          <w:szCs w:val="19"/>
          <w:lang w:val="sr-Latn-BA"/>
        </w:rPr>
        <w:t>2014</w:t>
      </w:r>
      <w:r w:rsidRPr="00F44F79">
        <w:rPr>
          <w:bCs/>
          <w:sz w:val="19"/>
          <w:szCs w:val="19"/>
          <w:lang w:val="sr-Latn-BA"/>
        </w:rPr>
        <w:t xml:space="preserve">. godine, bilans uspjeha, </w:t>
      </w:r>
      <w:r w:rsidR="004202FF">
        <w:rPr>
          <w:bCs/>
          <w:sz w:val="19"/>
          <w:szCs w:val="19"/>
          <w:lang w:val="sr-Latn-BA"/>
        </w:rPr>
        <w:t>izvještaj o tokovima gotovine</w:t>
      </w:r>
      <w:r w:rsidR="004E4FDF">
        <w:rPr>
          <w:bCs/>
          <w:sz w:val="19"/>
          <w:szCs w:val="19"/>
          <w:lang w:val="sr-Latn-BA"/>
        </w:rPr>
        <w:t xml:space="preserve"> kao i i</w:t>
      </w:r>
      <w:r w:rsidR="00F7429D">
        <w:rPr>
          <w:bCs/>
          <w:sz w:val="19"/>
          <w:szCs w:val="19"/>
          <w:lang w:val="sr-Latn-BA"/>
        </w:rPr>
        <w:t>zvještaj o kapitalu</w:t>
      </w:r>
      <w:r w:rsidR="004202FF">
        <w:rPr>
          <w:bCs/>
          <w:sz w:val="19"/>
          <w:szCs w:val="19"/>
          <w:lang w:val="sr-Latn-BA"/>
        </w:rPr>
        <w:t xml:space="preserve"> </w:t>
      </w:r>
      <w:r w:rsidRPr="00F44F79">
        <w:rPr>
          <w:bCs/>
          <w:sz w:val="19"/>
          <w:szCs w:val="19"/>
          <w:lang w:val="sr-Latn-BA"/>
        </w:rPr>
        <w:t xml:space="preserve">za </w:t>
      </w:r>
      <w:r w:rsidR="00373577" w:rsidRPr="00F44F79">
        <w:rPr>
          <w:bCs/>
          <w:sz w:val="19"/>
          <w:szCs w:val="19"/>
          <w:lang w:val="sr-Latn-BA"/>
        </w:rPr>
        <w:t>2014</w:t>
      </w:r>
      <w:r w:rsidRPr="00F44F79">
        <w:rPr>
          <w:bCs/>
          <w:sz w:val="19"/>
          <w:szCs w:val="19"/>
          <w:lang w:val="sr-Latn-BA"/>
        </w:rPr>
        <w:t xml:space="preserve">. godinu koja se završava na navedeni datum prikazanim na stranicama od </w:t>
      </w:r>
      <w:r w:rsidR="00D65947">
        <w:rPr>
          <w:bCs/>
          <w:sz w:val="19"/>
          <w:szCs w:val="19"/>
          <w:lang w:val="sr-Latn-BA"/>
        </w:rPr>
        <w:t>7</w:t>
      </w:r>
      <w:r w:rsidRPr="00F44F79">
        <w:rPr>
          <w:bCs/>
          <w:sz w:val="19"/>
          <w:szCs w:val="19"/>
          <w:lang w:val="sr-Latn-BA"/>
        </w:rPr>
        <w:t xml:space="preserve"> do 1</w:t>
      </w:r>
      <w:r w:rsidR="00D65947">
        <w:rPr>
          <w:bCs/>
          <w:sz w:val="19"/>
          <w:szCs w:val="19"/>
          <w:lang w:val="sr-Latn-BA"/>
        </w:rPr>
        <w:t>0</w:t>
      </w:r>
      <w:r w:rsidRPr="00F44F79">
        <w:rPr>
          <w:bCs/>
          <w:sz w:val="19"/>
          <w:szCs w:val="19"/>
          <w:lang w:val="sr-Latn-BA"/>
        </w:rPr>
        <w:t xml:space="preserve"> te sažetka značajnih računovodstvenih politika i drugih pripadajućih nota na stranicama 1</w:t>
      </w:r>
      <w:r w:rsidR="003272BB">
        <w:rPr>
          <w:bCs/>
          <w:sz w:val="19"/>
          <w:szCs w:val="19"/>
          <w:lang w:val="sr-Latn-BA"/>
        </w:rPr>
        <w:t>2</w:t>
      </w:r>
      <w:r w:rsidRPr="00F44F79">
        <w:rPr>
          <w:bCs/>
          <w:sz w:val="19"/>
          <w:szCs w:val="19"/>
          <w:lang w:val="sr-Latn-BA"/>
        </w:rPr>
        <w:t xml:space="preserve"> do </w:t>
      </w:r>
      <w:r w:rsidR="004202FF">
        <w:rPr>
          <w:bCs/>
          <w:sz w:val="19"/>
          <w:szCs w:val="19"/>
          <w:lang w:val="sr-Latn-BA"/>
        </w:rPr>
        <w:t>3</w:t>
      </w:r>
      <w:r w:rsidR="003272BB">
        <w:rPr>
          <w:bCs/>
          <w:sz w:val="19"/>
          <w:szCs w:val="19"/>
          <w:lang w:val="sr-Latn-BA"/>
        </w:rPr>
        <w:t>4</w:t>
      </w:r>
      <w:r w:rsidRPr="00F44F79">
        <w:rPr>
          <w:bCs/>
          <w:sz w:val="19"/>
          <w:szCs w:val="19"/>
          <w:lang w:val="sr-Latn-BA"/>
        </w:rPr>
        <w:t>.</w:t>
      </w:r>
    </w:p>
    <w:p w:rsidR="00461A44" w:rsidRPr="00F44F79" w:rsidRDefault="00461A44" w:rsidP="00F44F79">
      <w:pPr>
        <w:spacing w:after="0"/>
        <w:rPr>
          <w:bCs/>
          <w:sz w:val="19"/>
          <w:szCs w:val="19"/>
          <w:lang w:val="sr-Latn-BA"/>
        </w:rPr>
      </w:pPr>
    </w:p>
    <w:p w:rsidR="00461A44" w:rsidRPr="00F44F79" w:rsidRDefault="00461A44" w:rsidP="00F44F79">
      <w:pPr>
        <w:spacing w:after="0"/>
        <w:rPr>
          <w:bCs/>
          <w:sz w:val="19"/>
          <w:szCs w:val="19"/>
          <w:lang w:val="sr-Latn-BA"/>
        </w:rPr>
      </w:pPr>
      <w:r w:rsidRPr="00F44F79">
        <w:rPr>
          <w:bCs/>
          <w:sz w:val="19"/>
          <w:szCs w:val="19"/>
          <w:lang w:val="sr-Latn-BA"/>
        </w:rPr>
        <w:t xml:space="preserve">Za finansijske izvještaje odgovorna je Uprava </w:t>
      </w:r>
      <w:r w:rsidR="004E4FDF">
        <w:rPr>
          <w:bCs/>
          <w:sz w:val="19"/>
          <w:szCs w:val="19"/>
          <w:lang w:val="sr-Latn-BA"/>
        </w:rPr>
        <w:t>Društva</w:t>
      </w:r>
      <w:r w:rsidRPr="00F44F79">
        <w:rPr>
          <w:bCs/>
          <w:sz w:val="19"/>
          <w:szCs w:val="19"/>
          <w:lang w:val="sr-Latn-BA"/>
        </w:rPr>
        <w:t>. Naša odgovornost je da izrazimo mišljenje o tim finansijskim izvještajima zasnovano na reviziji koju smo obavili.</w:t>
      </w:r>
    </w:p>
    <w:p w:rsidR="00461A44" w:rsidRPr="00F44F79" w:rsidRDefault="00461A44" w:rsidP="00F44F79">
      <w:pPr>
        <w:spacing w:after="0"/>
        <w:rPr>
          <w:bCs/>
          <w:sz w:val="19"/>
          <w:szCs w:val="19"/>
          <w:lang w:val="sr-Latn-BA"/>
        </w:rPr>
      </w:pPr>
    </w:p>
    <w:p w:rsidR="00461A44" w:rsidRPr="00F44F79" w:rsidRDefault="00461A44" w:rsidP="00F44F79">
      <w:pPr>
        <w:spacing w:after="0"/>
        <w:rPr>
          <w:bCs/>
          <w:sz w:val="19"/>
          <w:szCs w:val="19"/>
          <w:lang w:val="sr-Latn-BA"/>
        </w:rPr>
      </w:pPr>
    </w:p>
    <w:p w:rsidR="00461A44" w:rsidRPr="00F44F79" w:rsidRDefault="00461A44" w:rsidP="00F44F79">
      <w:pPr>
        <w:spacing w:after="0"/>
        <w:rPr>
          <w:b/>
          <w:bCs/>
          <w:sz w:val="19"/>
          <w:szCs w:val="19"/>
          <w:lang w:val="sr-Latn-BA"/>
        </w:rPr>
      </w:pPr>
      <w:r w:rsidRPr="00F44F79">
        <w:rPr>
          <w:b/>
          <w:bCs/>
          <w:sz w:val="19"/>
          <w:szCs w:val="19"/>
          <w:lang w:val="sr-Latn-BA"/>
        </w:rPr>
        <w:t>Odgovornost</w:t>
      </w:r>
      <w:r w:rsidR="00924717">
        <w:rPr>
          <w:b/>
          <w:bCs/>
          <w:sz w:val="19"/>
          <w:szCs w:val="19"/>
          <w:lang w:val="sr-Latn-BA"/>
        </w:rPr>
        <w:t xml:space="preserve"> </w:t>
      </w:r>
      <w:r w:rsidRPr="00F44F79">
        <w:rPr>
          <w:b/>
          <w:bCs/>
          <w:sz w:val="19"/>
          <w:szCs w:val="19"/>
          <w:lang w:val="sr-Latn-BA"/>
        </w:rPr>
        <w:t>za finansijske izvještaje</w:t>
      </w:r>
    </w:p>
    <w:p w:rsidR="00461A44" w:rsidRPr="00F44F79" w:rsidRDefault="00461A44" w:rsidP="00F44F79">
      <w:pPr>
        <w:spacing w:after="0"/>
        <w:rPr>
          <w:bCs/>
          <w:sz w:val="19"/>
          <w:szCs w:val="19"/>
          <w:lang w:val="sr-Latn-BA"/>
        </w:rPr>
      </w:pPr>
    </w:p>
    <w:p w:rsidR="00461A44" w:rsidRPr="00F44F79" w:rsidRDefault="00461A44" w:rsidP="00F44F79">
      <w:pPr>
        <w:spacing w:after="0"/>
        <w:rPr>
          <w:bCs/>
          <w:sz w:val="19"/>
          <w:szCs w:val="19"/>
          <w:lang w:val="sr-Latn-BA"/>
        </w:rPr>
      </w:pPr>
      <w:r w:rsidRPr="00F44F79">
        <w:rPr>
          <w:bCs/>
          <w:sz w:val="19"/>
          <w:szCs w:val="19"/>
          <w:lang w:val="sr-Latn-BA"/>
        </w:rPr>
        <w:t xml:space="preserve">Uprava </w:t>
      </w:r>
      <w:r w:rsidR="004E4FDF">
        <w:rPr>
          <w:bCs/>
          <w:sz w:val="19"/>
          <w:szCs w:val="19"/>
          <w:lang w:val="sr-Latn-BA"/>
        </w:rPr>
        <w:t>Društva</w:t>
      </w:r>
      <w:r w:rsidRPr="00F44F79">
        <w:rPr>
          <w:bCs/>
          <w:sz w:val="19"/>
          <w:szCs w:val="19"/>
          <w:lang w:val="sr-Latn-BA"/>
        </w:rPr>
        <w:t xml:space="preserve"> odgovorna je za sastavljanje i fer prezentaciju priloženih finansijskih izvještaja u skladu sa Međunarodnim računovodstvenim standardima (MRS) i Međunarodnim standardima fi</w:t>
      </w:r>
      <w:r w:rsidR="00373577" w:rsidRPr="00F44F79">
        <w:rPr>
          <w:bCs/>
          <w:sz w:val="19"/>
          <w:szCs w:val="19"/>
          <w:lang w:val="sr-Latn-BA"/>
        </w:rPr>
        <w:t>nansijskog izvještavanja (MSFI)</w:t>
      </w:r>
      <w:r w:rsidRPr="00F44F79">
        <w:rPr>
          <w:bCs/>
          <w:sz w:val="19"/>
          <w:szCs w:val="19"/>
          <w:lang w:val="sr-Latn-BA"/>
        </w:rPr>
        <w:t>.</w:t>
      </w:r>
    </w:p>
    <w:p w:rsidR="00461A44" w:rsidRPr="00F44F79" w:rsidRDefault="00461A44" w:rsidP="00F44F79">
      <w:pPr>
        <w:spacing w:after="0"/>
        <w:rPr>
          <w:bCs/>
          <w:sz w:val="19"/>
          <w:szCs w:val="19"/>
          <w:lang w:val="sr-Latn-BA"/>
        </w:rPr>
      </w:pPr>
    </w:p>
    <w:p w:rsidR="00461A44" w:rsidRPr="00F44F79" w:rsidRDefault="00461A44" w:rsidP="00F44F79">
      <w:pPr>
        <w:spacing w:after="0"/>
        <w:rPr>
          <w:bCs/>
          <w:sz w:val="19"/>
          <w:szCs w:val="19"/>
          <w:lang w:val="sr-Latn-BA"/>
        </w:rPr>
      </w:pPr>
      <w:r w:rsidRPr="00F44F79">
        <w:rPr>
          <w:bCs/>
          <w:sz w:val="19"/>
          <w:szCs w:val="19"/>
          <w:lang w:val="sr-Latn-BA"/>
        </w:rPr>
        <w:t>Ta odgovornost uključuje: oblikovanje, uvođenje i upravljanje internim kontrolama koje su važne za sastavljanje i fer iskazivanje finansijskih izvještaja bez materijalno značajnih pogrešaka koje su posljedica greške ili prijevare, izbor i primjenu odgovarajućih računovodstvenih politika i razumnih računovodstvenih procjena u danim okolnostima.</w:t>
      </w:r>
    </w:p>
    <w:p w:rsidR="00461A44" w:rsidRPr="00F44F79" w:rsidRDefault="00461A44" w:rsidP="00F44F79">
      <w:pPr>
        <w:spacing w:after="0"/>
        <w:rPr>
          <w:bCs/>
          <w:sz w:val="19"/>
          <w:szCs w:val="19"/>
          <w:lang w:val="sr-Latn-BA"/>
        </w:rPr>
      </w:pPr>
    </w:p>
    <w:p w:rsidR="00461A44" w:rsidRPr="00F44F79" w:rsidRDefault="00461A44" w:rsidP="00F44F79">
      <w:pPr>
        <w:spacing w:after="0"/>
        <w:rPr>
          <w:bCs/>
          <w:sz w:val="19"/>
          <w:szCs w:val="19"/>
          <w:lang w:val="sr-Latn-BA"/>
        </w:rPr>
      </w:pPr>
    </w:p>
    <w:p w:rsidR="00461A44" w:rsidRPr="00F44F79" w:rsidRDefault="00461A44" w:rsidP="00F44F79">
      <w:pPr>
        <w:spacing w:after="0"/>
        <w:rPr>
          <w:b/>
          <w:bCs/>
          <w:sz w:val="19"/>
          <w:szCs w:val="19"/>
          <w:lang w:val="sr-Latn-BA"/>
        </w:rPr>
      </w:pPr>
      <w:r w:rsidRPr="00F44F79">
        <w:rPr>
          <w:b/>
          <w:bCs/>
          <w:sz w:val="19"/>
          <w:szCs w:val="19"/>
          <w:lang w:val="sr-Latn-BA"/>
        </w:rPr>
        <w:t>Odgovornost revizora</w:t>
      </w:r>
    </w:p>
    <w:p w:rsidR="00461A44" w:rsidRPr="00F44F79" w:rsidRDefault="00461A44" w:rsidP="00F44F79">
      <w:pPr>
        <w:spacing w:after="0"/>
        <w:rPr>
          <w:bCs/>
          <w:sz w:val="19"/>
          <w:szCs w:val="19"/>
          <w:lang w:val="sr-Latn-BA"/>
        </w:rPr>
      </w:pPr>
    </w:p>
    <w:p w:rsidR="00461A44" w:rsidRDefault="00461A44" w:rsidP="00F44F79">
      <w:pPr>
        <w:spacing w:after="0"/>
        <w:rPr>
          <w:bCs/>
          <w:sz w:val="19"/>
          <w:szCs w:val="19"/>
          <w:lang w:val="sr-Latn-BA"/>
        </w:rPr>
      </w:pPr>
      <w:r w:rsidRPr="00F44F79">
        <w:rPr>
          <w:bCs/>
          <w:sz w:val="19"/>
          <w:szCs w:val="19"/>
          <w:lang w:val="sr-Latn-BA"/>
        </w:rPr>
        <w:t>Reviziju smo obavili u skladu sa Zakonom o računovodstvu i reviziji Republike Srpske (Službeni glasnik Republike Srpske broj (36/09)</w:t>
      </w:r>
      <w:r w:rsidR="00373577" w:rsidRPr="00F44F79">
        <w:rPr>
          <w:bCs/>
          <w:sz w:val="19"/>
          <w:szCs w:val="19"/>
          <w:lang w:val="sr-Latn-BA"/>
        </w:rPr>
        <w:t xml:space="preserve"> </w:t>
      </w:r>
      <w:r w:rsidRPr="00F44F79">
        <w:rPr>
          <w:bCs/>
          <w:sz w:val="19"/>
          <w:szCs w:val="19"/>
          <w:lang w:val="sr-Latn-BA"/>
        </w:rPr>
        <w:t>i Međunarodnim standardima revizije. Ovi standardi nalažu da reviziju planiramo i izvršimo na način koji omogućava da se, u razumnoj mjeri, uvjerimo da finansijski izvještaji ne sadrže materijalno značajne pogrešne iskaze. Revizija uključuje ispitivanje dokaza, na bazi provjere uzoraka, koji potkrepljuju iznose i objelodanjivanja u finansijskim izvještajima. Revizija uključuje i ocjenu primijenjenih računovodstvenih načela i značajnih procjena izvršenih od strane rukovodstva, kao i ocjenu opšte prezentacije finansijskih izvještaja. Smatramo da revizija koju smo izvršili obezbjeđuje razumnu osnovu za izražavanje mišljenja.</w:t>
      </w:r>
    </w:p>
    <w:p w:rsidR="00F7429D" w:rsidRPr="00F44F79" w:rsidRDefault="00F7429D" w:rsidP="00F44F79">
      <w:pPr>
        <w:spacing w:after="0"/>
        <w:rPr>
          <w:bCs/>
          <w:sz w:val="19"/>
          <w:szCs w:val="19"/>
          <w:lang w:val="sr-Latn-BA"/>
        </w:rPr>
      </w:pPr>
    </w:p>
    <w:p w:rsidR="00461A44" w:rsidRPr="00F44F79" w:rsidRDefault="00461A44" w:rsidP="00F44F79">
      <w:pPr>
        <w:spacing w:after="0"/>
        <w:rPr>
          <w:b/>
          <w:bCs/>
          <w:sz w:val="19"/>
          <w:szCs w:val="19"/>
          <w:lang w:val="sr-Latn-BA"/>
        </w:rPr>
      </w:pPr>
      <w:r w:rsidRPr="00F44F79">
        <w:rPr>
          <w:b/>
          <w:bCs/>
          <w:sz w:val="19"/>
          <w:szCs w:val="19"/>
          <w:lang w:val="sr-Latn-BA"/>
        </w:rPr>
        <w:t>Mišljenje nezavisnog revizora</w:t>
      </w:r>
    </w:p>
    <w:p w:rsidR="00461A44" w:rsidRPr="00F44F79" w:rsidRDefault="00461A44" w:rsidP="00F44F79">
      <w:pPr>
        <w:spacing w:after="0"/>
        <w:rPr>
          <w:bCs/>
          <w:sz w:val="19"/>
          <w:szCs w:val="19"/>
          <w:lang w:val="sr-Latn-BA"/>
        </w:rPr>
      </w:pPr>
    </w:p>
    <w:p w:rsidR="00461A44" w:rsidRPr="00F44F79" w:rsidRDefault="00461A44" w:rsidP="00F44F79">
      <w:pPr>
        <w:spacing w:after="0"/>
        <w:rPr>
          <w:bCs/>
          <w:sz w:val="19"/>
          <w:szCs w:val="19"/>
          <w:lang w:val="sr-Latn-BA"/>
        </w:rPr>
      </w:pPr>
      <w:r w:rsidRPr="00F44F79">
        <w:rPr>
          <w:bCs/>
          <w:sz w:val="19"/>
          <w:szCs w:val="19"/>
          <w:lang w:val="sr-Latn-BA"/>
        </w:rPr>
        <w:t xml:space="preserve">Po našem mišljenju finansijski izvještaji fer i objektivno, po svim materijalno značajnim aspektima, prikazuju imovinski i finansijski položaj </w:t>
      </w:r>
      <w:r w:rsidR="008162AC">
        <w:rPr>
          <w:bCs/>
          <w:sz w:val="19"/>
          <w:szCs w:val="19"/>
          <w:lang w:val="sr-Latn-BA"/>
        </w:rPr>
        <w:t>Borac</w:t>
      </w:r>
      <w:r w:rsidR="006522E0">
        <w:rPr>
          <w:bCs/>
          <w:sz w:val="19"/>
          <w:szCs w:val="19"/>
          <w:lang w:val="sr-Latn-BA"/>
        </w:rPr>
        <w:t xml:space="preserve"> a.d. Trebinje</w:t>
      </w:r>
      <w:r w:rsidRPr="00F44F79">
        <w:rPr>
          <w:bCs/>
          <w:sz w:val="19"/>
          <w:szCs w:val="19"/>
          <w:lang w:val="sr-Latn-BA"/>
        </w:rPr>
        <w:t xml:space="preserve"> na dan 31.12.</w:t>
      </w:r>
      <w:r w:rsidR="00373577" w:rsidRPr="00F44F79">
        <w:rPr>
          <w:bCs/>
          <w:sz w:val="19"/>
          <w:szCs w:val="19"/>
          <w:lang w:val="sr-Latn-BA"/>
        </w:rPr>
        <w:t>2014</w:t>
      </w:r>
      <w:r w:rsidRPr="00F44F79">
        <w:rPr>
          <w:bCs/>
          <w:sz w:val="19"/>
          <w:szCs w:val="19"/>
          <w:lang w:val="sr-Latn-BA"/>
        </w:rPr>
        <w:t xml:space="preserve">. godine, rezultate poslovanja i tokove gotovine u </w:t>
      </w:r>
      <w:r w:rsidR="00373577" w:rsidRPr="00F44F79">
        <w:rPr>
          <w:bCs/>
          <w:sz w:val="19"/>
          <w:szCs w:val="19"/>
          <w:lang w:val="sr-Latn-BA"/>
        </w:rPr>
        <w:t>2014</w:t>
      </w:r>
      <w:r w:rsidR="004202FF">
        <w:rPr>
          <w:bCs/>
          <w:sz w:val="19"/>
          <w:szCs w:val="19"/>
          <w:lang w:val="sr-Latn-BA"/>
        </w:rPr>
        <w:t xml:space="preserve">. godini </w:t>
      </w:r>
      <w:r w:rsidR="008162AC">
        <w:rPr>
          <w:bCs/>
          <w:sz w:val="19"/>
          <w:szCs w:val="19"/>
          <w:lang w:val="sr-Latn-BA"/>
        </w:rPr>
        <w:t>Borac</w:t>
      </w:r>
      <w:r w:rsidR="006522E0">
        <w:rPr>
          <w:bCs/>
          <w:sz w:val="19"/>
          <w:szCs w:val="19"/>
          <w:lang w:val="sr-Latn-BA"/>
        </w:rPr>
        <w:t xml:space="preserve"> a.d. Trebinje</w:t>
      </w:r>
      <w:r w:rsidRPr="00F44F79">
        <w:rPr>
          <w:bCs/>
          <w:sz w:val="19"/>
          <w:szCs w:val="19"/>
          <w:lang w:val="sr-Latn-BA"/>
        </w:rPr>
        <w:t xml:space="preserve"> na dan 31.12.</w:t>
      </w:r>
      <w:r w:rsidR="00373577" w:rsidRPr="00F44F79">
        <w:rPr>
          <w:bCs/>
          <w:sz w:val="19"/>
          <w:szCs w:val="19"/>
          <w:lang w:val="sr-Latn-BA"/>
        </w:rPr>
        <w:t>2014</w:t>
      </w:r>
      <w:r w:rsidRPr="00F44F79">
        <w:rPr>
          <w:bCs/>
          <w:sz w:val="19"/>
          <w:szCs w:val="19"/>
          <w:lang w:val="sr-Latn-BA"/>
        </w:rPr>
        <w:t>. godine.</w:t>
      </w:r>
    </w:p>
    <w:p w:rsidR="00461A44" w:rsidRDefault="00461A44" w:rsidP="00F44F79">
      <w:pPr>
        <w:spacing w:after="0"/>
        <w:rPr>
          <w:bCs/>
          <w:sz w:val="19"/>
          <w:szCs w:val="19"/>
          <w:lang w:val="sr-Latn-BA"/>
        </w:rPr>
      </w:pPr>
    </w:p>
    <w:p w:rsidR="006676F0" w:rsidRPr="00F44F79" w:rsidRDefault="00DE2401" w:rsidP="00F44F79">
      <w:pPr>
        <w:spacing w:after="0"/>
        <w:rPr>
          <w:bCs/>
          <w:sz w:val="19"/>
          <w:szCs w:val="19"/>
          <w:lang w:val="sr-Latn-BA"/>
        </w:rPr>
      </w:pPr>
      <w:r>
        <w:rPr>
          <w:bCs/>
          <w:sz w:val="19"/>
          <w:szCs w:val="19"/>
          <w:lang w:val="sr-Latn-BA"/>
        </w:rPr>
        <w:t>Broj: 45</w:t>
      </w:r>
      <w:r w:rsidR="006676F0">
        <w:rPr>
          <w:bCs/>
          <w:sz w:val="19"/>
          <w:szCs w:val="19"/>
          <w:lang w:val="sr-Latn-BA"/>
        </w:rPr>
        <w:t>-04/15</w:t>
      </w:r>
    </w:p>
    <w:p w:rsidR="006475F9" w:rsidRDefault="006475F9" w:rsidP="00F44F79">
      <w:pPr>
        <w:spacing w:after="0"/>
        <w:rPr>
          <w:b/>
          <w:bCs/>
          <w:iCs/>
          <w:sz w:val="19"/>
          <w:szCs w:val="19"/>
          <w:lang w:val="hr-BA"/>
        </w:rPr>
      </w:pPr>
    </w:p>
    <w:p w:rsidR="006676F0" w:rsidRPr="00F44F79" w:rsidRDefault="006676F0" w:rsidP="00F44F79">
      <w:pPr>
        <w:spacing w:after="0"/>
        <w:rPr>
          <w:b/>
          <w:bCs/>
          <w:iCs/>
          <w:sz w:val="19"/>
          <w:szCs w:val="19"/>
          <w:lang w:val="hr-BA"/>
        </w:rPr>
      </w:pPr>
    </w:p>
    <w:p w:rsidR="006475F9" w:rsidRPr="00F44F79" w:rsidRDefault="006475F9" w:rsidP="00F44F79">
      <w:pPr>
        <w:spacing w:after="0"/>
        <w:rPr>
          <w:b/>
          <w:bCs/>
          <w:iCs/>
          <w:sz w:val="19"/>
          <w:szCs w:val="19"/>
          <w:lang w:val="hr-BA"/>
        </w:rPr>
      </w:pPr>
    </w:p>
    <w:p w:rsidR="006475F9" w:rsidRPr="00F44F79" w:rsidRDefault="006475F9" w:rsidP="00F44F79">
      <w:pPr>
        <w:spacing w:after="0"/>
        <w:rPr>
          <w:b/>
          <w:bCs/>
          <w:iCs/>
          <w:sz w:val="19"/>
          <w:szCs w:val="19"/>
          <w:lang w:val="hr-BA"/>
        </w:rPr>
      </w:pPr>
      <w:r w:rsidRPr="00F44F79">
        <w:rPr>
          <w:b/>
          <w:bCs/>
          <w:iCs/>
          <w:sz w:val="19"/>
          <w:szCs w:val="19"/>
          <w:lang w:val="hr-BA"/>
        </w:rPr>
        <w:t>Revident d.o.o. Grude</w:t>
      </w: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r w:rsidRPr="00F44F79">
        <w:rPr>
          <w:bCs/>
          <w:iCs/>
          <w:sz w:val="19"/>
          <w:szCs w:val="19"/>
          <w:lang w:val="hr-BA"/>
        </w:rPr>
        <w:t>Branka Vukoja, dipl.oec.</w:t>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t xml:space="preserve">prof.dr. sc. </w:t>
      </w:r>
      <w:r w:rsidR="004E4FDF">
        <w:rPr>
          <w:bCs/>
          <w:iCs/>
          <w:sz w:val="19"/>
          <w:szCs w:val="19"/>
          <w:lang w:val="hr-BA"/>
        </w:rPr>
        <w:t>Božo Vukoja</w:t>
      </w:r>
      <w:r w:rsidRPr="00F44F79">
        <w:rPr>
          <w:bCs/>
          <w:iCs/>
          <w:sz w:val="19"/>
          <w:szCs w:val="19"/>
          <w:lang w:val="hr-BA"/>
        </w:rPr>
        <w:t>,dipl.oec</w:t>
      </w:r>
    </w:p>
    <w:p w:rsidR="006475F9" w:rsidRPr="00F44F79" w:rsidRDefault="006475F9" w:rsidP="00F44F79">
      <w:pPr>
        <w:spacing w:after="0"/>
        <w:rPr>
          <w:bCs/>
          <w:iCs/>
          <w:sz w:val="19"/>
          <w:szCs w:val="19"/>
          <w:lang w:val="hr-BA"/>
        </w:rPr>
      </w:pPr>
      <w:r w:rsidRPr="00F44F79">
        <w:rPr>
          <w:bCs/>
          <w:iCs/>
          <w:sz w:val="19"/>
          <w:szCs w:val="19"/>
          <w:lang w:val="hr-BA"/>
        </w:rPr>
        <w:tab/>
        <w:t>direktor</w:t>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t>ovlašteni revizor</w:t>
      </w: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004E4FDF" w:rsidRPr="00F44F79">
        <w:rPr>
          <w:bCs/>
          <w:iCs/>
          <w:sz w:val="19"/>
          <w:szCs w:val="19"/>
          <w:lang w:val="hr-BA"/>
        </w:rPr>
        <w:t>prof.dr. sc. Milenko Krunić,dipl.oec</w:t>
      </w:r>
    </w:p>
    <w:p w:rsidR="006475F9" w:rsidRPr="00F44F79" w:rsidRDefault="006475F9" w:rsidP="00F44F79">
      <w:pPr>
        <w:spacing w:after="0"/>
        <w:rPr>
          <w:bCs/>
          <w:iCs/>
          <w:sz w:val="19"/>
          <w:szCs w:val="19"/>
          <w:lang w:val="hr-BA"/>
        </w:rPr>
      </w:pP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r>
      <w:r w:rsidRPr="00F44F79">
        <w:rPr>
          <w:bCs/>
          <w:iCs/>
          <w:sz w:val="19"/>
          <w:szCs w:val="19"/>
          <w:lang w:val="hr-BA"/>
        </w:rPr>
        <w:tab/>
        <w:t>ovlašteni revizor</w:t>
      </w: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p>
    <w:p w:rsidR="006475F9" w:rsidRPr="00F44F79" w:rsidRDefault="006475F9" w:rsidP="00F44F79">
      <w:pPr>
        <w:spacing w:after="0"/>
        <w:rPr>
          <w:bCs/>
          <w:iCs/>
          <w:sz w:val="19"/>
          <w:szCs w:val="19"/>
          <w:lang w:val="hr-BA"/>
        </w:rPr>
      </w:pPr>
      <w:r w:rsidRPr="00F44F79">
        <w:rPr>
          <w:bCs/>
          <w:iCs/>
          <w:sz w:val="19"/>
          <w:szCs w:val="19"/>
          <w:lang w:val="hr-BA"/>
        </w:rPr>
        <w:t>Grude, Bosna i Hercegovina</w:t>
      </w:r>
    </w:p>
    <w:p w:rsidR="006475F9" w:rsidRPr="006676F0" w:rsidRDefault="00DE2401" w:rsidP="00F44F79">
      <w:pPr>
        <w:spacing w:after="0"/>
        <w:rPr>
          <w:bCs/>
          <w:iCs/>
          <w:sz w:val="19"/>
          <w:szCs w:val="19"/>
          <w:lang w:val="hr-BA"/>
        </w:rPr>
      </w:pPr>
      <w:r w:rsidRPr="00DE2401">
        <w:rPr>
          <w:bCs/>
          <w:iCs/>
          <w:sz w:val="19"/>
          <w:szCs w:val="19"/>
          <w:lang w:val="hr-BA"/>
        </w:rPr>
        <w:t>04.05.</w:t>
      </w:r>
      <w:r w:rsidR="006475F9" w:rsidRPr="00DE2401">
        <w:rPr>
          <w:bCs/>
          <w:iCs/>
          <w:sz w:val="19"/>
          <w:szCs w:val="19"/>
          <w:lang w:val="hr-BA"/>
        </w:rPr>
        <w:t>2015.</w:t>
      </w:r>
      <w:r w:rsidR="006475F9" w:rsidRPr="006676F0">
        <w:rPr>
          <w:bCs/>
          <w:iCs/>
          <w:sz w:val="19"/>
          <w:szCs w:val="19"/>
          <w:lang w:val="hr-BA"/>
        </w:rPr>
        <w:t xml:space="preserve"> godine</w:t>
      </w:r>
    </w:p>
    <w:p w:rsidR="006475F9" w:rsidRPr="00F44F79" w:rsidRDefault="006475F9" w:rsidP="00F44F79">
      <w:pPr>
        <w:spacing w:after="0"/>
        <w:rPr>
          <w:sz w:val="19"/>
          <w:szCs w:val="19"/>
          <w:lang w:val="hr-BA"/>
        </w:rPr>
      </w:pPr>
    </w:p>
    <w:p w:rsidR="006475F9" w:rsidRPr="00F44F79" w:rsidRDefault="006475F9" w:rsidP="00F44F79">
      <w:pPr>
        <w:spacing w:after="0"/>
        <w:rPr>
          <w:sz w:val="19"/>
          <w:szCs w:val="19"/>
          <w:lang w:val="hr-BA"/>
        </w:rPr>
      </w:pPr>
    </w:p>
    <w:p w:rsidR="006475F9" w:rsidRPr="00F44F79" w:rsidRDefault="006475F9" w:rsidP="00F44F79">
      <w:pPr>
        <w:spacing w:after="0"/>
        <w:rPr>
          <w:sz w:val="19"/>
          <w:szCs w:val="19"/>
          <w:lang w:val="hr-BA"/>
        </w:rPr>
      </w:pPr>
    </w:p>
    <w:p w:rsidR="006475F9" w:rsidRPr="00F44F79" w:rsidRDefault="006475F9" w:rsidP="00F44F79">
      <w:pPr>
        <w:spacing w:after="0"/>
        <w:rPr>
          <w:sz w:val="19"/>
          <w:szCs w:val="19"/>
        </w:rPr>
        <w:sectPr w:rsidR="006475F9" w:rsidRPr="00F44F79" w:rsidSect="00BB44FE">
          <w:pgSz w:w="11906" w:h="16838"/>
          <w:pgMar w:top="1417" w:right="1417" w:bottom="1417" w:left="1417" w:header="708" w:footer="708" w:gutter="0"/>
          <w:cols w:space="708"/>
          <w:docGrid w:linePitch="360"/>
        </w:sectPr>
      </w:pPr>
    </w:p>
    <w:p w:rsidR="006475F9" w:rsidRDefault="006475F9" w:rsidP="00472B61">
      <w:pPr>
        <w:spacing w:after="0"/>
        <w:jc w:val="center"/>
        <w:rPr>
          <w:sz w:val="19"/>
          <w:szCs w:val="19"/>
        </w:rPr>
      </w:pPr>
    </w:p>
    <w:tbl>
      <w:tblPr>
        <w:tblW w:w="9076" w:type="dxa"/>
        <w:jc w:val="center"/>
        <w:tblInd w:w="108" w:type="dxa"/>
        <w:tblLook w:val="04A0"/>
      </w:tblPr>
      <w:tblGrid>
        <w:gridCol w:w="5036"/>
        <w:gridCol w:w="936"/>
        <w:gridCol w:w="296"/>
        <w:gridCol w:w="1256"/>
        <w:gridCol w:w="296"/>
        <w:gridCol w:w="1256"/>
      </w:tblGrid>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Nota</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2013</w:t>
            </w: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Ostali poslovni prihodi</w:t>
            </w:r>
          </w:p>
        </w:tc>
        <w:tc>
          <w:tcPr>
            <w:tcW w:w="936" w:type="dxa"/>
            <w:tcBorders>
              <w:top w:val="nil"/>
              <w:left w:val="nil"/>
              <w:bottom w:val="nil"/>
              <w:right w:val="nil"/>
            </w:tcBorders>
            <w:shd w:val="clear" w:color="000000" w:fill="FFFFFF"/>
            <w:noWrap/>
            <w:vAlign w:val="center"/>
            <w:hideMark/>
          </w:tcPr>
          <w:p w:rsidR="008162AC" w:rsidRPr="008162AC" w:rsidRDefault="008162AC" w:rsidP="008162AC">
            <w:pPr>
              <w:spacing w:after="0" w:line="240" w:lineRule="auto"/>
              <w:jc w:val="center"/>
              <w:rPr>
                <w:rFonts w:eastAsia="Times New Roman"/>
                <w:sz w:val="19"/>
                <w:szCs w:val="19"/>
                <w:lang w:eastAsia="hr-HR"/>
              </w:rPr>
            </w:pPr>
            <w:r w:rsidRPr="008162AC">
              <w:rPr>
                <w:rFonts w:eastAsia="Times New Roman"/>
                <w:sz w:val="19"/>
                <w:szCs w:val="19"/>
                <w:lang w:eastAsia="hr-HR"/>
              </w:rPr>
              <w:t>4</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61.880</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42.899</w:t>
            </w:r>
          </w:p>
        </w:tc>
      </w:tr>
      <w:tr w:rsidR="008162AC" w:rsidRPr="008162AC" w:rsidTr="008162AC">
        <w:trPr>
          <w:trHeight w:val="102"/>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Poslovni prihodi</w:t>
            </w: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61.880</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42.899</w:t>
            </w:r>
          </w:p>
        </w:tc>
      </w:tr>
      <w:tr w:rsidR="008162AC" w:rsidRPr="008162AC" w:rsidTr="008162AC">
        <w:trPr>
          <w:trHeight w:val="102"/>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Troškovi zarada, naknada zarada i ostalih ličnih rashoda</w:t>
            </w:r>
          </w:p>
        </w:tc>
        <w:tc>
          <w:tcPr>
            <w:tcW w:w="936" w:type="dxa"/>
            <w:tcBorders>
              <w:top w:val="nil"/>
              <w:left w:val="nil"/>
              <w:bottom w:val="nil"/>
              <w:right w:val="nil"/>
            </w:tcBorders>
            <w:shd w:val="clear" w:color="000000" w:fill="FFFFFF"/>
            <w:noWrap/>
            <w:vAlign w:val="center"/>
            <w:hideMark/>
          </w:tcPr>
          <w:p w:rsidR="008162AC" w:rsidRPr="008162AC" w:rsidRDefault="008162AC" w:rsidP="008162AC">
            <w:pPr>
              <w:spacing w:after="0" w:line="240" w:lineRule="auto"/>
              <w:jc w:val="center"/>
              <w:rPr>
                <w:rFonts w:eastAsia="Times New Roman"/>
                <w:sz w:val="19"/>
                <w:szCs w:val="19"/>
                <w:lang w:eastAsia="hr-HR"/>
              </w:rPr>
            </w:pPr>
            <w:r w:rsidRPr="008162AC">
              <w:rPr>
                <w:rFonts w:eastAsia="Times New Roman"/>
                <w:sz w:val="19"/>
                <w:szCs w:val="19"/>
                <w:lang w:eastAsia="hr-HR"/>
              </w:rPr>
              <w:t>5</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(28.569)</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(19.124)</w:t>
            </w: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Troškovi proizvodnih usluga</w:t>
            </w:r>
          </w:p>
        </w:tc>
        <w:tc>
          <w:tcPr>
            <w:tcW w:w="936" w:type="dxa"/>
            <w:tcBorders>
              <w:top w:val="nil"/>
              <w:left w:val="nil"/>
              <w:bottom w:val="nil"/>
              <w:right w:val="nil"/>
            </w:tcBorders>
            <w:shd w:val="clear" w:color="000000" w:fill="FFFFFF"/>
            <w:noWrap/>
            <w:vAlign w:val="center"/>
            <w:hideMark/>
          </w:tcPr>
          <w:p w:rsidR="008162AC" w:rsidRPr="008162AC" w:rsidRDefault="008162AC" w:rsidP="008162AC">
            <w:pPr>
              <w:spacing w:after="0" w:line="240" w:lineRule="auto"/>
              <w:jc w:val="center"/>
              <w:rPr>
                <w:rFonts w:eastAsia="Times New Roman"/>
                <w:sz w:val="19"/>
                <w:szCs w:val="19"/>
                <w:lang w:eastAsia="hr-HR"/>
              </w:rPr>
            </w:pPr>
            <w:r w:rsidRPr="008162AC">
              <w:rPr>
                <w:rFonts w:eastAsia="Times New Roman"/>
                <w:sz w:val="19"/>
                <w:szCs w:val="19"/>
                <w:lang w:eastAsia="hr-HR"/>
              </w:rPr>
              <w:t>6</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(2.474)</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(3.004)</w:t>
            </w: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Amortizacija</w:t>
            </w:r>
          </w:p>
        </w:tc>
        <w:tc>
          <w:tcPr>
            <w:tcW w:w="936" w:type="dxa"/>
            <w:tcBorders>
              <w:top w:val="nil"/>
              <w:left w:val="nil"/>
              <w:bottom w:val="nil"/>
              <w:right w:val="nil"/>
            </w:tcBorders>
            <w:shd w:val="clear" w:color="000000" w:fill="FFFFFF"/>
            <w:noWrap/>
            <w:vAlign w:val="center"/>
            <w:hideMark/>
          </w:tcPr>
          <w:p w:rsidR="008162AC" w:rsidRPr="008162AC" w:rsidRDefault="008162AC" w:rsidP="008162AC">
            <w:pPr>
              <w:spacing w:after="0" w:line="240" w:lineRule="auto"/>
              <w:jc w:val="center"/>
              <w:rPr>
                <w:rFonts w:eastAsia="Times New Roman"/>
                <w:sz w:val="19"/>
                <w:szCs w:val="19"/>
                <w:lang w:eastAsia="hr-HR"/>
              </w:rPr>
            </w:pPr>
            <w:r w:rsidRPr="008162AC">
              <w:rPr>
                <w:rFonts w:eastAsia="Times New Roman"/>
                <w:sz w:val="19"/>
                <w:szCs w:val="19"/>
                <w:lang w:eastAsia="hr-HR"/>
              </w:rPr>
              <w:t>7</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(7.145)</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(9.325)</w:t>
            </w: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Nematerijalni troškovi (bez poreza i doprinosa)</w:t>
            </w:r>
          </w:p>
        </w:tc>
        <w:tc>
          <w:tcPr>
            <w:tcW w:w="936" w:type="dxa"/>
            <w:tcBorders>
              <w:top w:val="nil"/>
              <w:left w:val="nil"/>
              <w:bottom w:val="nil"/>
              <w:right w:val="nil"/>
            </w:tcBorders>
            <w:shd w:val="clear" w:color="000000" w:fill="FFFFFF"/>
            <w:noWrap/>
            <w:vAlign w:val="center"/>
            <w:hideMark/>
          </w:tcPr>
          <w:p w:rsidR="008162AC" w:rsidRPr="008162AC" w:rsidRDefault="008162AC" w:rsidP="008162AC">
            <w:pPr>
              <w:spacing w:after="0" w:line="240" w:lineRule="auto"/>
              <w:jc w:val="center"/>
              <w:rPr>
                <w:rFonts w:eastAsia="Times New Roman"/>
                <w:sz w:val="19"/>
                <w:szCs w:val="19"/>
                <w:lang w:eastAsia="hr-HR"/>
              </w:rPr>
            </w:pPr>
            <w:r w:rsidRPr="008162AC">
              <w:rPr>
                <w:rFonts w:eastAsia="Times New Roman"/>
                <w:sz w:val="19"/>
                <w:szCs w:val="19"/>
                <w:lang w:eastAsia="hr-HR"/>
              </w:rPr>
              <w:t>8</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(4.813)</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(3.613)</w:t>
            </w: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Troškovi poreza</w:t>
            </w:r>
          </w:p>
        </w:tc>
        <w:tc>
          <w:tcPr>
            <w:tcW w:w="936" w:type="dxa"/>
            <w:tcBorders>
              <w:top w:val="nil"/>
              <w:left w:val="nil"/>
              <w:bottom w:val="nil"/>
              <w:right w:val="nil"/>
            </w:tcBorders>
            <w:shd w:val="clear" w:color="000000" w:fill="FFFFFF"/>
            <w:noWrap/>
            <w:vAlign w:val="center"/>
            <w:hideMark/>
          </w:tcPr>
          <w:p w:rsidR="008162AC" w:rsidRPr="008162AC" w:rsidRDefault="008162AC" w:rsidP="008162AC">
            <w:pPr>
              <w:spacing w:after="0" w:line="240" w:lineRule="auto"/>
              <w:jc w:val="center"/>
              <w:rPr>
                <w:rFonts w:eastAsia="Times New Roman"/>
                <w:sz w:val="19"/>
                <w:szCs w:val="19"/>
                <w:lang w:eastAsia="hr-HR"/>
              </w:rPr>
            </w:pPr>
            <w:r w:rsidRPr="008162AC">
              <w:rPr>
                <w:rFonts w:eastAsia="Times New Roman"/>
                <w:sz w:val="19"/>
                <w:szCs w:val="19"/>
                <w:lang w:eastAsia="hr-HR"/>
              </w:rPr>
              <w:t>9</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(16.820)</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(7.325)</w:t>
            </w: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Troškovi doprinosa</w:t>
            </w:r>
          </w:p>
        </w:tc>
        <w:tc>
          <w:tcPr>
            <w:tcW w:w="936" w:type="dxa"/>
            <w:tcBorders>
              <w:top w:val="nil"/>
              <w:left w:val="nil"/>
              <w:bottom w:val="nil"/>
              <w:right w:val="nil"/>
            </w:tcBorders>
            <w:shd w:val="clear" w:color="000000" w:fill="FFFFFF"/>
            <w:noWrap/>
            <w:vAlign w:val="center"/>
            <w:hideMark/>
          </w:tcPr>
          <w:p w:rsidR="008162AC" w:rsidRPr="008162AC" w:rsidRDefault="008162AC" w:rsidP="008162AC">
            <w:pPr>
              <w:spacing w:after="0" w:line="240" w:lineRule="auto"/>
              <w:jc w:val="center"/>
              <w:rPr>
                <w:rFonts w:eastAsia="Times New Roman"/>
                <w:sz w:val="19"/>
                <w:szCs w:val="19"/>
                <w:lang w:eastAsia="hr-HR"/>
              </w:rPr>
            </w:pPr>
            <w:r w:rsidRPr="008162AC">
              <w:rPr>
                <w:rFonts w:eastAsia="Times New Roman"/>
                <w:sz w:val="19"/>
                <w:szCs w:val="19"/>
                <w:lang w:eastAsia="hr-HR"/>
              </w:rPr>
              <w:t>10</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(209)</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(19)</w:t>
            </w:r>
          </w:p>
        </w:tc>
      </w:tr>
      <w:tr w:rsidR="008162AC" w:rsidRPr="008162AC" w:rsidTr="008162AC">
        <w:trPr>
          <w:trHeight w:val="102"/>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Poslovni rashodi</w:t>
            </w: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(60.030)</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(42.410)</w:t>
            </w:r>
          </w:p>
        </w:tc>
      </w:tr>
      <w:tr w:rsidR="008162AC" w:rsidRPr="008162AC" w:rsidTr="008162AC">
        <w:trPr>
          <w:trHeight w:val="102"/>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Dobit/(gubitak) od poslovnih aktivnosti</w:t>
            </w: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1.850</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489</w:t>
            </w:r>
          </w:p>
        </w:tc>
      </w:tr>
      <w:tr w:rsidR="008162AC" w:rsidRPr="008162AC" w:rsidTr="008162AC">
        <w:trPr>
          <w:trHeight w:val="102"/>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Ostali prihodi</w:t>
            </w:r>
          </w:p>
        </w:tc>
        <w:tc>
          <w:tcPr>
            <w:tcW w:w="936" w:type="dxa"/>
            <w:tcBorders>
              <w:top w:val="nil"/>
              <w:left w:val="nil"/>
              <w:bottom w:val="nil"/>
              <w:right w:val="nil"/>
            </w:tcBorders>
            <w:shd w:val="clear" w:color="000000" w:fill="FFFFFF"/>
            <w:noWrap/>
            <w:vAlign w:val="center"/>
            <w:hideMark/>
          </w:tcPr>
          <w:p w:rsidR="008162AC" w:rsidRPr="008162AC" w:rsidRDefault="008162AC" w:rsidP="008162AC">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3.691</w:t>
            </w: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Ostali rashodi</w:t>
            </w:r>
          </w:p>
        </w:tc>
        <w:tc>
          <w:tcPr>
            <w:tcW w:w="936" w:type="dxa"/>
            <w:tcBorders>
              <w:top w:val="nil"/>
              <w:left w:val="nil"/>
              <w:bottom w:val="nil"/>
              <w:right w:val="nil"/>
            </w:tcBorders>
            <w:shd w:val="clear" w:color="000000" w:fill="FFFFFF"/>
            <w:noWrap/>
            <w:vAlign w:val="center"/>
            <w:hideMark/>
          </w:tcPr>
          <w:p w:rsidR="008162AC" w:rsidRPr="008162AC" w:rsidRDefault="008162AC" w:rsidP="008162AC">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(2.778)</w:t>
            </w:r>
          </w:p>
        </w:tc>
      </w:tr>
      <w:tr w:rsidR="008162AC" w:rsidRPr="008162AC" w:rsidTr="008162AC">
        <w:trPr>
          <w:trHeight w:val="102"/>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Dobit/(gubitak) od ostalih aktivnosti</w:t>
            </w: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913</w:t>
            </w:r>
          </w:p>
        </w:tc>
      </w:tr>
      <w:tr w:rsidR="008162AC" w:rsidRPr="008162AC" w:rsidTr="008162AC">
        <w:trPr>
          <w:trHeight w:val="102"/>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Dobit/(gubitak) prije poreza</w:t>
            </w: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1.850</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1.402</w:t>
            </w:r>
          </w:p>
        </w:tc>
      </w:tr>
      <w:tr w:rsidR="008162AC" w:rsidRPr="008162AC" w:rsidTr="008162AC">
        <w:trPr>
          <w:trHeight w:val="102"/>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b/>
                <w:bCs/>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Poreski rashodi perioda</w:t>
            </w: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(185)</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(418)</w:t>
            </w:r>
          </w:p>
        </w:tc>
      </w:tr>
      <w:tr w:rsidR="008162AC" w:rsidRPr="008162AC" w:rsidTr="008162AC">
        <w:trPr>
          <w:trHeight w:val="102"/>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jc w:val="center"/>
        </w:trPr>
        <w:tc>
          <w:tcPr>
            <w:tcW w:w="50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Neto dobit/(gubitak)</w:t>
            </w:r>
          </w:p>
        </w:tc>
        <w:tc>
          <w:tcPr>
            <w:tcW w:w="93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1.665</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984</w:t>
            </w:r>
          </w:p>
        </w:tc>
      </w:tr>
    </w:tbl>
    <w:p w:rsidR="00B44149" w:rsidRDefault="00B44149" w:rsidP="00472B61">
      <w:pPr>
        <w:spacing w:after="0"/>
        <w:jc w:val="center"/>
        <w:rPr>
          <w:sz w:val="19"/>
          <w:szCs w:val="19"/>
        </w:rPr>
      </w:pPr>
    </w:p>
    <w:p w:rsidR="00097F7B" w:rsidRPr="00F44F79" w:rsidRDefault="00097F7B" w:rsidP="00F44F79">
      <w:pPr>
        <w:spacing w:after="0"/>
        <w:rPr>
          <w:bCs/>
          <w:iCs/>
          <w:sz w:val="19"/>
          <w:szCs w:val="19"/>
          <w:lang w:val="hr-BA"/>
        </w:rPr>
      </w:pPr>
    </w:p>
    <w:p w:rsidR="00874875" w:rsidRPr="00F44F79" w:rsidRDefault="00874875" w:rsidP="00F44F79">
      <w:pPr>
        <w:spacing w:after="0"/>
        <w:jc w:val="center"/>
        <w:rPr>
          <w:bCs/>
          <w:iCs/>
          <w:sz w:val="19"/>
          <w:szCs w:val="19"/>
          <w:lang w:val="hr-BA"/>
        </w:rPr>
        <w:sectPr w:rsidR="00874875" w:rsidRPr="00F44F79" w:rsidSect="00BB44FE">
          <w:headerReference w:type="default" r:id="rId11"/>
          <w:pgSz w:w="11906" w:h="16838"/>
          <w:pgMar w:top="1417" w:right="1417" w:bottom="1417" w:left="1417" w:header="708" w:footer="708" w:gutter="0"/>
          <w:cols w:space="708"/>
          <w:docGrid w:linePitch="360"/>
        </w:sectPr>
      </w:pPr>
      <w:r w:rsidRPr="00F44F79">
        <w:rPr>
          <w:bCs/>
          <w:iCs/>
          <w:sz w:val="19"/>
          <w:szCs w:val="19"/>
          <w:lang w:val="hr-BA"/>
        </w:rPr>
        <w:t xml:space="preserve">Priložene </w:t>
      </w:r>
      <w:r w:rsidR="00703B36">
        <w:rPr>
          <w:bCs/>
          <w:iCs/>
          <w:sz w:val="19"/>
          <w:szCs w:val="19"/>
          <w:lang w:val="hr-BA"/>
        </w:rPr>
        <w:t>note</w:t>
      </w:r>
      <w:r w:rsidRPr="00F44F79">
        <w:rPr>
          <w:bCs/>
          <w:iCs/>
          <w:sz w:val="19"/>
          <w:szCs w:val="19"/>
          <w:lang w:val="hr-BA"/>
        </w:rPr>
        <w:t xml:space="preserve"> sastavni su dio ovih finan</w:t>
      </w:r>
      <w:r w:rsidR="00F44F79">
        <w:rPr>
          <w:bCs/>
          <w:iCs/>
          <w:sz w:val="19"/>
          <w:szCs w:val="19"/>
          <w:lang w:val="hr-BA"/>
        </w:rPr>
        <w:t>s</w:t>
      </w:r>
      <w:r w:rsidRPr="00F44F79">
        <w:rPr>
          <w:bCs/>
          <w:iCs/>
          <w:sz w:val="19"/>
          <w:szCs w:val="19"/>
          <w:lang w:val="hr-BA"/>
        </w:rPr>
        <w:t>ijskih izvještaja.</w:t>
      </w:r>
    </w:p>
    <w:p w:rsidR="00874875" w:rsidRDefault="00874875" w:rsidP="000307EC">
      <w:pPr>
        <w:spacing w:after="0"/>
        <w:jc w:val="center"/>
        <w:rPr>
          <w:bCs/>
          <w:iCs/>
          <w:sz w:val="19"/>
          <w:szCs w:val="19"/>
          <w:lang w:val="hr-BA"/>
        </w:rPr>
      </w:pPr>
    </w:p>
    <w:tbl>
      <w:tblPr>
        <w:tblW w:w="9068" w:type="dxa"/>
        <w:tblInd w:w="108" w:type="dxa"/>
        <w:tblLook w:val="04A0"/>
      </w:tblPr>
      <w:tblGrid>
        <w:gridCol w:w="5028"/>
        <w:gridCol w:w="936"/>
        <w:gridCol w:w="296"/>
        <w:gridCol w:w="1256"/>
        <w:gridCol w:w="296"/>
        <w:gridCol w:w="1256"/>
      </w:tblGrid>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Nota</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2013</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IMOVINA</w:t>
            </w: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ascii="Calibri" w:eastAsia="Times New Roman" w:hAnsi="Calibri" w:cs="Calibri"/>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color w:val="000000"/>
                <w:sz w:val="19"/>
                <w:szCs w:val="19"/>
                <w:lang w:eastAsia="hr-HR"/>
              </w:rPr>
            </w:pPr>
          </w:p>
        </w:tc>
      </w:tr>
      <w:tr w:rsidR="008162AC" w:rsidRPr="008162AC" w:rsidTr="005E3A21">
        <w:trPr>
          <w:trHeight w:val="102"/>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ascii="Calibri" w:eastAsia="Times New Roman" w:hAnsi="Calibri" w:cs="Calibri"/>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ascii="Calibri" w:eastAsia="Times New Roman" w:hAnsi="Calibri" w:cs="Calibri"/>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color w:val="000000"/>
                <w:sz w:val="19"/>
                <w:szCs w:val="19"/>
                <w:lang w:eastAsia="hr-HR"/>
              </w:rPr>
            </w:pP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Dugotrajna imovina</w:t>
            </w: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ascii="Calibri" w:eastAsia="Times New Roman" w:hAnsi="Calibri" w:cs="Calibri"/>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Nematerijalna imovina</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166.421</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Nekretnine, postrojenja i oprema</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r w:rsidRPr="008162AC">
              <w:rPr>
                <w:rFonts w:eastAsia="Times New Roman"/>
                <w:sz w:val="19"/>
                <w:szCs w:val="19"/>
                <w:lang w:eastAsia="hr-HR"/>
              </w:rPr>
              <w:t>11</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4.595.110</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4.429.666</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Sredstva kulture</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Biološka sredstva</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Dugoročni finansijski plasmani</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r w:rsidRPr="008162AC">
              <w:rPr>
                <w:rFonts w:eastAsia="Times New Roman"/>
                <w:sz w:val="19"/>
                <w:szCs w:val="19"/>
                <w:lang w:eastAsia="hr-HR"/>
              </w:rPr>
              <w:t>12</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14.390</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14.940</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Odložena poreska sredstva</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r>
      <w:tr w:rsidR="008162AC" w:rsidRPr="008162AC" w:rsidTr="005E3A21">
        <w:trPr>
          <w:trHeight w:val="102"/>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single" w:sz="4" w:space="0" w:color="auto"/>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single" w:sz="4" w:space="0" w:color="auto"/>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b/>
                <w:bCs/>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r w:rsidRPr="008162AC">
              <w:rPr>
                <w:rFonts w:eastAsia="Times New Roman"/>
                <w:b/>
                <w:bCs/>
                <w:sz w:val="19"/>
                <w:szCs w:val="19"/>
                <w:lang w:eastAsia="hr-HR"/>
              </w:rPr>
              <w:t>4.609.500</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r w:rsidRPr="008162AC">
              <w:rPr>
                <w:rFonts w:eastAsia="Times New Roman"/>
                <w:b/>
                <w:bCs/>
                <w:sz w:val="19"/>
                <w:szCs w:val="19"/>
                <w:lang w:eastAsia="hr-HR"/>
              </w:rPr>
              <w:t>4.611.027</w:t>
            </w:r>
          </w:p>
        </w:tc>
      </w:tr>
      <w:tr w:rsidR="008162AC" w:rsidRPr="008162AC" w:rsidTr="005E3A21">
        <w:trPr>
          <w:trHeight w:val="102"/>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Kratkotrajna imovina</w:t>
            </w: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ascii="Calibri" w:eastAsia="Times New Roman" w:hAnsi="Calibri" w:cs="Calibri"/>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Zalihe</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Novac i novčani ekvivalenti</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r w:rsidRPr="008162AC">
              <w:rPr>
                <w:rFonts w:eastAsia="Times New Roman"/>
                <w:sz w:val="19"/>
                <w:szCs w:val="19"/>
                <w:lang w:eastAsia="hr-HR"/>
              </w:rPr>
              <w:t>13</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981</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36</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Potraživanja od kupaca</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r w:rsidRPr="008162AC">
              <w:rPr>
                <w:rFonts w:eastAsia="Times New Roman"/>
                <w:sz w:val="19"/>
                <w:szCs w:val="19"/>
                <w:lang w:eastAsia="hr-HR"/>
              </w:rPr>
              <w:t>14</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3.434</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10.766</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Ostala kratkoročna potraživanja</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r w:rsidRPr="008162AC">
              <w:rPr>
                <w:rFonts w:eastAsia="Times New Roman"/>
                <w:sz w:val="19"/>
                <w:szCs w:val="19"/>
                <w:lang w:eastAsia="hr-HR"/>
              </w:rPr>
              <w:t>15</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198</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240</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Kratkoročni finansijski plasmani</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Potraživanja za PDV</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146</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Aktivna vremenska razgraničenja</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r w:rsidRPr="008162AC">
              <w:rPr>
                <w:rFonts w:eastAsia="Times New Roman"/>
                <w:sz w:val="19"/>
                <w:szCs w:val="19"/>
                <w:lang w:eastAsia="hr-HR"/>
              </w:rPr>
              <w:t>-</w:t>
            </w:r>
          </w:p>
        </w:tc>
      </w:tr>
      <w:tr w:rsidR="008162AC" w:rsidRPr="008162AC" w:rsidTr="005E3A21">
        <w:trPr>
          <w:trHeight w:val="102"/>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single" w:sz="4" w:space="0" w:color="auto"/>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single" w:sz="4" w:space="0" w:color="auto"/>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color w:val="000000"/>
                <w:sz w:val="19"/>
                <w:szCs w:val="19"/>
                <w:lang w:eastAsia="hr-HR"/>
              </w:rPr>
            </w:pPr>
            <w:r w:rsidRPr="008162AC">
              <w:rPr>
                <w:rFonts w:eastAsia="Times New Roman"/>
                <w:b/>
                <w:bCs/>
                <w:color w:val="000000"/>
                <w:sz w:val="19"/>
                <w:szCs w:val="19"/>
                <w:lang w:eastAsia="hr-HR"/>
              </w:rPr>
              <w:t>4.613</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color w:val="000000"/>
                <w:sz w:val="19"/>
                <w:szCs w:val="19"/>
                <w:lang w:eastAsia="hr-HR"/>
              </w:rPr>
            </w:pPr>
            <w:r w:rsidRPr="008162AC">
              <w:rPr>
                <w:rFonts w:eastAsia="Times New Roman"/>
                <w:b/>
                <w:bCs/>
                <w:color w:val="000000"/>
                <w:sz w:val="19"/>
                <w:szCs w:val="19"/>
                <w:lang w:eastAsia="hr-HR"/>
              </w:rPr>
              <w:t>11.188</w:t>
            </w:r>
          </w:p>
        </w:tc>
      </w:tr>
      <w:tr w:rsidR="008162AC" w:rsidRPr="008162AC" w:rsidTr="005E3A21">
        <w:trPr>
          <w:trHeight w:val="102"/>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Odložena poreska sredstva</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r w:rsidRPr="008162AC">
              <w:rPr>
                <w:rFonts w:eastAsia="Times New Roman"/>
                <w:b/>
                <w:bCs/>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r w:rsidRPr="008162AC">
              <w:rPr>
                <w:rFonts w:eastAsia="Times New Roman"/>
                <w:b/>
                <w:bCs/>
                <w:sz w:val="19"/>
                <w:szCs w:val="19"/>
                <w:lang w:eastAsia="hr-HR"/>
              </w:rPr>
              <w:t>-</w:t>
            </w: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Gubitak iznad visine kapitala</w:t>
            </w:r>
          </w:p>
        </w:tc>
        <w:tc>
          <w:tcPr>
            <w:tcW w:w="936" w:type="dxa"/>
            <w:tcBorders>
              <w:top w:val="nil"/>
              <w:left w:val="nil"/>
              <w:bottom w:val="nil"/>
              <w:right w:val="nil"/>
            </w:tcBorders>
            <w:shd w:val="clear" w:color="000000" w:fill="FFFFFF"/>
            <w:noWrap/>
            <w:vAlign w:val="center"/>
            <w:hideMark/>
          </w:tcPr>
          <w:p w:rsidR="008162AC" w:rsidRPr="008162AC" w:rsidRDefault="008162AC" w:rsidP="005E3A21">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r w:rsidRPr="008162AC">
              <w:rPr>
                <w:rFonts w:eastAsia="Times New Roman"/>
                <w:b/>
                <w:bCs/>
                <w:sz w:val="19"/>
                <w:szCs w:val="19"/>
                <w:lang w:eastAsia="hr-HR"/>
              </w:rPr>
              <w:t>-</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p>
        </w:tc>
        <w:tc>
          <w:tcPr>
            <w:tcW w:w="125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r w:rsidRPr="008162AC">
              <w:rPr>
                <w:rFonts w:eastAsia="Times New Roman"/>
                <w:b/>
                <w:bCs/>
                <w:sz w:val="19"/>
                <w:szCs w:val="19"/>
                <w:lang w:eastAsia="hr-HR"/>
              </w:rPr>
              <w:t>-</w:t>
            </w:r>
          </w:p>
        </w:tc>
      </w:tr>
      <w:tr w:rsidR="008162AC" w:rsidRPr="008162AC" w:rsidTr="005E3A21">
        <w:trPr>
          <w:trHeight w:val="102"/>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1256" w:type="dxa"/>
            <w:tcBorders>
              <w:top w:val="single" w:sz="4" w:space="0" w:color="auto"/>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c>
          <w:tcPr>
            <w:tcW w:w="1256" w:type="dxa"/>
            <w:tcBorders>
              <w:top w:val="single" w:sz="4" w:space="0" w:color="auto"/>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sz w:val="19"/>
                <w:szCs w:val="19"/>
                <w:lang w:eastAsia="hr-HR"/>
              </w:rPr>
            </w:pPr>
          </w:p>
        </w:tc>
      </w:tr>
      <w:tr w:rsidR="008162AC" w:rsidRPr="008162AC" w:rsidTr="005E3A21">
        <w:trPr>
          <w:trHeight w:val="300"/>
        </w:trPr>
        <w:tc>
          <w:tcPr>
            <w:tcW w:w="5028"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left"/>
              <w:rPr>
                <w:rFonts w:eastAsia="Times New Roman"/>
                <w:b/>
                <w:bCs/>
                <w:color w:val="000000"/>
                <w:sz w:val="19"/>
                <w:szCs w:val="19"/>
                <w:lang w:eastAsia="hr-HR"/>
              </w:rPr>
            </w:pPr>
            <w:r w:rsidRPr="008162AC">
              <w:rPr>
                <w:rFonts w:eastAsia="Times New Roman"/>
                <w:b/>
                <w:bCs/>
                <w:color w:val="000000"/>
                <w:sz w:val="19"/>
                <w:szCs w:val="19"/>
                <w:lang w:eastAsia="hr-HR"/>
              </w:rPr>
              <w:t>UKUPNA IMOVINA</w:t>
            </w:r>
          </w:p>
        </w:tc>
        <w:tc>
          <w:tcPr>
            <w:tcW w:w="93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center"/>
              <w:rPr>
                <w:rFonts w:eastAsia="Times New Roman"/>
                <w:b/>
                <w:bCs/>
                <w:color w:val="000000"/>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r w:rsidRPr="008162AC">
              <w:rPr>
                <w:rFonts w:eastAsia="Times New Roman"/>
                <w:b/>
                <w:bCs/>
                <w:sz w:val="19"/>
                <w:szCs w:val="19"/>
                <w:lang w:eastAsia="hr-HR"/>
              </w:rPr>
              <w:t>4.614.113</w:t>
            </w:r>
          </w:p>
        </w:tc>
        <w:tc>
          <w:tcPr>
            <w:tcW w:w="296" w:type="dxa"/>
            <w:tcBorders>
              <w:top w:val="nil"/>
              <w:left w:val="nil"/>
              <w:bottom w:val="nil"/>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p>
        </w:tc>
        <w:tc>
          <w:tcPr>
            <w:tcW w:w="1256" w:type="dxa"/>
            <w:tcBorders>
              <w:top w:val="nil"/>
              <w:left w:val="nil"/>
              <w:bottom w:val="single" w:sz="4" w:space="0" w:color="auto"/>
              <w:right w:val="nil"/>
            </w:tcBorders>
            <w:shd w:val="clear" w:color="auto" w:fill="auto"/>
            <w:noWrap/>
            <w:vAlign w:val="center"/>
            <w:hideMark/>
          </w:tcPr>
          <w:p w:rsidR="008162AC" w:rsidRPr="008162AC" w:rsidRDefault="008162AC" w:rsidP="005E3A21">
            <w:pPr>
              <w:spacing w:after="0" w:line="240" w:lineRule="auto"/>
              <w:jc w:val="right"/>
              <w:rPr>
                <w:rFonts w:eastAsia="Times New Roman"/>
                <w:b/>
                <w:bCs/>
                <w:sz w:val="19"/>
                <w:szCs w:val="19"/>
                <w:lang w:eastAsia="hr-HR"/>
              </w:rPr>
            </w:pPr>
            <w:r w:rsidRPr="008162AC">
              <w:rPr>
                <w:rFonts w:eastAsia="Times New Roman"/>
                <w:b/>
                <w:bCs/>
                <w:sz w:val="19"/>
                <w:szCs w:val="19"/>
                <w:lang w:eastAsia="hr-HR"/>
              </w:rPr>
              <w:t>4.622.215</w:t>
            </w:r>
          </w:p>
        </w:tc>
      </w:tr>
    </w:tbl>
    <w:p w:rsidR="00903C07" w:rsidRDefault="00903C07" w:rsidP="000307EC">
      <w:pPr>
        <w:spacing w:after="0"/>
        <w:jc w:val="center"/>
        <w:rPr>
          <w:bCs/>
          <w:iCs/>
          <w:sz w:val="19"/>
          <w:szCs w:val="19"/>
          <w:lang w:val="hr-BA"/>
        </w:rPr>
      </w:pPr>
    </w:p>
    <w:p w:rsidR="00097F7B" w:rsidRPr="00F44F79" w:rsidRDefault="00097F7B" w:rsidP="00F44F79">
      <w:pPr>
        <w:spacing w:after="0"/>
        <w:rPr>
          <w:bCs/>
          <w:iCs/>
          <w:sz w:val="19"/>
          <w:szCs w:val="19"/>
          <w:lang w:val="hr-BA"/>
        </w:rPr>
      </w:pPr>
    </w:p>
    <w:p w:rsidR="00097F7B" w:rsidRPr="00F44F79" w:rsidRDefault="00097F7B" w:rsidP="00F44F79">
      <w:pPr>
        <w:spacing w:after="0"/>
        <w:jc w:val="center"/>
        <w:rPr>
          <w:bCs/>
          <w:iCs/>
          <w:sz w:val="19"/>
          <w:szCs w:val="19"/>
          <w:lang w:val="hr-BA"/>
        </w:rPr>
      </w:pPr>
      <w:r w:rsidRPr="00F44F79">
        <w:rPr>
          <w:bCs/>
          <w:iCs/>
          <w:sz w:val="19"/>
          <w:szCs w:val="19"/>
          <w:lang w:val="hr-BA"/>
        </w:rPr>
        <w:t xml:space="preserve">Priložene </w:t>
      </w:r>
      <w:r w:rsidR="00703B36">
        <w:rPr>
          <w:bCs/>
          <w:iCs/>
          <w:sz w:val="19"/>
          <w:szCs w:val="19"/>
          <w:lang w:val="hr-BA"/>
        </w:rPr>
        <w:t>note</w:t>
      </w:r>
      <w:r w:rsidRPr="00F44F79">
        <w:rPr>
          <w:bCs/>
          <w:iCs/>
          <w:sz w:val="19"/>
          <w:szCs w:val="19"/>
          <w:lang w:val="hr-BA"/>
        </w:rPr>
        <w:t xml:space="preserve"> sastavni su dio ovih finan</w:t>
      </w:r>
      <w:r w:rsidR="00F44F79">
        <w:rPr>
          <w:bCs/>
          <w:iCs/>
          <w:sz w:val="19"/>
          <w:szCs w:val="19"/>
          <w:lang w:val="hr-BA"/>
        </w:rPr>
        <w:t>s</w:t>
      </w:r>
      <w:r w:rsidRPr="00F44F79">
        <w:rPr>
          <w:bCs/>
          <w:iCs/>
          <w:sz w:val="19"/>
          <w:szCs w:val="19"/>
          <w:lang w:val="hr-BA"/>
        </w:rPr>
        <w:t>ijskih izvještaja.</w:t>
      </w:r>
    </w:p>
    <w:p w:rsidR="00097F7B" w:rsidRPr="00F44F79" w:rsidRDefault="005E3A21" w:rsidP="005E3A21">
      <w:pPr>
        <w:tabs>
          <w:tab w:val="left" w:pos="2370"/>
        </w:tabs>
        <w:spacing w:after="0"/>
        <w:rPr>
          <w:bCs/>
          <w:iCs/>
          <w:sz w:val="19"/>
          <w:szCs w:val="19"/>
          <w:lang w:val="hr-BA"/>
        </w:rPr>
      </w:pPr>
      <w:r>
        <w:rPr>
          <w:bCs/>
          <w:iCs/>
          <w:sz w:val="19"/>
          <w:szCs w:val="19"/>
          <w:lang w:val="hr-BA"/>
        </w:rPr>
        <w:tab/>
      </w:r>
    </w:p>
    <w:p w:rsidR="00874875" w:rsidRPr="00F44F79" w:rsidRDefault="00874875" w:rsidP="00F44F79">
      <w:pPr>
        <w:spacing w:after="0"/>
        <w:rPr>
          <w:bCs/>
          <w:iCs/>
          <w:sz w:val="19"/>
          <w:szCs w:val="19"/>
          <w:lang w:val="hr-BA"/>
        </w:rPr>
      </w:pPr>
    </w:p>
    <w:p w:rsidR="00915FCA" w:rsidRPr="00F44F79" w:rsidRDefault="00915FCA" w:rsidP="00F44F79">
      <w:pPr>
        <w:spacing w:after="0"/>
        <w:rPr>
          <w:bCs/>
          <w:iCs/>
          <w:sz w:val="19"/>
          <w:szCs w:val="19"/>
          <w:lang w:val="hr-BA"/>
        </w:rPr>
        <w:sectPr w:rsidR="00915FCA" w:rsidRPr="00F44F79" w:rsidSect="00BB44FE">
          <w:headerReference w:type="default" r:id="rId12"/>
          <w:pgSz w:w="11906" w:h="16838"/>
          <w:pgMar w:top="1417" w:right="1417" w:bottom="1417" w:left="1417" w:header="708" w:footer="708" w:gutter="0"/>
          <w:cols w:space="708"/>
          <w:docGrid w:linePitch="360"/>
        </w:sectPr>
      </w:pPr>
    </w:p>
    <w:p w:rsidR="00915FCA" w:rsidRDefault="00915FCA" w:rsidP="000307EC">
      <w:pPr>
        <w:spacing w:after="0"/>
        <w:jc w:val="center"/>
        <w:rPr>
          <w:bCs/>
          <w:iCs/>
          <w:sz w:val="19"/>
          <w:szCs w:val="19"/>
          <w:lang w:val="hr-BA"/>
        </w:rPr>
      </w:pPr>
    </w:p>
    <w:tbl>
      <w:tblPr>
        <w:tblW w:w="9042" w:type="dxa"/>
        <w:tblInd w:w="108" w:type="dxa"/>
        <w:tblLook w:val="04A0"/>
      </w:tblPr>
      <w:tblGrid>
        <w:gridCol w:w="5029"/>
        <w:gridCol w:w="935"/>
        <w:gridCol w:w="265"/>
        <w:gridCol w:w="1259"/>
        <w:gridCol w:w="295"/>
        <w:gridCol w:w="1259"/>
      </w:tblGrid>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ascii="Calibri" w:eastAsia="Times New Roman" w:hAnsi="Calibri" w:cs="Calibri"/>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r w:rsidRPr="005E3A21">
              <w:rPr>
                <w:rFonts w:eastAsia="Times New Roman"/>
                <w:b/>
                <w:bCs/>
                <w:color w:val="000000"/>
                <w:sz w:val="19"/>
                <w:szCs w:val="19"/>
                <w:lang w:eastAsia="hr-HR"/>
              </w:rPr>
              <w:t>Nota</w:t>
            </w: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r w:rsidRPr="005E3A21">
              <w:rPr>
                <w:rFonts w:eastAsia="Times New Roman"/>
                <w:b/>
                <w:bCs/>
                <w:color w:val="000000"/>
                <w:sz w:val="19"/>
                <w:szCs w:val="19"/>
                <w:lang w:eastAsia="hr-HR"/>
              </w:rPr>
              <w:t>2014</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r w:rsidRPr="005E3A21">
              <w:rPr>
                <w:rFonts w:eastAsia="Times New Roman"/>
                <w:b/>
                <w:bCs/>
                <w:color w:val="000000"/>
                <w:sz w:val="19"/>
                <w:szCs w:val="19"/>
                <w:lang w:eastAsia="hr-HR"/>
              </w:rPr>
              <w:t>2013</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ascii="Calibri" w:eastAsia="Times New Roman" w:hAnsi="Calibri" w:cs="Calibri"/>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b/>
                <w:bCs/>
                <w:color w:val="000000"/>
                <w:sz w:val="19"/>
                <w:szCs w:val="19"/>
                <w:lang w:eastAsia="hr-HR"/>
              </w:rPr>
            </w:pPr>
            <w:r w:rsidRPr="005E3A21">
              <w:rPr>
                <w:rFonts w:eastAsia="Times New Roman"/>
                <w:b/>
                <w:bCs/>
                <w:color w:val="000000"/>
                <w:sz w:val="19"/>
                <w:szCs w:val="19"/>
                <w:lang w:eastAsia="hr-HR"/>
              </w:rPr>
              <w:t>KAPITAL I OBVEZE</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color w:val="000000"/>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color w:val="000000"/>
                <w:sz w:val="19"/>
                <w:szCs w:val="19"/>
                <w:lang w:eastAsia="hr-HR"/>
              </w:rPr>
            </w:pPr>
          </w:p>
        </w:tc>
      </w:tr>
      <w:tr w:rsidR="005E3A21" w:rsidRPr="005E3A21" w:rsidTr="003272BB">
        <w:trPr>
          <w:trHeight w:val="102"/>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ascii="Calibri" w:eastAsia="Times New Roman" w:hAnsi="Calibri" w:cs="Calibri"/>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b/>
                <w:bCs/>
                <w:color w:val="000000"/>
                <w:sz w:val="19"/>
                <w:szCs w:val="19"/>
                <w:lang w:eastAsia="hr-HR"/>
              </w:rPr>
            </w:pPr>
            <w:r w:rsidRPr="005E3A21">
              <w:rPr>
                <w:rFonts w:eastAsia="Times New Roman"/>
                <w:b/>
                <w:bCs/>
                <w:color w:val="000000"/>
                <w:sz w:val="19"/>
                <w:szCs w:val="19"/>
                <w:lang w:eastAsia="hr-HR"/>
              </w:rPr>
              <w:t>Kapital</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r w:rsidRPr="005E3A21">
              <w:rPr>
                <w:rFonts w:eastAsia="Times New Roman"/>
                <w:sz w:val="19"/>
                <w:szCs w:val="19"/>
                <w:lang w:eastAsia="hr-HR"/>
              </w:rPr>
              <w:t>16</w:t>
            </w: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Osnovni kapital</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4.691.609</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4.691.609</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Upisani neuplaćeni kapital</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Emisiona premija</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Rezerve</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Revalorizacione rezerve</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Neraspoređeni dobitak</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1.665</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984</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Gubitak do visine kapitala</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(86.762)</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(87.746)</w:t>
            </w:r>
          </w:p>
        </w:tc>
      </w:tr>
      <w:tr w:rsidR="005E3A21" w:rsidRPr="005E3A21" w:rsidTr="003272BB">
        <w:trPr>
          <w:trHeight w:val="102"/>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single" w:sz="4" w:space="0" w:color="auto"/>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single" w:sz="4" w:space="0" w:color="auto"/>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b/>
                <w:bCs/>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r w:rsidRPr="005E3A21">
              <w:rPr>
                <w:rFonts w:eastAsia="Times New Roman"/>
                <w:b/>
                <w:bCs/>
                <w:sz w:val="19"/>
                <w:szCs w:val="19"/>
                <w:lang w:eastAsia="hr-HR"/>
              </w:rPr>
              <w:t>4.606.512</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r w:rsidRPr="005E3A21">
              <w:rPr>
                <w:rFonts w:eastAsia="Times New Roman"/>
                <w:b/>
                <w:bCs/>
                <w:sz w:val="19"/>
                <w:szCs w:val="19"/>
                <w:lang w:eastAsia="hr-HR"/>
              </w:rPr>
              <w:t>4.604.847</w:t>
            </w:r>
          </w:p>
        </w:tc>
      </w:tr>
      <w:tr w:rsidR="005E3A21" w:rsidRPr="005E3A21" w:rsidTr="003272BB">
        <w:trPr>
          <w:trHeight w:val="102"/>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b/>
                <w:bCs/>
                <w:color w:val="000000"/>
                <w:sz w:val="19"/>
                <w:szCs w:val="19"/>
                <w:lang w:eastAsia="hr-HR"/>
              </w:rPr>
            </w:pPr>
            <w:r w:rsidRPr="005E3A21">
              <w:rPr>
                <w:rFonts w:eastAsia="Times New Roman"/>
                <w:b/>
                <w:bCs/>
                <w:color w:val="000000"/>
                <w:sz w:val="19"/>
                <w:szCs w:val="19"/>
                <w:lang w:eastAsia="hr-HR"/>
              </w:rPr>
              <w:t>Dugoročna rezervisanja</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Dugoročna rezervisanja</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102"/>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ascii="Calibri" w:eastAsia="Times New Roman" w:hAnsi="Calibri" w:cs="Calibri"/>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r>
      <w:tr w:rsidR="005E3A21" w:rsidRPr="005E3A21" w:rsidTr="003272BB">
        <w:trPr>
          <w:trHeight w:val="102"/>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b/>
                <w:bCs/>
                <w:color w:val="000000"/>
                <w:sz w:val="19"/>
                <w:szCs w:val="19"/>
                <w:lang w:eastAsia="hr-HR"/>
              </w:rPr>
            </w:pPr>
            <w:r w:rsidRPr="005E3A21">
              <w:rPr>
                <w:rFonts w:eastAsia="Times New Roman"/>
                <w:b/>
                <w:bCs/>
                <w:color w:val="000000"/>
                <w:sz w:val="19"/>
                <w:szCs w:val="19"/>
                <w:lang w:eastAsia="hr-HR"/>
              </w:rPr>
              <w:t>Dugoročne obaveze</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Dugoročni zajmovi</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102"/>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ascii="Calibri" w:eastAsia="Times New Roman" w:hAnsi="Calibri" w:cs="Calibri"/>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b/>
                <w:bCs/>
                <w:color w:val="000000"/>
                <w:sz w:val="19"/>
                <w:szCs w:val="19"/>
                <w:lang w:eastAsia="hr-HR"/>
              </w:rPr>
            </w:pPr>
            <w:r w:rsidRPr="005E3A21">
              <w:rPr>
                <w:rFonts w:eastAsia="Times New Roman"/>
                <w:b/>
                <w:bCs/>
                <w:color w:val="000000"/>
                <w:sz w:val="19"/>
                <w:szCs w:val="19"/>
                <w:lang w:eastAsia="hr-HR"/>
              </w:rPr>
              <w:t>Kratkoročne obaveze</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Kratkoročne finansijske obaveze</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Obaveze iz poslovanja</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r w:rsidRPr="005E3A21">
              <w:rPr>
                <w:rFonts w:eastAsia="Times New Roman"/>
                <w:sz w:val="19"/>
                <w:szCs w:val="19"/>
                <w:lang w:eastAsia="hr-HR"/>
              </w:rPr>
              <w:t>17</w:t>
            </w: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2.678</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14.340</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Obaveze iz specifičnih poslova</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Obaveze za zarade i naknade zarada</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r w:rsidRPr="005E3A21">
              <w:rPr>
                <w:rFonts w:eastAsia="Times New Roman"/>
                <w:sz w:val="19"/>
                <w:szCs w:val="19"/>
                <w:lang w:eastAsia="hr-HR"/>
              </w:rPr>
              <w:t>18</w:t>
            </w: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2.863</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1.655</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Druge obaveze</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Obaveze za PDV</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r w:rsidRPr="005E3A21">
              <w:rPr>
                <w:rFonts w:eastAsia="Times New Roman"/>
                <w:sz w:val="19"/>
                <w:szCs w:val="19"/>
                <w:lang w:eastAsia="hr-HR"/>
              </w:rPr>
              <w:t>20</w:t>
            </w: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1.140</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Obveze za ostale poreze, doprinose i druge dažbine</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r w:rsidRPr="005E3A21">
              <w:rPr>
                <w:rFonts w:eastAsia="Times New Roman"/>
                <w:sz w:val="19"/>
                <w:szCs w:val="19"/>
                <w:lang w:eastAsia="hr-HR"/>
              </w:rPr>
              <w:t>21</w:t>
            </w: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920</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56</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Obaveze za porez na dobit</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1.317</w:t>
            </w: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color w:val="000000"/>
                <w:sz w:val="19"/>
                <w:szCs w:val="19"/>
                <w:lang w:eastAsia="hr-HR"/>
              </w:rPr>
            </w:pPr>
            <w:r w:rsidRPr="005E3A21">
              <w:rPr>
                <w:rFonts w:eastAsia="Times New Roman"/>
                <w:color w:val="000000"/>
                <w:sz w:val="19"/>
                <w:szCs w:val="19"/>
                <w:lang w:eastAsia="hr-HR"/>
              </w:rPr>
              <w:t>Pasivna vremenska razgraničenja</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102"/>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ascii="Calibri" w:eastAsia="Times New Roman" w:hAnsi="Calibri" w:cs="Calibri"/>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b/>
                <w:bCs/>
                <w:color w:val="000000"/>
                <w:sz w:val="19"/>
                <w:szCs w:val="19"/>
                <w:lang w:eastAsia="hr-HR"/>
              </w:rPr>
            </w:pPr>
            <w:r w:rsidRPr="005E3A21">
              <w:rPr>
                <w:rFonts w:eastAsia="Times New Roman"/>
                <w:b/>
                <w:bCs/>
                <w:color w:val="000000"/>
                <w:sz w:val="19"/>
                <w:szCs w:val="19"/>
                <w:lang w:eastAsia="hr-HR"/>
              </w:rPr>
              <w:t>Odgođene porezne obveze</w:t>
            </w:r>
          </w:p>
        </w:tc>
        <w:tc>
          <w:tcPr>
            <w:tcW w:w="935" w:type="dxa"/>
            <w:tcBorders>
              <w:top w:val="nil"/>
              <w:left w:val="nil"/>
              <w:bottom w:val="nil"/>
              <w:right w:val="nil"/>
            </w:tcBorders>
            <w:shd w:val="clear" w:color="000000" w:fill="FFFFFF"/>
            <w:noWrap/>
            <w:vAlign w:val="center"/>
            <w:hideMark/>
          </w:tcPr>
          <w:p w:rsidR="005E3A21" w:rsidRPr="005E3A21" w:rsidRDefault="005E3A21" w:rsidP="005E3A21">
            <w:pPr>
              <w:spacing w:after="0" w:line="240" w:lineRule="auto"/>
              <w:jc w:val="center"/>
              <w:rPr>
                <w:rFonts w:eastAsia="Times New Roman"/>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r w:rsidRPr="005E3A21">
              <w:rPr>
                <w:rFonts w:eastAsia="Times New Roman"/>
                <w:sz w:val="19"/>
                <w:szCs w:val="19"/>
                <w:lang w:eastAsia="hr-HR"/>
              </w:rPr>
              <w:t>-</w:t>
            </w:r>
          </w:p>
        </w:tc>
      </w:tr>
      <w:tr w:rsidR="005E3A21" w:rsidRPr="005E3A21" w:rsidTr="003272BB">
        <w:trPr>
          <w:trHeight w:val="102"/>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ascii="Calibri" w:eastAsia="Times New Roman" w:hAnsi="Calibri" w:cs="Calibri"/>
                <w:color w:val="000000"/>
                <w:sz w:val="19"/>
                <w:szCs w:val="19"/>
                <w:lang w:eastAsia="hr-HR"/>
              </w:rPr>
            </w:pP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c>
          <w:tcPr>
            <w:tcW w:w="125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sz w:val="19"/>
                <w:szCs w:val="19"/>
                <w:lang w:eastAsia="hr-HR"/>
              </w:rPr>
            </w:pPr>
          </w:p>
        </w:tc>
      </w:tr>
      <w:tr w:rsidR="005E3A21" w:rsidRPr="005E3A21" w:rsidTr="003272BB">
        <w:trPr>
          <w:trHeight w:val="300"/>
        </w:trPr>
        <w:tc>
          <w:tcPr>
            <w:tcW w:w="5029"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left"/>
              <w:rPr>
                <w:rFonts w:eastAsia="Times New Roman"/>
                <w:b/>
                <w:bCs/>
                <w:color w:val="000000"/>
                <w:sz w:val="19"/>
                <w:szCs w:val="19"/>
                <w:lang w:eastAsia="hr-HR"/>
              </w:rPr>
            </w:pPr>
            <w:r w:rsidRPr="005E3A21">
              <w:rPr>
                <w:rFonts w:eastAsia="Times New Roman"/>
                <w:b/>
                <w:bCs/>
                <w:color w:val="000000"/>
                <w:sz w:val="19"/>
                <w:szCs w:val="19"/>
                <w:lang w:eastAsia="hr-HR"/>
              </w:rPr>
              <w:t>UKUPNO KAPITAL I OBVEZE</w:t>
            </w:r>
          </w:p>
        </w:tc>
        <w:tc>
          <w:tcPr>
            <w:tcW w:w="93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color w:val="000000"/>
                <w:sz w:val="19"/>
                <w:szCs w:val="19"/>
                <w:lang w:eastAsia="hr-HR"/>
              </w:rPr>
            </w:pPr>
          </w:p>
        </w:tc>
        <w:tc>
          <w:tcPr>
            <w:tcW w:w="26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center"/>
              <w:rPr>
                <w:rFonts w:eastAsia="Times New Roman"/>
                <w:b/>
                <w:bCs/>
                <w:color w:val="000000"/>
                <w:sz w:val="19"/>
                <w:szCs w:val="19"/>
                <w:lang w:eastAsia="hr-HR"/>
              </w:rPr>
            </w:pPr>
          </w:p>
        </w:tc>
        <w:tc>
          <w:tcPr>
            <w:tcW w:w="1259" w:type="dxa"/>
            <w:tcBorders>
              <w:top w:val="nil"/>
              <w:left w:val="nil"/>
              <w:bottom w:val="single" w:sz="4" w:space="0" w:color="auto"/>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r w:rsidRPr="005E3A21">
              <w:rPr>
                <w:rFonts w:eastAsia="Times New Roman"/>
                <w:b/>
                <w:bCs/>
                <w:sz w:val="19"/>
                <w:szCs w:val="19"/>
                <w:lang w:eastAsia="hr-HR"/>
              </w:rPr>
              <w:t>4.614.113</w:t>
            </w:r>
          </w:p>
        </w:tc>
        <w:tc>
          <w:tcPr>
            <w:tcW w:w="295" w:type="dxa"/>
            <w:tcBorders>
              <w:top w:val="nil"/>
              <w:left w:val="nil"/>
              <w:bottom w:val="nil"/>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p>
        </w:tc>
        <w:tc>
          <w:tcPr>
            <w:tcW w:w="1259" w:type="dxa"/>
            <w:tcBorders>
              <w:top w:val="nil"/>
              <w:left w:val="nil"/>
              <w:bottom w:val="single" w:sz="4" w:space="0" w:color="auto"/>
              <w:right w:val="nil"/>
            </w:tcBorders>
            <w:shd w:val="clear" w:color="auto" w:fill="auto"/>
            <w:noWrap/>
            <w:vAlign w:val="center"/>
            <w:hideMark/>
          </w:tcPr>
          <w:p w:rsidR="005E3A21" w:rsidRPr="005E3A21" w:rsidRDefault="005E3A21" w:rsidP="005E3A21">
            <w:pPr>
              <w:spacing w:after="0" w:line="240" w:lineRule="auto"/>
              <w:jc w:val="right"/>
              <w:rPr>
                <w:rFonts w:eastAsia="Times New Roman"/>
                <w:b/>
                <w:bCs/>
                <w:sz w:val="19"/>
                <w:szCs w:val="19"/>
                <w:lang w:eastAsia="hr-HR"/>
              </w:rPr>
            </w:pPr>
            <w:r w:rsidRPr="005E3A21">
              <w:rPr>
                <w:rFonts w:eastAsia="Times New Roman"/>
                <w:b/>
                <w:bCs/>
                <w:sz w:val="19"/>
                <w:szCs w:val="19"/>
                <w:lang w:eastAsia="hr-HR"/>
              </w:rPr>
              <w:t>4.622.215</w:t>
            </w:r>
          </w:p>
        </w:tc>
      </w:tr>
    </w:tbl>
    <w:p w:rsidR="000307EC" w:rsidRDefault="000307EC" w:rsidP="000307EC">
      <w:pPr>
        <w:spacing w:after="0"/>
        <w:jc w:val="center"/>
        <w:rPr>
          <w:bCs/>
          <w:iCs/>
          <w:sz w:val="19"/>
          <w:szCs w:val="19"/>
          <w:lang w:val="hr-BA"/>
        </w:rPr>
      </w:pPr>
    </w:p>
    <w:p w:rsidR="00097F7B" w:rsidRPr="00F44F79" w:rsidRDefault="002C0F78" w:rsidP="002C0F78">
      <w:pPr>
        <w:tabs>
          <w:tab w:val="left" w:pos="2685"/>
        </w:tabs>
        <w:spacing w:after="0"/>
        <w:rPr>
          <w:bCs/>
          <w:iCs/>
          <w:sz w:val="19"/>
          <w:szCs w:val="19"/>
          <w:lang w:val="hr-BA"/>
        </w:rPr>
      </w:pPr>
      <w:r>
        <w:rPr>
          <w:bCs/>
          <w:iCs/>
          <w:sz w:val="19"/>
          <w:szCs w:val="19"/>
          <w:lang w:val="hr-BA"/>
        </w:rPr>
        <w:tab/>
      </w:r>
    </w:p>
    <w:p w:rsidR="00097F7B" w:rsidRPr="00F44F79" w:rsidRDefault="00097F7B" w:rsidP="00F44F79">
      <w:pPr>
        <w:spacing w:after="0"/>
        <w:jc w:val="center"/>
        <w:rPr>
          <w:bCs/>
          <w:iCs/>
          <w:sz w:val="19"/>
          <w:szCs w:val="19"/>
          <w:lang w:val="hr-BA"/>
        </w:rPr>
      </w:pPr>
      <w:r w:rsidRPr="00F44F79">
        <w:rPr>
          <w:bCs/>
          <w:iCs/>
          <w:sz w:val="19"/>
          <w:szCs w:val="19"/>
          <w:lang w:val="hr-BA"/>
        </w:rPr>
        <w:t xml:space="preserve">Priložene </w:t>
      </w:r>
      <w:r w:rsidR="00703B36">
        <w:rPr>
          <w:bCs/>
          <w:iCs/>
          <w:sz w:val="19"/>
          <w:szCs w:val="19"/>
          <w:lang w:val="hr-BA"/>
        </w:rPr>
        <w:t>note</w:t>
      </w:r>
      <w:r w:rsidRPr="00F44F79">
        <w:rPr>
          <w:bCs/>
          <w:iCs/>
          <w:sz w:val="19"/>
          <w:szCs w:val="19"/>
          <w:lang w:val="hr-BA"/>
        </w:rPr>
        <w:t xml:space="preserve"> sastavni su dio ovih finan</w:t>
      </w:r>
      <w:r w:rsidR="00F44F79">
        <w:rPr>
          <w:bCs/>
          <w:iCs/>
          <w:sz w:val="19"/>
          <w:szCs w:val="19"/>
          <w:lang w:val="hr-BA"/>
        </w:rPr>
        <w:t>s</w:t>
      </w:r>
      <w:r w:rsidRPr="00F44F79">
        <w:rPr>
          <w:bCs/>
          <w:iCs/>
          <w:sz w:val="19"/>
          <w:szCs w:val="19"/>
          <w:lang w:val="hr-BA"/>
        </w:rPr>
        <w:t>ijskih izvještaja.</w:t>
      </w:r>
    </w:p>
    <w:p w:rsidR="00915FCA" w:rsidRPr="00F44F79" w:rsidRDefault="00915FCA" w:rsidP="00F44F79">
      <w:pPr>
        <w:spacing w:after="0"/>
        <w:rPr>
          <w:bCs/>
          <w:iCs/>
          <w:sz w:val="19"/>
          <w:szCs w:val="19"/>
          <w:lang w:val="hr-BA"/>
        </w:rPr>
      </w:pPr>
    </w:p>
    <w:p w:rsidR="00B93385" w:rsidRPr="00F44F79" w:rsidRDefault="00B93385" w:rsidP="00F44F79">
      <w:pPr>
        <w:spacing w:after="0"/>
        <w:rPr>
          <w:bCs/>
          <w:iCs/>
          <w:sz w:val="19"/>
          <w:szCs w:val="19"/>
          <w:lang w:val="hr-BA"/>
        </w:rPr>
        <w:sectPr w:rsidR="00B93385" w:rsidRPr="00F44F79" w:rsidSect="00BB44FE">
          <w:headerReference w:type="default" r:id="rId13"/>
          <w:pgSz w:w="11906" w:h="16838"/>
          <w:pgMar w:top="1417" w:right="1417" w:bottom="1417" w:left="1417" w:header="708" w:footer="708" w:gutter="0"/>
          <w:cols w:space="708"/>
          <w:docGrid w:linePitch="360"/>
        </w:sectPr>
      </w:pPr>
    </w:p>
    <w:p w:rsidR="00B93385" w:rsidRDefault="00B93385" w:rsidP="00703B36">
      <w:pPr>
        <w:spacing w:after="0"/>
        <w:jc w:val="center"/>
        <w:rPr>
          <w:bCs/>
          <w:iCs/>
          <w:sz w:val="19"/>
          <w:szCs w:val="19"/>
          <w:lang w:val="hr-BA"/>
        </w:rPr>
      </w:pPr>
    </w:p>
    <w:tbl>
      <w:tblPr>
        <w:tblW w:w="9076" w:type="dxa"/>
        <w:tblInd w:w="108" w:type="dxa"/>
        <w:tblLook w:val="04A0"/>
      </w:tblPr>
      <w:tblGrid>
        <w:gridCol w:w="5036"/>
        <w:gridCol w:w="936"/>
        <w:gridCol w:w="296"/>
        <w:gridCol w:w="1256"/>
        <w:gridCol w:w="296"/>
        <w:gridCol w:w="1256"/>
      </w:tblGrid>
      <w:tr w:rsidR="003272BB" w:rsidRPr="003272BB" w:rsidTr="003272BB">
        <w:trPr>
          <w:trHeight w:val="300"/>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r w:rsidRPr="003272BB">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r w:rsidRPr="003272BB">
              <w:rPr>
                <w:rFonts w:eastAsia="Times New Roman"/>
                <w:b/>
                <w:bCs/>
                <w:color w:val="000000"/>
                <w:sz w:val="19"/>
                <w:szCs w:val="19"/>
                <w:lang w:eastAsia="hr-HR"/>
              </w:rPr>
              <w:t>2013</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TOKOVI GOTOVINE IZ POSLOVNIH AKTIVNOSTI</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I.  Prilivi gotovine iz poslovnih aktivnosti</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80.215</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58.920</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Prilivi od kupaca i primljeni avansi</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79.665</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57.474</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Prilivi od premija, subvencija, dotacija i sl.</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Ostali prilivi iz poslovnih aktivnosti</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550</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1.446</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II. Odlivi gotovine iz poslovnih aktivnosti</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79.270</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58.902</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Odlivi po osnovu isplata dobavljačima i dati avansi</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19.775</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24.650</w:t>
            </w:r>
          </w:p>
        </w:tc>
      </w:tr>
      <w:tr w:rsidR="003272BB" w:rsidRPr="003272BB" w:rsidTr="003272BB">
        <w:trPr>
          <w:trHeight w:val="454"/>
        </w:trPr>
        <w:tc>
          <w:tcPr>
            <w:tcW w:w="6268" w:type="dxa"/>
            <w:gridSpan w:val="3"/>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Odlivi po osnovu isplata zarada, naknada zarada i ostalih ličnih rashoda</w:t>
            </w: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27.171</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18.738</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Odlivi po osnovu plaćenih kamata</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Odlivi po osnovu poreza na dobit</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483</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2.720</w:t>
            </w:r>
          </w:p>
        </w:tc>
      </w:tr>
      <w:tr w:rsidR="003272BB" w:rsidRPr="003272BB" w:rsidTr="003272BB">
        <w:trPr>
          <w:trHeight w:val="454"/>
        </w:trPr>
        <w:tc>
          <w:tcPr>
            <w:tcW w:w="5036" w:type="dxa"/>
            <w:tcBorders>
              <w:top w:val="nil"/>
              <w:left w:val="nil"/>
              <w:bottom w:val="nil"/>
              <w:right w:val="nil"/>
            </w:tcBorders>
            <w:shd w:val="clear" w:color="auto" w:fill="auto"/>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Ostali odlivi iz poslovnih aktivnosti</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31.841</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12.794</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III. Neto priliv gotovine iz poslovnih aktivnosti</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945</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18</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IV. Neto odliv gotovine iz poslovnih aktivnosti</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NETO PRILIV GOTOVINE</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945</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18</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NETO ODLIV GOTOVINE</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GOTOVINA NA POČETKU OBRAČUNSKOG PERIODA</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36</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18</w:t>
            </w:r>
          </w:p>
        </w:tc>
      </w:tr>
      <w:tr w:rsidR="003272BB" w:rsidRPr="003272BB" w:rsidTr="003272BB">
        <w:trPr>
          <w:trHeight w:val="454"/>
        </w:trPr>
        <w:tc>
          <w:tcPr>
            <w:tcW w:w="50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GOTOVINA NA KRAJU OBRAČUNSKOG PERIODA</w:t>
            </w:r>
          </w:p>
        </w:tc>
        <w:tc>
          <w:tcPr>
            <w:tcW w:w="93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center"/>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981</w:t>
            </w:r>
          </w:p>
        </w:tc>
        <w:tc>
          <w:tcPr>
            <w:tcW w:w="29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p>
        </w:tc>
        <w:tc>
          <w:tcPr>
            <w:tcW w:w="1256"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36</w:t>
            </w:r>
          </w:p>
        </w:tc>
      </w:tr>
    </w:tbl>
    <w:p w:rsidR="00703B36" w:rsidRDefault="00703B36" w:rsidP="00703B36">
      <w:pPr>
        <w:spacing w:after="0"/>
        <w:jc w:val="center"/>
        <w:rPr>
          <w:bCs/>
          <w:iCs/>
          <w:sz w:val="19"/>
          <w:szCs w:val="19"/>
          <w:lang w:val="hr-BA"/>
        </w:rPr>
      </w:pPr>
    </w:p>
    <w:p w:rsidR="00B93385" w:rsidRPr="00F44F79" w:rsidRDefault="00B93385" w:rsidP="00703B36">
      <w:pPr>
        <w:tabs>
          <w:tab w:val="left" w:pos="3150"/>
        </w:tabs>
        <w:spacing w:after="0"/>
        <w:rPr>
          <w:bCs/>
          <w:iCs/>
          <w:sz w:val="19"/>
          <w:szCs w:val="19"/>
          <w:lang w:val="hr-BA"/>
        </w:rPr>
      </w:pPr>
    </w:p>
    <w:p w:rsidR="00B93385" w:rsidRPr="00F44F79" w:rsidRDefault="00B93385" w:rsidP="00F44F79">
      <w:pPr>
        <w:spacing w:after="0"/>
        <w:rPr>
          <w:bCs/>
          <w:iCs/>
          <w:sz w:val="19"/>
          <w:szCs w:val="19"/>
          <w:lang w:val="hr-BA"/>
        </w:rPr>
      </w:pPr>
    </w:p>
    <w:p w:rsidR="00372C02" w:rsidRDefault="00B93385" w:rsidP="005A6B29">
      <w:pPr>
        <w:spacing w:after="0"/>
        <w:jc w:val="center"/>
        <w:rPr>
          <w:bCs/>
          <w:iCs/>
          <w:sz w:val="19"/>
          <w:szCs w:val="19"/>
          <w:lang w:val="hr-BA"/>
        </w:rPr>
      </w:pPr>
      <w:r w:rsidRPr="00F44F79">
        <w:rPr>
          <w:bCs/>
          <w:iCs/>
          <w:sz w:val="19"/>
          <w:szCs w:val="19"/>
          <w:lang w:val="hr-BA"/>
        </w:rPr>
        <w:t xml:space="preserve">Priložene </w:t>
      </w:r>
      <w:r w:rsidR="00703B36">
        <w:rPr>
          <w:bCs/>
          <w:iCs/>
          <w:sz w:val="19"/>
          <w:szCs w:val="19"/>
          <w:lang w:val="hr-BA"/>
        </w:rPr>
        <w:t>note</w:t>
      </w:r>
      <w:r w:rsidRPr="00F44F79">
        <w:rPr>
          <w:bCs/>
          <w:iCs/>
          <w:sz w:val="19"/>
          <w:szCs w:val="19"/>
          <w:lang w:val="hr-BA"/>
        </w:rPr>
        <w:t xml:space="preserve"> sastavni su dio ovih finan</w:t>
      </w:r>
      <w:r w:rsidR="00F44F79">
        <w:rPr>
          <w:bCs/>
          <w:iCs/>
          <w:sz w:val="19"/>
          <w:szCs w:val="19"/>
          <w:lang w:val="hr-BA"/>
        </w:rPr>
        <w:t>s</w:t>
      </w:r>
      <w:r w:rsidRPr="00F44F79">
        <w:rPr>
          <w:bCs/>
          <w:iCs/>
          <w:sz w:val="19"/>
          <w:szCs w:val="19"/>
          <w:lang w:val="hr-BA"/>
        </w:rPr>
        <w:t>ijskih izvještaja.</w:t>
      </w:r>
    </w:p>
    <w:p w:rsidR="005A6B29" w:rsidRDefault="005A6B29" w:rsidP="005A6B29">
      <w:pPr>
        <w:spacing w:after="0"/>
        <w:jc w:val="center"/>
        <w:rPr>
          <w:bCs/>
          <w:iCs/>
          <w:sz w:val="19"/>
          <w:szCs w:val="19"/>
          <w:lang w:val="hr-BA"/>
        </w:rPr>
      </w:pPr>
    </w:p>
    <w:p w:rsidR="005A6B29" w:rsidRDefault="005A6B29" w:rsidP="005A6B29">
      <w:pPr>
        <w:spacing w:after="0"/>
        <w:jc w:val="center"/>
        <w:rPr>
          <w:bCs/>
          <w:iCs/>
          <w:sz w:val="19"/>
          <w:szCs w:val="19"/>
          <w:lang w:val="hr-BA"/>
        </w:rPr>
      </w:pPr>
    </w:p>
    <w:p w:rsidR="008E0BC1" w:rsidRDefault="008E0BC1" w:rsidP="005A6B29">
      <w:pPr>
        <w:spacing w:after="0"/>
        <w:jc w:val="center"/>
        <w:rPr>
          <w:bCs/>
          <w:iCs/>
          <w:sz w:val="19"/>
          <w:szCs w:val="19"/>
          <w:lang w:val="hr-BA"/>
        </w:rPr>
      </w:pPr>
    </w:p>
    <w:p w:rsidR="008E0BC1" w:rsidRDefault="008E0BC1" w:rsidP="005A6B29">
      <w:pPr>
        <w:spacing w:after="0"/>
        <w:jc w:val="center"/>
        <w:rPr>
          <w:bCs/>
          <w:iCs/>
          <w:sz w:val="19"/>
          <w:szCs w:val="19"/>
          <w:lang w:val="hr-BA"/>
        </w:rPr>
      </w:pPr>
    </w:p>
    <w:p w:rsidR="008E0BC1" w:rsidRDefault="008E0BC1" w:rsidP="008E0BC1">
      <w:pPr>
        <w:spacing w:after="0"/>
        <w:jc w:val="center"/>
        <w:rPr>
          <w:bCs/>
          <w:iCs/>
          <w:sz w:val="19"/>
          <w:szCs w:val="19"/>
          <w:lang w:val="hr-BA"/>
        </w:rPr>
      </w:pPr>
    </w:p>
    <w:p w:rsidR="008E0BC1" w:rsidRDefault="008E0BC1" w:rsidP="008E0BC1">
      <w:pPr>
        <w:spacing w:after="0"/>
        <w:jc w:val="center"/>
        <w:rPr>
          <w:bCs/>
          <w:iCs/>
          <w:sz w:val="19"/>
          <w:szCs w:val="19"/>
          <w:lang w:val="hr-BA"/>
        </w:rPr>
        <w:sectPr w:rsidR="008E0BC1" w:rsidSect="00BB44FE">
          <w:headerReference w:type="default" r:id="rId14"/>
          <w:pgSz w:w="11906" w:h="16838"/>
          <w:pgMar w:top="1417" w:right="1417" w:bottom="1417" w:left="1417" w:header="708" w:footer="708" w:gutter="0"/>
          <w:cols w:space="708"/>
          <w:docGrid w:linePitch="360"/>
        </w:sectPr>
      </w:pPr>
    </w:p>
    <w:p w:rsidR="008E0BC1" w:rsidRDefault="008E0BC1" w:rsidP="008E0BC1">
      <w:pPr>
        <w:spacing w:after="0"/>
        <w:jc w:val="center"/>
        <w:rPr>
          <w:bCs/>
          <w:iCs/>
          <w:sz w:val="19"/>
          <w:szCs w:val="19"/>
          <w:lang w:val="hr-BA"/>
        </w:rPr>
      </w:pPr>
    </w:p>
    <w:tbl>
      <w:tblPr>
        <w:tblW w:w="14173" w:type="dxa"/>
        <w:tblInd w:w="108" w:type="dxa"/>
        <w:tblLook w:val="04A0"/>
      </w:tblPr>
      <w:tblGrid>
        <w:gridCol w:w="6917"/>
        <w:gridCol w:w="1814"/>
        <w:gridCol w:w="1814"/>
        <w:gridCol w:w="1814"/>
        <w:gridCol w:w="1814"/>
      </w:tblGrid>
      <w:tr w:rsidR="003272BB" w:rsidRPr="003272BB" w:rsidTr="003272BB">
        <w:trPr>
          <w:trHeight w:val="1302"/>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p>
        </w:tc>
        <w:tc>
          <w:tcPr>
            <w:tcW w:w="1814" w:type="dxa"/>
            <w:tcBorders>
              <w:top w:val="nil"/>
              <w:left w:val="nil"/>
              <w:bottom w:val="nil"/>
              <w:right w:val="nil"/>
            </w:tcBorders>
            <w:shd w:val="clear" w:color="auto" w:fill="auto"/>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Akcijski kapital i udjeli u d.o.o.</w:t>
            </w:r>
          </w:p>
        </w:tc>
        <w:tc>
          <w:tcPr>
            <w:tcW w:w="1814" w:type="dxa"/>
            <w:tcBorders>
              <w:top w:val="nil"/>
              <w:left w:val="nil"/>
              <w:bottom w:val="nil"/>
              <w:right w:val="nil"/>
            </w:tcBorders>
            <w:shd w:val="clear" w:color="auto" w:fill="auto"/>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Ostale rezerve</w:t>
            </w:r>
          </w:p>
        </w:tc>
        <w:tc>
          <w:tcPr>
            <w:tcW w:w="1814" w:type="dxa"/>
            <w:tcBorders>
              <w:top w:val="nil"/>
              <w:left w:val="nil"/>
              <w:bottom w:val="nil"/>
              <w:right w:val="nil"/>
            </w:tcBorders>
            <w:shd w:val="clear" w:color="auto" w:fill="auto"/>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Akumulisani neraspoređeni dobitak / nepokriveni gubitak</w:t>
            </w:r>
          </w:p>
        </w:tc>
        <w:tc>
          <w:tcPr>
            <w:tcW w:w="1814" w:type="dxa"/>
            <w:tcBorders>
              <w:top w:val="nil"/>
              <w:left w:val="nil"/>
              <w:bottom w:val="nil"/>
              <w:right w:val="nil"/>
            </w:tcBorders>
            <w:shd w:val="clear" w:color="auto" w:fill="auto"/>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UKUPNO</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Stanje na dan 31.12.2012. godine</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4.691.609</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(87.746)</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4.603.863</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Efekti promjena u računovodstvenim politikama</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Efekti ispravke osnovnih grešaka</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Ponovo iskazano stanje na dan 31.12.2012. godine, odnosno 01.01.2013. godine</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4.691.609</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(87.746)</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4.603.863</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Neto dobitak/gubitak perioda iskazan u bilansu uspjeha</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984</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984</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Stanje na dan 31.12.2013. godine</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4.691.609</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(86.762)</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4.604.847</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Efekti promjena u računovodstvenim politikama</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Efekti ispravke osnovnih grešaka</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Ponovo iskazano stanje na dan 31.12.2013. godine, odnosno 01.01.2014. godine</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4.691.609</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(86.762)</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4.604.847</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color w:val="000000"/>
                <w:sz w:val="19"/>
                <w:szCs w:val="19"/>
                <w:lang w:eastAsia="hr-HR"/>
              </w:rPr>
            </w:pPr>
            <w:r w:rsidRPr="003272BB">
              <w:rPr>
                <w:rFonts w:eastAsia="Times New Roman"/>
                <w:color w:val="000000"/>
                <w:sz w:val="19"/>
                <w:szCs w:val="19"/>
                <w:lang w:eastAsia="hr-HR"/>
              </w:rPr>
              <w:t>Neto dobitak/gubitak perioda iskazan u bilansu uspjeha</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1.665</w:t>
            </w:r>
          </w:p>
        </w:tc>
        <w:tc>
          <w:tcPr>
            <w:tcW w:w="1814"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right"/>
              <w:rPr>
                <w:rFonts w:eastAsia="Times New Roman"/>
                <w:color w:val="000000"/>
                <w:sz w:val="19"/>
                <w:szCs w:val="19"/>
                <w:lang w:eastAsia="hr-HR"/>
              </w:rPr>
            </w:pPr>
            <w:r w:rsidRPr="003272BB">
              <w:rPr>
                <w:rFonts w:eastAsia="Times New Roman"/>
                <w:color w:val="000000"/>
                <w:sz w:val="19"/>
                <w:szCs w:val="19"/>
                <w:lang w:eastAsia="hr-HR"/>
              </w:rPr>
              <w:t>1.665</w:t>
            </w:r>
          </w:p>
        </w:tc>
      </w:tr>
      <w:tr w:rsidR="003272BB" w:rsidRPr="003272BB" w:rsidTr="003272BB">
        <w:trPr>
          <w:trHeight w:val="454"/>
        </w:trPr>
        <w:tc>
          <w:tcPr>
            <w:tcW w:w="6917" w:type="dxa"/>
            <w:tcBorders>
              <w:top w:val="nil"/>
              <w:left w:val="nil"/>
              <w:bottom w:val="nil"/>
              <w:right w:val="nil"/>
            </w:tcBorders>
            <w:shd w:val="clear" w:color="auto" w:fill="auto"/>
            <w:noWrap/>
            <w:vAlign w:val="center"/>
            <w:hideMark/>
          </w:tcPr>
          <w:p w:rsidR="003272BB" w:rsidRPr="003272BB" w:rsidRDefault="003272BB" w:rsidP="003272BB">
            <w:pPr>
              <w:spacing w:after="0" w:line="240" w:lineRule="auto"/>
              <w:jc w:val="left"/>
              <w:rPr>
                <w:rFonts w:eastAsia="Times New Roman"/>
                <w:b/>
                <w:bCs/>
                <w:color w:val="000000"/>
                <w:sz w:val="19"/>
                <w:szCs w:val="19"/>
                <w:lang w:eastAsia="hr-HR"/>
              </w:rPr>
            </w:pPr>
            <w:r w:rsidRPr="003272BB">
              <w:rPr>
                <w:rFonts w:eastAsia="Times New Roman"/>
                <w:b/>
                <w:bCs/>
                <w:color w:val="000000"/>
                <w:sz w:val="19"/>
                <w:szCs w:val="19"/>
                <w:lang w:eastAsia="hr-HR"/>
              </w:rPr>
              <w:t>Stanje na dan 31.12.2014. godine</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4.691.609</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(85.097)</w:t>
            </w:r>
          </w:p>
        </w:tc>
        <w:tc>
          <w:tcPr>
            <w:tcW w:w="1814" w:type="dxa"/>
            <w:tcBorders>
              <w:top w:val="nil"/>
              <w:left w:val="nil"/>
              <w:bottom w:val="single" w:sz="4" w:space="0" w:color="auto"/>
              <w:right w:val="nil"/>
            </w:tcBorders>
            <w:shd w:val="clear" w:color="auto" w:fill="auto"/>
            <w:noWrap/>
            <w:vAlign w:val="center"/>
            <w:hideMark/>
          </w:tcPr>
          <w:p w:rsidR="003272BB" w:rsidRPr="003272BB" w:rsidRDefault="003272BB" w:rsidP="003272BB">
            <w:pPr>
              <w:spacing w:after="0" w:line="240" w:lineRule="auto"/>
              <w:jc w:val="right"/>
              <w:rPr>
                <w:rFonts w:eastAsia="Times New Roman"/>
                <w:b/>
                <w:bCs/>
                <w:color w:val="000000"/>
                <w:sz w:val="19"/>
                <w:szCs w:val="19"/>
                <w:lang w:eastAsia="hr-HR"/>
              </w:rPr>
            </w:pPr>
            <w:r w:rsidRPr="003272BB">
              <w:rPr>
                <w:rFonts w:eastAsia="Times New Roman"/>
                <w:b/>
                <w:bCs/>
                <w:color w:val="000000"/>
                <w:sz w:val="19"/>
                <w:szCs w:val="19"/>
                <w:lang w:eastAsia="hr-HR"/>
              </w:rPr>
              <w:t>4.606.512</w:t>
            </w:r>
          </w:p>
        </w:tc>
      </w:tr>
    </w:tbl>
    <w:p w:rsidR="008E0BC1" w:rsidRDefault="008E0BC1" w:rsidP="008E0BC1">
      <w:pPr>
        <w:spacing w:after="0"/>
        <w:jc w:val="center"/>
        <w:rPr>
          <w:bCs/>
          <w:iCs/>
          <w:sz w:val="19"/>
          <w:szCs w:val="19"/>
          <w:lang w:val="hr-BA"/>
        </w:rPr>
      </w:pPr>
    </w:p>
    <w:p w:rsidR="008E0BC1" w:rsidRDefault="008E0BC1" w:rsidP="008E0BC1">
      <w:pPr>
        <w:spacing w:after="0"/>
        <w:jc w:val="center"/>
        <w:rPr>
          <w:bCs/>
          <w:iCs/>
          <w:sz w:val="19"/>
          <w:szCs w:val="19"/>
          <w:lang w:val="hr-BA"/>
        </w:rPr>
      </w:pPr>
    </w:p>
    <w:p w:rsidR="008E0BC1" w:rsidRPr="00097F7B" w:rsidRDefault="008E0BC1" w:rsidP="008E0BC1">
      <w:pPr>
        <w:spacing w:after="0"/>
        <w:jc w:val="center"/>
        <w:rPr>
          <w:bCs/>
          <w:iCs/>
          <w:sz w:val="19"/>
          <w:szCs w:val="19"/>
          <w:lang w:val="hr-BA"/>
        </w:rPr>
      </w:pPr>
      <w:r w:rsidRPr="00097F7B">
        <w:rPr>
          <w:bCs/>
          <w:iCs/>
          <w:sz w:val="19"/>
          <w:szCs w:val="19"/>
          <w:lang w:val="hr-BA"/>
        </w:rPr>
        <w:t xml:space="preserve">Priložene </w:t>
      </w:r>
      <w:r w:rsidR="00BA1178">
        <w:rPr>
          <w:bCs/>
          <w:iCs/>
          <w:sz w:val="19"/>
          <w:szCs w:val="19"/>
          <w:lang w:val="hr-BA"/>
        </w:rPr>
        <w:t>note</w:t>
      </w:r>
      <w:r w:rsidRPr="00097F7B">
        <w:rPr>
          <w:bCs/>
          <w:iCs/>
          <w:sz w:val="19"/>
          <w:szCs w:val="19"/>
          <w:lang w:val="hr-BA"/>
        </w:rPr>
        <w:t xml:space="preserve"> sastavni su dio ovih finan</w:t>
      </w:r>
      <w:r w:rsidR="00BA1178">
        <w:rPr>
          <w:bCs/>
          <w:iCs/>
          <w:sz w:val="19"/>
          <w:szCs w:val="19"/>
          <w:lang w:val="hr-BA"/>
        </w:rPr>
        <w:t>s</w:t>
      </w:r>
      <w:r w:rsidRPr="00097F7B">
        <w:rPr>
          <w:bCs/>
          <w:iCs/>
          <w:sz w:val="19"/>
          <w:szCs w:val="19"/>
          <w:lang w:val="hr-BA"/>
        </w:rPr>
        <w:t>ijskih izvještaja.</w:t>
      </w:r>
    </w:p>
    <w:p w:rsidR="008E0BC1" w:rsidRDefault="008E0BC1" w:rsidP="008E0BC1">
      <w:pPr>
        <w:spacing w:after="0"/>
        <w:jc w:val="center"/>
        <w:rPr>
          <w:bCs/>
          <w:iCs/>
          <w:sz w:val="19"/>
          <w:szCs w:val="19"/>
          <w:lang w:val="hr-BA"/>
        </w:rPr>
        <w:sectPr w:rsidR="008E0BC1" w:rsidSect="00372C02">
          <w:headerReference w:type="default" r:id="rId15"/>
          <w:pgSz w:w="16838" w:h="11906" w:orient="landscape"/>
          <w:pgMar w:top="1417" w:right="1417" w:bottom="1417" w:left="1417" w:header="708" w:footer="708" w:gutter="0"/>
          <w:cols w:space="708"/>
          <w:docGrid w:linePitch="360"/>
        </w:sectPr>
      </w:pPr>
    </w:p>
    <w:p w:rsidR="00E67545" w:rsidRPr="00F44F79" w:rsidRDefault="00E67545" w:rsidP="00F44F79">
      <w:pPr>
        <w:pStyle w:val="ListParagraph"/>
        <w:numPr>
          <w:ilvl w:val="0"/>
          <w:numId w:val="1"/>
        </w:numPr>
        <w:spacing w:after="0"/>
        <w:contextualSpacing w:val="0"/>
        <w:rPr>
          <w:b/>
          <w:sz w:val="19"/>
          <w:szCs w:val="19"/>
          <w:lang w:val="hr-BA"/>
        </w:rPr>
      </w:pPr>
      <w:r w:rsidRPr="00F44F79">
        <w:rPr>
          <w:b/>
          <w:sz w:val="19"/>
          <w:szCs w:val="19"/>
          <w:lang w:val="hr-BA"/>
        </w:rPr>
        <w:lastRenderedPageBreak/>
        <w:t>OP</w:t>
      </w:r>
      <w:r w:rsidR="00373577" w:rsidRPr="00F44F79">
        <w:rPr>
          <w:b/>
          <w:sz w:val="19"/>
          <w:szCs w:val="19"/>
          <w:lang w:val="hr-BA"/>
        </w:rPr>
        <w:t>ŠTI</w:t>
      </w:r>
      <w:r w:rsidRPr="00F44F79">
        <w:rPr>
          <w:b/>
          <w:sz w:val="19"/>
          <w:szCs w:val="19"/>
          <w:lang w:val="hr-BA"/>
        </w:rPr>
        <w:t xml:space="preserve"> PODACI O DRUŠTVU</w:t>
      </w:r>
    </w:p>
    <w:p w:rsidR="00E67545" w:rsidRDefault="00E67545" w:rsidP="00924717">
      <w:pPr>
        <w:spacing w:after="0"/>
        <w:rPr>
          <w:sz w:val="19"/>
          <w:szCs w:val="19"/>
          <w:lang w:val="hr-BA"/>
        </w:rPr>
      </w:pPr>
    </w:p>
    <w:p w:rsidR="00022725" w:rsidRPr="00022725" w:rsidRDefault="00022725" w:rsidP="00022725">
      <w:pPr>
        <w:spacing w:after="0"/>
        <w:rPr>
          <w:sz w:val="19"/>
          <w:szCs w:val="19"/>
        </w:rPr>
      </w:pPr>
      <w:r w:rsidRPr="00022725">
        <w:rPr>
          <w:sz w:val="19"/>
          <w:szCs w:val="19"/>
        </w:rPr>
        <w:t>U sudski registar, kod subjekta upisa Akcionarsko društvo za trgovinu i ugostiteljstvo export import "BORAC" upisani su podaci o usklađivanje opštih akata sa Zakonom o privrednim društvima, usklađivanje djelatnosti sa Zakonom o klasifikaciji djelatnosti i registru poslovnih subjekata po djelatnostima u RS i promjena vlasničke strukture. Društvo će poslovati pod poslovnim imenom: Akcionarsko društvo "BORAC" Trebinje.</w:t>
      </w:r>
    </w:p>
    <w:p w:rsidR="00022725" w:rsidRPr="00022725" w:rsidRDefault="00022725" w:rsidP="00022725">
      <w:pPr>
        <w:spacing w:after="0"/>
        <w:rPr>
          <w:sz w:val="19"/>
          <w:szCs w:val="19"/>
        </w:rPr>
      </w:pPr>
    </w:p>
    <w:p w:rsidR="00022725" w:rsidRPr="00022725" w:rsidRDefault="00022725" w:rsidP="00022725">
      <w:pPr>
        <w:spacing w:after="0"/>
        <w:rPr>
          <w:sz w:val="19"/>
          <w:szCs w:val="19"/>
        </w:rPr>
      </w:pPr>
      <w:r w:rsidRPr="00022725">
        <w:rPr>
          <w:sz w:val="19"/>
          <w:szCs w:val="19"/>
        </w:rPr>
        <w:t>Firma: Akcionarsko društvo "BORAC" Trebinje</w:t>
      </w:r>
    </w:p>
    <w:p w:rsidR="00022725" w:rsidRDefault="00022725" w:rsidP="00022725">
      <w:pPr>
        <w:spacing w:after="0"/>
        <w:rPr>
          <w:sz w:val="19"/>
          <w:szCs w:val="19"/>
        </w:rPr>
      </w:pPr>
    </w:p>
    <w:p w:rsidR="00022725" w:rsidRPr="00022725" w:rsidRDefault="00022725" w:rsidP="00022725">
      <w:pPr>
        <w:spacing w:after="0"/>
        <w:rPr>
          <w:sz w:val="19"/>
          <w:szCs w:val="19"/>
        </w:rPr>
      </w:pPr>
      <w:r w:rsidRPr="00022725">
        <w:rPr>
          <w:sz w:val="19"/>
          <w:szCs w:val="19"/>
        </w:rPr>
        <w:t>Skraćena oznaka firme: a.d. "BORAC" Trebinje</w:t>
      </w:r>
    </w:p>
    <w:p w:rsidR="00022725" w:rsidRDefault="00022725" w:rsidP="00022725">
      <w:pPr>
        <w:spacing w:after="0"/>
        <w:rPr>
          <w:sz w:val="19"/>
          <w:szCs w:val="19"/>
        </w:rPr>
      </w:pPr>
    </w:p>
    <w:p w:rsidR="00022725" w:rsidRPr="00022725" w:rsidRDefault="00022725" w:rsidP="00022725">
      <w:pPr>
        <w:spacing w:after="0"/>
        <w:rPr>
          <w:sz w:val="19"/>
          <w:szCs w:val="19"/>
        </w:rPr>
      </w:pPr>
      <w:r w:rsidRPr="00022725">
        <w:rPr>
          <w:sz w:val="19"/>
          <w:szCs w:val="19"/>
        </w:rPr>
        <w:t xml:space="preserve">Sjedište: Herceg S. Kosače br. 1, Trebinje. Trebinje  </w:t>
      </w:r>
    </w:p>
    <w:p w:rsidR="00022725" w:rsidRDefault="00022725" w:rsidP="00022725">
      <w:pPr>
        <w:spacing w:after="0"/>
        <w:rPr>
          <w:sz w:val="19"/>
          <w:szCs w:val="19"/>
        </w:rPr>
      </w:pPr>
    </w:p>
    <w:p w:rsidR="00022725" w:rsidRPr="00022725" w:rsidRDefault="00022725" w:rsidP="00022725">
      <w:pPr>
        <w:spacing w:after="0"/>
        <w:rPr>
          <w:sz w:val="19"/>
          <w:szCs w:val="19"/>
        </w:rPr>
      </w:pPr>
      <w:r w:rsidRPr="00022725">
        <w:rPr>
          <w:sz w:val="19"/>
          <w:szCs w:val="19"/>
        </w:rPr>
        <w:t xml:space="preserve">MBS: 62-01-0098-1 1 (stari broj RU-1-1075-00)  </w:t>
      </w:r>
    </w:p>
    <w:p w:rsidR="00022725" w:rsidRDefault="00022725" w:rsidP="00022725">
      <w:pPr>
        <w:spacing w:after="0"/>
        <w:rPr>
          <w:sz w:val="19"/>
          <w:szCs w:val="19"/>
        </w:rPr>
      </w:pPr>
    </w:p>
    <w:p w:rsidR="00022725" w:rsidRPr="00022725" w:rsidRDefault="00022725" w:rsidP="00022725">
      <w:pPr>
        <w:spacing w:after="0"/>
        <w:rPr>
          <w:sz w:val="19"/>
          <w:szCs w:val="19"/>
        </w:rPr>
      </w:pPr>
      <w:r w:rsidRPr="00022725">
        <w:rPr>
          <w:sz w:val="19"/>
          <w:szCs w:val="19"/>
        </w:rPr>
        <w:t>JIB:4401339170001</w:t>
      </w:r>
    </w:p>
    <w:p w:rsidR="00022725" w:rsidRPr="00022725" w:rsidRDefault="00022725" w:rsidP="00022725">
      <w:pPr>
        <w:spacing w:after="0"/>
        <w:rPr>
          <w:sz w:val="19"/>
          <w:szCs w:val="19"/>
        </w:rPr>
      </w:pPr>
    </w:p>
    <w:p w:rsidR="00022725" w:rsidRPr="00022725" w:rsidRDefault="00022725" w:rsidP="00022725">
      <w:pPr>
        <w:spacing w:after="0"/>
        <w:rPr>
          <w:sz w:val="19"/>
          <w:szCs w:val="19"/>
        </w:rPr>
      </w:pPr>
      <w:r w:rsidRPr="00022725">
        <w:rPr>
          <w:sz w:val="19"/>
          <w:szCs w:val="19"/>
        </w:rPr>
        <w:t>Pravni osnov upisa:</w:t>
      </w:r>
    </w:p>
    <w:p w:rsidR="00022725" w:rsidRPr="00022725" w:rsidRDefault="00022725" w:rsidP="00022725">
      <w:pPr>
        <w:spacing w:after="0"/>
        <w:rPr>
          <w:sz w:val="19"/>
          <w:szCs w:val="19"/>
        </w:rPr>
      </w:pPr>
      <w:r w:rsidRPr="00022725">
        <w:rPr>
          <w:sz w:val="19"/>
          <w:szCs w:val="19"/>
        </w:rPr>
        <w:t>Odluka skupštine akcionara br. 65/11 od 21.10.20 11</w:t>
      </w:r>
      <w:r w:rsidRPr="00022725">
        <w:rPr>
          <w:sz w:val="19"/>
          <w:szCs w:val="19"/>
          <w:lang w:val="en-US"/>
        </w:rPr>
        <w:t xml:space="preserve">. </w:t>
      </w:r>
      <w:r w:rsidRPr="00022725">
        <w:rPr>
          <w:sz w:val="19"/>
          <w:szCs w:val="19"/>
        </w:rPr>
        <w:t>god. o usvajanju Statuta "Borac" a.d. Trebinje, usklađenog sa Zakonom o privrednim društvima i Uredbom o klasifikaciji djelatnosti RS</w:t>
      </w:r>
    </w:p>
    <w:p w:rsidR="00022725" w:rsidRPr="00022725" w:rsidRDefault="00022725" w:rsidP="00022725">
      <w:pPr>
        <w:spacing w:after="0"/>
        <w:rPr>
          <w:sz w:val="19"/>
          <w:szCs w:val="19"/>
        </w:rPr>
      </w:pPr>
    </w:p>
    <w:p w:rsidR="00022725" w:rsidRPr="00022725" w:rsidRDefault="00022725" w:rsidP="00022725">
      <w:pPr>
        <w:spacing w:after="0"/>
        <w:rPr>
          <w:sz w:val="19"/>
          <w:szCs w:val="19"/>
        </w:rPr>
      </w:pPr>
    </w:p>
    <w:p w:rsidR="00022725" w:rsidRPr="00022725" w:rsidRDefault="00022725" w:rsidP="00022725">
      <w:pPr>
        <w:spacing w:after="0"/>
        <w:rPr>
          <w:b/>
          <w:sz w:val="19"/>
          <w:szCs w:val="19"/>
        </w:rPr>
      </w:pPr>
      <w:r w:rsidRPr="00022725">
        <w:rPr>
          <w:b/>
          <w:sz w:val="19"/>
          <w:szCs w:val="19"/>
        </w:rPr>
        <w:t>OSNIVAČI /ČLANOVI SUBJEKTA UPISA</w:t>
      </w:r>
    </w:p>
    <w:p w:rsidR="00022725" w:rsidRPr="00022725" w:rsidRDefault="00022725" w:rsidP="00022725">
      <w:pPr>
        <w:spacing w:after="0"/>
        <w:rPr>
          <w:b/>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2823"/>
        <w:gridCol w:w="3096"/>
      </w:tblGrid>
      <w:tr w:rsidR="00022725" w:rsidRPr="00022725" w:rsidTr="00592C95">
        <w:tc>
          <w:tcPr>
            <w:tcW w:w="3369" w:type="dxa"/>
            <w:vAlign w:val="center"/>
          </w:tcPr>
          <w:p w:rsidR="00022725" w:rsidRPr="00022725" w:rsidRDefault="00022725" w:rsidP="00022725">
            <w:pPr>
              <w:spacing w:after="0"/>
              <w:rPr>
                <w:b/>
                <w:sz w:val="19"/>
                <w:szCs w:val="19"/>
              </w:rPr>
            </w:pPr>
            <w:r w:rsidRPr="00022725">
              <w:rPr>
                <w:b/>
                <w:sz w:val="19"/>
                <w:szCs w:val="19"/>
              </w:rPr>
              <w:t>Prezime i ime</w:t>
            </w:r>
          </w:p>
        </w:tc>
        <w:tc>
          <w:tcPr>
            <w:tcW w:w="2823" w:type="dxa"/>
            <w:vAlign w:val="center"/>
          </w:tcPr>
          <w:p w:rsidR="00022725" w:rsidRPr="00022725" w:rsidRDefault="00022725" w:rsidP="00022725">
            <w:pPr>
              <w:spacing w:after="0"/>
              <w:rPr>
                <w:b/>
                <w:sz w:val="19"/>
                <w:szCs w:val="19"/>
              </w:rPr>
            </w:pPr>
            <w:r w:rsidRPr="00022725">
              <w:rPr>
                <w:b/>
                <w:sz w:val="19"/>
                <w:szCs w:val="19"/>
              </w:rPr>
              <w:t>Adresa</w:t>
            </w:r>
          </w:p>
        </w:tc>
        <w:tc>
          <w:tcPr>
            <w:tcW w:w="3096" w:type="dxa"/>
            <w:vAlign w:val="center"/>
          </w:tcPr>
          <w:p w:rsidR="00022725" w:rsidRPr="00022725" w:rsidRDefault="00022725" w:rsidP="00022725">
            <w:pPr>
              <w:spacing w:after="0"/>
              <w:rPr>
                <w:b/>
                <w:sz w:val="19"/>
                <w:szCs w:val="19"/>
              </w:rPr>
            </w:pPr>
            <w:r w:rsidRPr="00022725">
              <w:rPr>
                <w:b/>
                <w:sz w:val="19"/>
                <w:szCs w:val="19"/>
              </w:rPr>
              <w:t>Lična karta - JMB / Putna isprava</w:t>
            </w:r>
          </w:p>
        </w:tc>
      </w:tr>
      <w:tr w:rsidR="00022725" w:rsidRPr="00022725" w:rsidTr="00592C95">
        <w:tc>
          <w:tcPr>
            <w:tcW w:w="3369" w:type="dxa"/>
            <w:vAlign w:val="center"/>
          </w:tcPr>
          <w:p w:rsidR="00022725" w:rsidRPr="00022725" w:rsidRDefault="00022725" w:rsidP="00022725">
            <w:pPr>
              <w:spacing w:after="0"/>
              <w:rPr>
                <w:sz w:val="19"/>
                <w:szCs w:val="19"/>
              </w:rPr>
            </w:pPr>
            <w:r w:rsidRPr="00022725">
              <w:rPr>
                <w:iCs/>
                <w:sz w:val="19"/>
                <w:szCs w:val="19"/>
              </w:rPr>
              <w:t xml:space="preserve">Pidžula </w:t>
            </w:r>
            <w:r w:rsidRPr="00022725">
              <w:rPr>
                <w:sz w:val="19"/>
                <w:szCs w:val="19"/>
              </w:rPr>
              <w:t>Bratisiav</w:t>
            </w:r>
          </w:p>
        </w:tc>
        <w:tc>
          <w:tcPr>
            <w:tcW w:w="2823" w:type="dxa"/>
            <w:vAlign w:val="center"/>
          </w:tcPr>
          <w:p w:rsidR="00022725" w:rsidRPr="00022725" w:rsidRDefault="00022725" w:rsidP="00022725">
            <w:pPr>
              <w:spacing w:after="0"/>
              <w:rPr>
                <w:b/>
                <w:sz w:val="19"/>
                <w:szCs w:val="19"/>
              </w:rPr>
            </w:pPr>
            <w:r w:rsidRPr="00022725">
              <w:rPr>
                <w:sz w:val="19"/>
                <w:szCs w:val="19"/>
              </w:rPr>
              <w:t>Spasoja Spaića br. 5, Trebinje</w:t>
            </w:r>
          </w:p>
        </w:tc>
        <w:tc>
          <w:tcPr>
            <w:tcW w:w="3096" w:type="dxa"/>
            <w:vAlign w:val="center"/>
          </w:tcPr>
          <w:p w:rsidR="00022725" w:rsidRPr="00022725" w:rsidRDefault="00022725" w:rsidP="00022725">
            <w:pPr>
              <w:spacing w:after="0"/>
              <w:rPr>
                <w:b/>
                <w:sz w:val="19"/>
                <w:szCs w:val="19"/>
              </w:rPr>
            </w:pPr>
            <w:r w:rsidRPr="00022725">
              <w:rPr>
                <w:sz w:val="19"/>
                <w:szCs w:val="19"/>
              </w:rPr>
              <w:t>lična karta: 08GDD3379</w:t>
            </w:r>
          </w:p>
        </w:tc>
      </w:tr>
      <w:tr w:rsidR="00022725" w:rsidRPr="00022725" w:rsidTr="00592C95">
        <w:tc>
          <w:tcPr>
            <w:tcW w:w="3369" w:type="dxa"/>
            <w:vAlign w:val="center"/>
          </w:tcPr>
          <w:p w:rsidR="00022725" w:rsidRPr="00022725" w:rsidRDefault="00022725" w:rsidP="00022725">
            <w:pPr>
              <w:spacing w:after="0"/>
              <w:rPr>
                <w:b/>
                <w:sz w:val="19"/>
                <w:szCs w:val="19"/>
              </w:rPr>
            </w:pPr>
            <w:r w:rsidRPr="00022725">
              <w:rPr>
                <w:b/>
                <w:sz w:val="19"/>
                <w:szCs w:val="19"/>
              </w:rPr>
              <w:t>Firma</w:t>
            </w:r>
          </w:p>
        </w:tc>
        <w:tc>
          <w:tcPr>
            <w:tcW w:w="2823" w:type="dxa"/>
            <w:vAlign w:val="center"/>
          </w:tcPr>
          <w:p w:rsidR="00022725" w:rsidRPr="00022725" w:rsidRDefault="00022725" w:rsidP="00022725">
            <w:pPr>
              <w:spacing w:after="0"/>
              <w:rPr>
                <w:b/>
                <w:sz w:val="19"/>
                <w:szCs w:val="19"/>
              </w:rPr>
            </w:pPr>
            <w:r w:rsidRPr="00022725">
              <w:rPr>
                <w:b/>
                <w:sz w:val="19"/>
                <w:szCs w:val="19"/>
              </w:rPr>
              <w:t>Sjedište</w:t>
            </w:r>
          </w:p>
        </w:tc>
        <w:tc>
          <w:tcPr>
            <w:tcW w:w="3096" w:type="dxa"/>
            <w:vAlign w:val="center"/>
          </w:tcPr>
          <w:p w:rsidR="00022725" w:rsidRPr="00022725" w:rsidRDefault="00022725" w:rsidP="00022725">
            <w:pPr>
              <w:spacing w:after="0"/>
              <w:rPr>
                <w:b/>
                <w:sz w:val="19"/>
                <w:szCs w:val="19"/>
              </w:rPr>
            </w:pPr>
            <w:r w:rsidRPr="00022725">
              <w:rPr>
                <w:b/>
                <w:sz w:val="19"/>
                <w:szCs w:val="19"/>
                <w:lang w:val="en-US"/>
              </w:rPr>
              <w:t>Reg.br/MBS</w:t>
            </w:r>
          </w:p>
        </w:tc>
      </w:tr>
      <w:tr w:rsidR="00022725" w:rsidRPr="00022725" w:rsidTr="00592C95">
        <w:trPr>
          <w:trHeight w:val="195"/>
        </w:trPr>
        <w:tc>
          <w:tcPr>
            <w:tcW w:w="3369" w:type="dxa"/>
            <w:tcBorders>
              <w:bottom w:val="nil"/>
            </w:tcBorders>
            <w:vAlign w:val="center"/>
          </w:tcPr>
          <w:p w:rsidR="00022725" w:rsidRPr="00022725" w:rsidRDefault="00022725" w:rsidP="00022725">
            <w:pPr>
              <w:spacing w:after="0"/>
              <w:rPr>
                <w:sz w:val="19"/>
                <w:szCs w:val="19"/>
              </w:rPr>
            </w:pPr>
            <w:r w:rsidRPr="00022725">
              <w:rPr>
                <w:sz w:val="19"/>
                <w:szCs w:val="19"/>
              </w:rPr>
              <w:t>"MARKET 99" d.o.o. Trebinje</w:t>
            </w:r>
          </w:p>
        </w:tc>
        <w:tc>
          <w:tcPr>
            <w:tcW w:w="2823" w:type="dxa"/>
            <w:tcBorders>
              <w:bottom w:val="nil"/>
            </w:tcBorders>
            <w:vAlign w:val="center"/>
          </w:tcPr>
          <w:p w:rsidR="00022725" w:rsidRPr="00022725" w:rsidRDefault="00022725" w:rsidP="00022725">
            <w:pPr>
              <w:spacing w:after="0"/>
              <w:rPr>
                <w:sz w:val="19"/>
                <w:szCs w:val="19"/>
              </w:rPr>
            </w:pPr>
            <w:r w:rsidRPr="00022725">
              <w:rPr>
                <w:sz w:val="19"/>
                <w:szCs w:val="19"/>
              </w:rPr>
              <w:t>Trebinje, Herceg S. Kosače 1</w:t>
            </w:r>
          </w:p>
        </w:tc>
        <w:tc>
          <w:tcPr>
            <w:tcW w:w="3096" w:type="dxa"/>
            <w:tcBorders>
              <w:bottom w:val="nil"/>
            </w:tcBorders>
            <w:vAlign w:val="center"/>
          </w:tcPr>
          <w:p w:rsidR="00022725" w:rsidRPr="00022725" w:rsidRDefault="00022725" w:rsidP="00022725">
            <w:pPr>
              <w:spacing w:after="0"/>
              <w:rPr>
                <w:b/>
                <w:sz w:val="19"/>
                <w:szCs w:val="19"/>
              </w:rPr>
            </w:pPr>
          </w:p>
        </w:tc>
      </w:tr>
      <w:tr w:rsidR="00022725" w:rsidRPr="00022725" w:rsidTr="00592C95">
        <w:trPr>
          <w:trHeight w:val="45"/>
        </w:trPr>
        <w:tc>
          <w:tcPr>
            <w:tcW w:w="3369" w:type="dxa"/>
            <w:tcBorders>
              <w:top w:val="nil"/>
              <w:bottom w:val="nil"/>
            </w:tcBorders>
            <w:vAlign w:val="center"/>
          </w:tcPr>
          <w:p w:rsidR="00022725" w:rsidRPr="00022725" w:rsidRDefault="00022725" w:rsidP="00022725">
            <w:pPr>
              <w:spacing w:after="0"/>
              <w:rPr>
                <w:sz w:val="19"/>
                <w:szCs w:val="19"/>
              </w:rPr>
            </w:pPr>
          </w:p>
        </w:tc>
        <w:tc>
          <w:tcPr>
            <w:tcW w:w="2823" w:type="dxa"/>
            <w:tcBorders>
              <w:top w:val="nil"/>
              <w:bottom w:val="nil"/>
            </w:tcBorders>
            <w:vAlign w:val="center"/>
          </w:tcPr>
          <w:p w:rsidR="00022725" w:rsidRPr="00022725" w:rsidRDefault="00022725" w:rsidP="00022725">
            <w:pPr>
              <w:spacing w:after="0"/>
              <w:rPr>
                <w:sz w:val="19"/>
                <w:szCs w:val="19"/>
              </w:rPr>
            </w:pPr>
          </w:p>
        </w:tc>
        <w:tc>
          <w:tcPr>
            <w:tcW w:w="3096" w:type="dxa"/>
            <w:tcBorders>
              <w:top w:val="nil"/>
              <w:bottom w:val="nil"/>
            </w:tcBorders>
            <w:vAlign w:val="center"/>
          </w:tcPr>
          <w:p w:rsidR="00022725" w:rsidRPr="00022725" w:rsidRDefault="00022725" w:rsidP="00022725">
            <w:pPr>
              <w:spacing w:after="0"/>
              <w:rPr>
                <w:b/>
                <w:sz w:val="19"/>
                <w:szCs w:val="19"/>
              </w:rPr>
            </w:pPr>
          </w:p>
        </w:tc>
      </w:tr>
      <w:tr w:rsidR="00022725" w:rsidRPr="00022725" w:rsidTr="00592C95">
        <w:tc>
          <w:tcPr>
            <w:tcW w:w="3369" w:type="dxa"/>
            <w:tcBorders>
              <w:top w:val="nil"/>
              <w:bottom w:val="nil"/>
            </w:tcBorders>
            <w:vAlign w:val="center"/>
          </w:tcPr>
          <w:p w:rsidR="00022725" w:rsidRPr="00022725" w:rsidRDefault="00022725" w:rsidP="00022725">
            <w:pPr>
              <w:spacing w:after="0"/>
              <w:rPr>
                <w:sz w:val="19"/>
                <w:szCs w:val="19"/>
              </w:rPr>
            </w:pPr>
            <w:r w:rsidRPr="00022725">
              <w:rPr>
                <w:sz w:val="19"/>
                <w:szCs w:val="19"/>
              </w:rPr>
              <w:t>"PREF" A.D. Banja Luka</w:t>
            </w:r>
          </w:p>
        </w:tc>
        <w:tc>
          <w:tcPr>
            <w:tcW w:w="2823" w:type="dxa"/>
            <w:tcBorders>
              <w:top w:val="nil"/>
              <w:bottom w:val="nil"/>
            </w:tcBorders>
            <w:vAlign w:val="center"/>
          </w:tcPr>
          <w:p w:rsidR="00022725" w:rsidRPr="00022725" w:rsidRDefault="00022725" w:rsidP="00022725">
            <w:pPr>
              <w:spacing w:after="0"/>
              <w:rPr>
                <w:b/>
                <w:sz w:val="19"/>
                <w:szCs w:val="19"/>
              </w:rPr>
            </w:pPr>
          </w:p>
        </w:tc>
        <w:tc>
          <w:tcPr>
            <w:tcW w:w="3096" w:type="dxa"/>
            <w:tcBorders>
              <w:top w:val="nil"/>
              <w:bottom w:val="nil"/>
            </w:tcBorders>
            <w:vAlign w:val="center"/>
          </w:tcPr>
          <w:p w:rsidR="00022725" w:rsidRPr="00022725" w:rsidRDefault="00022725" w:rsidP="00022725">
            <w:pPr>
              <w:spacing w:after="0"/>
              <w:rPr>
                <w:b/>
                <w:sz w:val="19"/>
                <w:szCs w:val="19"/>
              </w:rPr>
            </w:pPr>
          </w:p>
        </w:tc>
      </w:tr>
      <w:tr w:rsidR="00022725" w:rsidRPr="00022725" w:rsidTr="00592C95">
        <w:tc>
          <w:tcPr>
            <w:tcW w:w="3369" w:type="dxa"/>
            <w:tcBorders>
              <w:top w:val="nil"/>
              <w:bottom w:val="nil"/>
            </w:tcBorders>
            <w:vAlign w:val="center"/>
          </w:tcPr>
          <w:p w:rsidR="00022725" w:rsidRPr="00022725" w:rsidRDefault="00022725" w:rsidP="00022725">
            <w:pPr>
              <w:spacing w:after="0"/>
              <w:rPr>
                <w:sz w:val="19"/>
                <w:szCs w:val="19"/>
              </w:rPr>
            </w:pPr>
            <w:r w:rsidRPr="00022725">
              <w:rPr>
                <w:sz w:val="19"/>
                <w:szCs w:val="19"/>
              </w:rPr>
              <w:t>Fond za restituciju RS a.d. Banja Luka</w:t>
            </w:r>
          </w:p>
        </w:tc>
        <w:tc>
          <w:tcPr>
            <w:tcW w:w="2823" w:type="dxa"/>
            <w:tcBorders>
              <w:top w:val="nil"/>
              <w:bottom w:val="nil"/>
            </w:tcBorders>
            <w:vAlign w:val="center"/>
          </w:tcPr>
          <w:p w:rsidR="00022725" w:rsidRPr="00022725" w:rsidRDefault="00022725" w:rsidP="00022725">
            <w:pPr>
              <w:spacing w:after="0"/>
              <w:rPr>
                <w:b/>
                <w:sz w:val="19"/>
                <w:szCs w:val="19"/>
              </w:rPr>
            </w:pPr>
          </w:p>
        </w:tc>
        <w:tc>
          <w:tcPr>
            <w:tcW w:w="3096" w:type="dxa"/>
            <w:tcBorders>
              <w:top w:val="nil"/>
              <w:bottom w:val="nil"/>
            </w:tcBorders>
            <w:vAlign w:val="center"/>
          </w:tcPr>
          <w:p w:rsidR="00022725" w:rsidRPr="00022725" w:rsidRDefault="00022725" w:rsidP="00022725">
            <w:pPr>
              <w:spacing w:after="0"/>
              <w:rPr>
                <w:b/>
                <w:sz w:val="19"/>
                <w:szCs w:val="19"/>
              </w:rPr>
            </w:pPr>
          </w:p>
        </w:tc>
      </w:tr>
      <w:tr w:rsidR="00022725" w:rsidRPr="00022725" w:rsidTr="00592C95">
        <w:tc>
          <w:tcPr>
            <w:tcW w:w="3369" w:type="dxa"/>
            <w:tcBorders>
              <w:top w:val="nil"/>
            </w:tcBorders>
            <w:vAlign w:val="center"/>
          </w:tcPr>
          <w:p w:rsidR="00022725" w:rsidRPr="00022725" w:rsidRDefault="00022725" w:rsidP="00022725">
            <w:pPr>
              <w:spacing w:after="0"/>
              <w:rPr>
                <w:sz w:val="19"/>
                <w:szCs w:val="19"/>
              </w:rPr>
            </w:pPr>
            <w:r w:rsidRPr="00022725">
              <w:rPr>
                <w:sz w:val="19"/>
                <w:szCs w:val="19"/>
              </w:rPr>
              <w:t>Knjiga akcionara na dan 20.09.2011.</w:t>
            </w:r>
          </w:p>
        </w:tc>
        <w:tc>
          <w:tcPr>
            <w:tcW w:w="2823" w:type="dxa"/>
            <w:tcBorders>
              <w:top w:val="nil"/>
            </w:tcBorders>
            <w:vAlign w:val="center"/>
          </w:tcPr>
          <w:p w:rsidR="00022725" w:rsidRPr="00022725" w:rsidRDefault="00022725" w:rsidP="00022725">
            <w:pPr>
              <w:spacing w:after="0"/>
              <w:rPr>
                <w:b/>
                <w:sz w:val="19"/>
                <w:szCs w:val="19"/>
              </w:rPr>
            </w:pPr>
          </w:p>
        </w:tc>
        <w:tc>
          <w:tcPr>
            <w:tcW w:w="3096" w:type="dxa"/>
            <w:tcBorders>
              <w:top w:val="nil"/>
            </w:tcBorders>
            <w:vAlign w:val="center"/>
          </w:tcPr>
          <w:p w:rsidR="00022725" w:rsidRPr="00022725" w:rsidRDefault="00022725" w:rsidP="00022725">
            <w:pPr>
              <w:spacing w:after="0"/>
              <w:rPr>
                <w:b/>
                <w:sz w:val="19"/>
                <w:szCs w:val="19"/>
              </w:rPr>
            </w:pPr>
          </w:p>
        </w:tc>
      </w:tr>
    </w:tbl>
    <w:p w:rsidR="00022725" w:rsidRPr="00022725" w:rsidRDefault="00022725" w:rsidP="00022725">
      <w:pPr>
        <w:spacing w:after="0"/>
        <w:rPr>
          <w:b/>
          <w:sz w:val="19"/>
          <w:szCs w:val="19"/>
        </w:rPr>
      </w:pPr>
    </w:p>
    <w:p w:rsidR="00022725" w:rsidRPr="00022725" w:rsidRDefault="00022725" w:rsidP="00022725">
      <w:pPr>
        <w:spacing w:after="0"/>
        <w:rPr>
          <w:b/>
          <w:sz w:val="19"/>
          <w:szCs w:val="19"/>
        </w:rPr>
      </w:pPr>
    </w:p>
    <w:p w:rsidR="00022725" w:rsidRPr="00022725" w:rsidRDefault="00022725" w:rsidP="00022725">
      <w:pPr>
        <w:spacing w:after="0"/>
        <w:rPr>
          <w:b/>
          <w:sz w:val="19"/>
          <w:szCs w:val="19"/>
        </w:rPr>
      </w:pPr>
      <w:r w:rsidRPr="00022725">
        <w:rPr>
          <w:b/>
          <w:sz w:val="19"/>
          <w:szCs w:val="19"/>
        </w:rPr>
        <w:t>UČEŠĆE U KAPITALU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0"/>
        <w:gridCol w:w="842"/>
        <w:gridCol w:w="1272"/>
        <w:gridCol w:w="1404"/>
        <w:gridCol w:w="1705"/>
        <w:gridCol w:w="1525"/>
      </w:tblGrid>
      <w:tr w:rsidR="00022725" w:rsidRPr="00022725" w:rsidTr="00592C95">
        <w:tc>
          <w:tcPr>
            <w:tcW w:w="2540" w:type="dxa"/>
            <w:vAlign w:val="center"/>
          </w:tcPr>
          <w:p w:rsidR="00022725" w:rsidRPr="00022725" w:rsidRDefault="00022725" w:rsidP="00022725">
            <w:pPr>
              <w:spacing w:after="0"/>
              <w:rPr>
                <w:b/>
                <w:sz w:val="19"/>
                <w:szCs w:val="19"/>
              </w:rPr>
            </w:pPr>
            <w:r w:rsidRPr="00022725">
              <w:rPr>
                <w:b/>
                <w:sz w:val="19"/>
                <w:szCs w:val="19"/>
              </w:rPr>
              <w:t>Osnivač</w:t>
            </w:r>
          </w:p>
        </w:tc>
        <w:tc>
          <w:tcPr>
            <w:tcW w:w="842" w:type="dxa"/>
            <w:vAlign w:val="center"/>
          </w:tcPr>
          <w:p w:rsidR="00022725" w:rsidRPr="00022725" w:rsidRDefault="00022725" w:rsidP="00022725">
            <w:pPr>
              <w:spacing w:after="0"/>
              <w:rPr>
                <w:b/>
                <w:sz w:val="19"/>
                <w:szCs w:val="19"/>
              </w:rPr>
            </w:pPr>
            <w:r w:rsidRPr="00022725">
              <w:rPr>
                <w:b/>
                <w:sz w:val="19"/>
                <w:szCs w:val="19"/>
              </w:rPr>
              <w:t>klasa</w:t>
            </w:r>
          </w:p>
        </w:tc>
        <w:tc>
          <w:tcPr>
            <w:tcW w:w="1272" w:type="dxa"/>
            <w:vAlign w:val="center"/>
          </w:tcPr>
          <w:p w:rsidR="00022725" w:rsidRPr="00022725" w:rsidRDefault="00022725" w:rsidP="00022725">
            <w:pPr>
              <w:spacing w:after="0"/>
              <w:rPr>
                <w:b/>
                <w:sz w:val="19"/>
                <w:szCs w:val="19"/>
              </w:rPr>
            </w:pPr>
            <w:r w:rsidRPr="00022725">
              <w:rPr>
                <w:b/>
                <w:sz w:val="19"/>
                <w:szCs w:val="19"/>
              </w:rPr>
              <w:t>Broj akcija</w:t>
            </w:r>
          </w:p>
        </w:tc>
        <w:tc>
          <w:tcPr>
            <w:tcW w:w="1404" w:type="dxa"/>
            <w:vAlign w:val="center"/>
          </w:tcPr>
          <w:p w:rsidR="00022725" w:rsidRPr="00022725" w:rsidRDefault="00022725" w:rsidP="00022725">
            <w:pPr>
              <w:spacing w:after="0"/>
              <w:rPr>
                <w:b/>
                <w:sz w:val="19"/>
                <w:szCs w:val="19"/>
              </w:rPr>
            </w:pPr>
            <w:r w:rsidRPr="00022725">
              <w:rPr>
                <w:b/>
                <w:sz w:val="19"/>
                <w:szCs w:val="19"/>
              </w:rPr>
              <w:t>vrijednost</w:t>
            </w:r>
          </w:p>
        </w:tc>
        <w:tc>
          <w:tcPr>
            <w:tcW w:w="1705" w:type="dxa"/>
            <w:vAlign w:val="center"/>
          </w:tcPr>
          <w:p w:rsidR="00022725" w:rsidRPr="00022725" w:rsidRDefault="00022725" w:rsidP="00022725">
            <w:pPr>
              <w:spacing w:after="0"/>
              <w:rPr>
                <w:b/>
                <w:sz w:val="19"/>
                <w:szCs w:val="19"/>
              </w:rPr>
            </w:pPr>
            <w:r w:rsidRPr="00022725">
              <w:rPr>
                <w:b/>
                <w:sz w:val="19"/>
                <w:szCs w:val="19"/>
              </w:rPr>
              <w:t>ukupno</w:t>
            </w:r>
          </w:p>
        </w:tc>
        <w:tc>
          <w:tcPr>
            <w:tcW w:w="1525" w:type="dxa"/>
            <w:vAlign w:val="center"/>
          </w:tcPr>
          <w:p w:rsidR="00022725" w:rsidRPr="00022725" w:rsidRDefault="00022725" w:rsidP="00022725">
            <w:pPr>
              <w:spacing w:after="0"/>
              <w:rPr>
                <w:b/>
                <w:sz w:val="19"/>
                <w:szCs w:val="19"/>
              </w:rPr>
            </w:pPr>
            <w:r w:rsidRPr="00022725">
              <w:rPr>
                <w:b/>
                <w:sz w:val="19"/>
                <w:szCs w:val="19"/>
              </w:rPr>
              <w:t>procenat</w:t>
            </w:r>
          </w:p>
        </w:tc>
      </w:tr>
      <w:tr w:rsidR="00022725" w:rsidRPr="00022725" w:rsidTr="00592C95">
        <w:tc>
          <w:tcPr>
            <w:tcW w:w="2540" w:type="dxa"/>
            <w:tcBorders>
              <w:bottom w:val="nil"/>
            </w:tcBorders>
            <w:vAlign w:val="center"/>
          </w:tcPr>
          <w:p w:rsidR="00022725" w:rsidRPr="00022725" w:rsidRDefault="00022725" w:rsidP="00022725">
            <w:pPr>
              <w:spacing w:after="0"/>
              <w:rPr>
                <w:b/>
                <w:sz w:val="19"/>
                <w:szCs w:val="19"/>
              </w:rPr>
            </w:pPr>
            <w:r w:rsidRPr="00022725">
              <w:rPr>
                <w:iCs/>
                <w:sz w:val="19"/>
                <w:szCs w:val="19"/>
              </w:rPr>
              <w:t xml:space="preserve">Pidžula </w:t>
            </w:r>
            <w:r w:rsidRPr="00022725">
              <w:rPr>
                <w:sz w:val="19"/>
                <w:szCs w:val="19"/>
              </w:rPr>
              <w:t>Bratisiav</w:t>
            </w:r>
          </w:p>
        </w:tc>
        <w:tc>
          <w:tcPr>
            <w:tcW w:w="842" w:type="dxa"/>
            <w:tcBorders>
              <w:bottom w:val="nil"/>
            </w:tcBorders>
            <w:vAlign w:val="center"/>
          </w:tcPr>
          <w:p w:rsidR="00022725" w:rsidRPr="00022725" w:rsidRDefault="00022725" w:rsidP="00022725">
            <w:pPr>
              <w:spacing w:after="0"/>
              <w:rPr>
                <w:b/>
                <w:sz w:val="19"/>
                <w:szCs w:val="19"/>
              </w:rPr>
            </w:pPr>
          </w:p>
        </w:tc>
        <w:tc>
          <w:tcPr>
            <w:tcW w:w="1272" w:type="dxa"/>
            <w:tcBorders>
              <w:bottom w:val="nil"/>
            </w:tcBorders>
            <w:vAlign w:val="center"/>
          </w:tcPr>
          <w:p w:rsidR="00022725" w:rsidRPr="00022725" w:rsidRDefault="00022725" w:rsidP="00022725">
            <w:pPr>
              <w:spacing w:after="0"/>
              <w:rPr>
                <w:sz w:val="19"/>
                <w:szCs w:val="19"/>
              </w:rPr>
            </w:pPr>
            <w:r w:rsidRPr="00022725">
              <w:rPr>
                <w:sz w:val="19"/>
                <w:szCs w:val="19"/>
              </w:rPr>
              <w:t>1137284</w:t>
            </w:r>
          </w:p>
        </w:tc>
        <w:tc>
          <w:tcPr>
            <w:tcW w:w="1404" w:type="dxa"/>
            <w:tcBorders>
              <w:bottom w:val="nil"/>
            </w:tcBorders>
            <w:vAlign w:val="center"/>
          </w:tcPr>
          <w:p w:rsidR="00022725" w:rsidRPr="00022725" w:rsidRDefault="00022725" w:rsidP="00022725">
            <w:pPr>
              <w:spacing w:after="0"/>
              <w:rPr>
                <w:sz w:val="19"/>
                <w:szCs w:val="19"/>
              </w:rPr>
            </w:pPr>
            <w:r w:rsidRPr="00022725">
              <w:rPr>
                <w:sz w:val="19"/>
                <w:szCs w:val="19"/>
              </w:rPr>
              <w:t>1.00</w:t>
            </w:r>
          </w:p>
        </w:tc>
        <w:tc>
          <w:tcPr>
            <w:tcW w:w="1705" w:type="dxa"/>
            <w:tcBorders>
              <w:bottom w:val="nil"/>
            </w:tcBorders>
            <w:vAlign w:val="center"/>
          </w:tcPr>
          <w:p w:rsidR="00022725" w:rsidRPr="00022725" w:rsidRDefault="00022725" w:rsidP="00022725">
            <w:pPr>
              <w:spacing w:after="0"/>
              <w:rPr>
                <w:b/>
                <w:sz w:val="19"/>
                <w:szCs w:val="19"/>
              </w:rPr>
            </w:pPr>
            <w:r w:rsidRPr="00022725">
              <w:rPr>
                <w:sz w:val="19"/>
                <w:szCs w:val="19"/>
              </w:rPr>
              <w:t>1.137,284.00</w:t>
            </w:r>
          </w:p>
        </w:tc>
        <w:tc>
          <w:tcPr>
            <w:tcW w:w="1525" w:type="dxa"/>
            <w:tcBorders>
              <w:bottom w:val="nil"/>
            </w:tcBorders>
            <w:vAlign w:val="center"/>
          </w:tcPr>
          <w:p w:rsidR="00022725" w:rsidRPr="00022725" w:rsidRDefault="00022725" w:rsidP="00022725">
            <w:pPr>
              <w:spacing w:after="0"/>
              <w:rPr>
                <w:sz w:val="19"/>
                <w:szCs w:val="19"/>
              </w:rPr>
            </w:pPr>
            <w:r w:rsidRPr="00022725">
              <w:rPr>
                <w:sz w:val="19"/>
                <w:szCs w:val="19"/>
              </w:rPr>
              <w:t>24.2400%</w:t>
            </w:r>
          </w:p>
        </w:tc>
      </w:tr>
      <w:tr w:rsidR="00022725" w:rsidRPr="00022725" w:rsidTr="00592C95">
        <w:tc>
          <w:tcPr>
            <w:tcW w:w="2540" w:type="dxa"/>
            <w:tcBorders>
              <w:top w:val="nil"/>
              <w:bottom w:val="nil"/>
            </w:tcBorders>
            <w:vAlign w:val="center"/>
          </w:tcPr>
          <w:p w:rsidR="00022725" w:rsidRPr="00022725" w:rsidRDefault="00022725" w:rsidP="00022725">
            <w:pPr>
              <w:spacing w:after="0"/>
              <w:rPr>
                <w:b/>
                <w:sz w:val="19"/>
                <w:szCs w:val="19"/>
              </w:rPr>
            </w:pPr>
            <w:r w:rsidRPr="00022725">
              <w:rPr>
                <w:sz w:val="19"/>
                <w:szCs w:val="19"/>
              </w:rPr>
              <w:t>"MARKET 99" d.o.o.</w:t>
            </w:r>
          </w:p>
        </w:tc>
        <w:tc>
          <w:tcPr>
            <w:tcW w:w="842" w:type="dxa"/>
            <w:tcBorders>
              <w:top w:val="nil"/>
              <w:bottom w:val="nil"/>
            </w:tcBorders>
            <w:vAlign w:val="center"/>
          </w:tcPr>
          <w:p w:rsidR="00022725" w:rsidRPr="00022725" w:rsidRDefault="00022725" w:rsidP="00022725">
            <w:pPr>
              <w:spacing w:after="0"/>
              <w:rPr>
                <w:b/>
                <w:sz w:val="19"/>
                <w:szCs w:val="19"/>
              </w:rPr>
            </w:pPr>
          </w:p>
        </w:tc>
        <w:tc>
          <w:tcPr>
            <w:tcW w:w="1272" w:type="dxa"/>
            <w:tcBorders>
              <w:top w:val="nil"/>
              <w:bottom w:val="nil"/>
            </w:tcBorders>
            <w:vAlign w:val="center"/>
          </w:tcPr>
          <w:p w:rsidR="00022725" w:rsidRPr="00022725" w:rsidRDefault="00022725" w:rsidP="00022725">
            <w:pPr>
              <w:spacing w:after="0"/>
              <w:rPr>
                <w:sz w:val="19"/>
                <w:szCs w:val="19"/>
              </w:rPr>
            </w:pPr>
            <w:r w:rsidRPr="00022725">
              <w:rPr>
                <w:sz w:val="19"/>
                <w:szCs w:val="19"/>
              </w:rPr>
              <w:t>2816817</w:t>
            </w:r>
          </w:p>
        </w:tc>
        <w:tc>
          <w:tcPr>
            <w:tcW w:w="1404" w:type="dxa"/>
            <w:tcBorders>
              <w:top w:val="nil"/>
              <w:bottom w:val="nil"/>
            </w:tcBorders>
            <w:vAlign w:val="center"/>
          </w:tcPr>
          <w:p w:rsidR="00022725" w:rsidRPr="00022725" w:rsidRDefault="00022725" w:rsidP="00022725">
            <w:pPr>
              <w:spacing w:after="0"/>
              <w:rPr>
                <w:sz w:val="19"/>
                <w:szCs w:val="19"/>
              </w:rPr>
            </w:pPr>
            <w:r w:rsidRPr="00022725">
              <w:rPr>
                <w:sz w:val="19"/>
                <w:szCs w:val="19"/>
              </w:rPr>
              <w:t>1.00</w:t>
            </w:r>
          </w:p>
        </w:tc>
        <w:tc>
          <w:tcPr>
            <w:tcW w:w="1705" w:type="dxa"/>
            <w:tcBorders>
              <w:top w:val="nil"/>
              <w:bottom w:val="nil"/>
            </w:tcBorders>
            <w:vAlign w:val="center"/>
          </w:tcPr>
          <w:p w:rsidR="00022725" w:rsidRPr="00022725" w:rsidRDefault="00022725" w:rsidP="00022725">
            <w:pPr>
              <w:spacing w:after="0"/>
              <w:rPr>
                <w:b/>
                <w:sz w:val="19"/>
                <w:szCs w:val="19"/>
              </w:rPr>
            </w:pPr>
            <w:r w:rsidRPr="00022725">
              <w:rPr>
                <w:sz w:val="19"/>
                <w:szCs w:val="19"/>
              </w:rPr>
              <w:t>2.816,817.00</w:t>
            </w:r>
          </w:p>
        </w:tc>
        <w:tc>
          <w:tcPr>
            <w:tcW w:w="1525" w:type="dxa"/>
            <w:tcBorders>
              <w:top w:val="nil"/>
              <w:bottom w:val="nil"/>
            </w:tcBorders>
            <w:vAlign w:val="center"/>
          </w:tcPr>
          <w:p w:rsidR="00022725" w:rsidRPr="00022725" w:rsidRDefault="00022725" w:rsidP="00022725">
            <w:pPr>
              <w:spacing w:after="0"/>
              <w:rPr>
                <w:sz w:val="19"/>
                <w:szCs w:val="19"/>
              </w:rPr>
            </w:pPr>
            <w:r w:rsidRPr="00022725">
              <w:rPr>
                <w:sz w:val="19"/>
                <w:szCs w:val="19"/>
              </w:rPr>
              <w:t>60.0400%</w:t>
            </w:r>
          </w:p>
        </w:tc>
      </w:tr>
      <w:tr w:rsidR="00022725" w:rsidRPr="00022725" w:rsidTr="00592C95">
        <w:tc>
          <w:tcPr>
            <w:tcW w:w="2540" w:type="dxa"/>
            <w:tcBorders>
              <w:top w:val="nil"/>
              <w:bottom w:val="nil"/>
            </w:tcBorders>
            <w:vAlign w:val="center"/>
          </w:tcPr>
          <w:p w:rsidR="00022725" w:rsidRPr="00022725" w:rsidRDefault="00022725" w:rsidP="00022725">
            <w:pPr>
              <w:spacing w:after="0"/>
              <w:rPr>
                <w:sz w:val="19"/>
                <w:szCs w:val="19"/>
              </w:rPr>
            </w:pPr>
            <w:r w:rsidRPr="00022725">
              <w:rPr>
                <w:sz w:val="19"/>
                <w:szCs w:val="19"/>
              </w:rPr>
              <w:t>Knjiga akcionara na dan 20.09.2011.</w:t>
            </w:r>
          </w:p>
        </w:tc>
        <w:tc>
          <w:tcPr>
            <w:tcW w:w="842" w:type="dxa"/>
            <w:tcBorders>
              <w:top w:val="nil"/>
              <w:bottom w:val="nil"/>
            </w:tcBorders>
            <w:vAlign w:val="center"/>
          </w:tcPr>
          <w:p w:rsidR="00022725" w:rsidRPr="00022725" w:rsidRDefault="00022725" w:rsidP="00022725">
            <w:pPr>
              <w:spacing w:after="0"/>
              <w:rPr>
                <w:b/>
                <w:sz w:val="19"/>
                <w:szCs w:val="19"/>
              </w:rPr>
            </w:pPr>
          </w:p>
        </w:tc>
        <w:tc>
          <w:tcPr>
            <w:tcW w:w="1272" w:type="dxa"/>
            <w:tcBorders>
              <w:top w:val="nil"/>
              <w:bottom w:val="nil"/>
            </w:tcBorders>
            <w:vAlign w:val="center"/>
          </w:tcPr>
          <w:p w:rsidR="00022725" w:rsidRPr="00022725" w:rsidRDefault="00022725" w:rsidP="00022725">
            <w:pPr>
              <w:spacing w:after="0"/>
              <w:rPr>
                <w:sz w:val="19"/>
                <w:szCs w:val="19"/>
              </w:rPr>
            </w:pPr>
            <w:r w:rsidRPr="00022725">
              <w:rPr>
                <w:sz w:val="19"/>
                <w:szCs w:val="19"/>
              </w:rPr>
              <w:t>270767</w:t>
            </w:r>
          </w:p>
        </w:tc>
        <w:tc>
          <w:tcPr>
            <w:tcW w:w="1404" w:type="dxa"/>
            <w:tcBorders>
              <w:top w:val="nil"/>
              <w:bottom w:val="nil"/>
            </w:tcBorders>
            <w:vAlign w:val="center"/>
          </w:tcPr>
          <w:p w:rsidR="00022725" w:rsidRPr="00022725" w:rsidRDefault="00022725" w:rsidP="00022725">
            <w:pPr>
              <w:spacing w:after="0"/>
              <w:rPr>
                <w:sz w:val="19"/>
                <w:szCs w:val="19"/>
              </w:rPr>
            </w:pPr>
            <w:r w:rsidRPr="00022725">
              <w:rPr>
                <w:sz w:val="19"/>
                <w:szCs w:val="19"/>
              </w:rPr>
              <w:t>1.00</w:t>
            </w:r>
          </w:p>
        </w:tc>
        <w:tc>
          <w:tcPr>
            <w:tcW w:w="1705" w:type="dxa"/>
            <w:tcBorders>
              <w:top w:val="nil"/>
              <w:bottom w:val="nil"/>
            </w:tcBorders>
            <w:vAlign w:val="center"/>
          </w:tcPr>
          <w:p w:rsidR="00022725" w:rsidRPr="00022725" w:rsidRDefault="00022725" w:rsidP="00022725">
            <w:pPr>
              <w:spacing w:after="0"/>
              <w:rPr>
                <w:b/>
                <w:sz w:val="19"/>
                <w:szCs w:val="19"/>
              </w:rPr>
            </w:pPr>
            <w:r w:rsidRPr="00022725">
              <w:rPr>
                <w:sz w:val="19"/>
                <w:szCs w:val="19"/>
              </w:rPr>
              <w:t>270,767.00</w:t>
            </w:r>
          </w:p>
        </w:tc>
        <w:tc>
          <w:tcPr>
            <w:tcW w:w="1525" w:type="dxa"/>
            <w:tcBorders>
              <w:top w:val="nil"/>
              <w:bottom w:val="nil"/>
            </w:tcBorders>
            <w:vAlign w:val="center"/>
          </w:tcPr>
          <w:p w:rsidR="00022725" w:rsidRPr="00022725" w:rsidRDefault="00022725" w:rsidP="00022725">
            <w:pPr>
              <w:spacing w:after="0"/>
              <w:rPr>
                <w:sz w:val="19"/>
                <w:szCs w:val="19"/>
              </w:rPr>
            </w:pPr>
            <w:r w:rsidRPr="00022725">
              <w:rPr>
                <w:sz w:val="19"/>
                <w:szCs w:val="19"/>
              </w:rPr>
              <w:t>5.7700%</w:t>
            </w:r>
          </w:p>
          <w:p w:rsidR="00022725" w:rsidRPr="00022725" w:rsidRDefault="00022725" w:rsidP="00022725">
            <w:pPr>
              <w:spacing w:after="0"/>
              <w:rPr>
                <w:b/>
                <w:sz w:val="19"/>
                <w:szCs w:val="19"/>
              </w:rPr>
            </w:pPr>
          </w:p>
        </w:tc>
      </w:tr>
      <w:tr w:rsidR="00022725" w:rsidRPr="00022725" w:rsidTr="00592C95">
        <w:tc>
          <w:tcPr>
            <w:tcW w:w="2540" w:type="dxa"/>
            <w:tcBorders>
              <w:top w:val="nil"/>
              <w:bottom w:val="nil"/>
            </w:tcBorders>
            <w:vAlign w:val="center"/>
          </w:tcPr>
          <w:p w:rsidR="00022725" w:rsidRPr="00022725" w:rsidRDefault="00022725" w:rsidP="00022725">
            <w:pPr>
              <w:spacing w:after="0"/>
              <w:rPr>
                <w:sz w:val="19"/>
                <w:szCs w:val="19"/>
              </w:rPr>
            </w:pPr>
            <w:r w:rsidRPr="00022725">
              <w:rPr>
                <w:sz w:val="19"/>
                <w:szCs w:val="19"/>
              </w:rPr>
              <w:t xml:space="preserve">Fond </w:t>
            </w:r>
            <w:r w:rsidRPr="00022725">
              <w:rPr>
                <w:iCs/>
                <w:sz w:val="19"/>
                <w:szCs w:val="19"/>
              </w:rPr>
              <w:t xml:space="preserve">za </w:t>
            </w:r>
            <w:r w:rsidRPr="00022725">
              <w:rPr>
                <w:sz w:val="19"/>
                <w:szCs w:val="19"/>
              </w:rPr>
              <w:t>restituciju RS a.d. Banja Luka</w:t>
            </w:r>
          </w:p>
        </w:tc>
        <w:tc>
          <w:tcPr>
            <w:tcW w:w="842" w:type="dxa"/>
            <w:tcBorders>
              <w:top w:val="nil"/>
              <w:bottom w:val="nil"/>
            </w:tcBorders>
            <w:vAlign w:val="center"/>
          </w:tcPr>
          <w:p w:rsidR="00022725" w:rsidRPr="00022725" w:rsidRDefault="00022725" w:rsidP="00022725">
            <w:pPr>
              <w:spacing w:after="0"/>
              <w:rPr>
                <w:b/>
                <w:sz w:val="19"/>
                <w:szCs w:val="19"/>
              </w:rPr>
            </w:pPr>
          </w:p>
        </w:tc>
        <w:tc>
          <w:tcPr>
            <w:tcW w:w="1272" w:type="dxa"/>
            <w:tcBorders>
              <w:top w:val="nil"/>
              <w:bottom w:val="nil"/>
            </w:tcBorders>
            <w:vAlign w:val="center"/>
          </w:tcPr>
          <w:p w:rsidR="00022725" w:rsidRPr="00022725" w:rsidRDefault="00022725" w:rsidP="00022725">
            <w:pPr>
              <w:spacing w:after="0"/>
              <w:rPr>
                <w:sz w:val="19"/>
                <w:szCs w:val="19"/>
              </w:rPr>
            </w:pPr>
            <w:r w:rsidRPr="00022725">
              <w:rPr>
                <w:sz w:val="19"/>
                <w:szCs w:val="19"/>
              </w:rPr>
              <w:t>155580</w:t>
            </w:r>
          </w:p>
        </w:tc>
        <w:tc>
          <w:tcPr>
            <w:tcW w:w="1404" w:type="dxa"/>
            <w:tcBorders>
              <w:top w:val="nil"/>
              <w:bottom w:val="nil"/>
            </w:tcBorders>
            <w:vAlign w:val="center"/>
          </w:tcPr>
          <w:p w:rsidR="00022725" w:rsidRPr="00022725" w:rsidRDefault="00022725" w:rsidP="00022725">
            <w:pPr>
              <w:spacing w:after="0"/>
              <w:rPr>
                <w:sz w:val="19"/>
                <w:szCs w:val="19"/>
              </w:rPr>
            </w:pPr>
            <w:r w:rsidRPr="00022725">
              <w:rPr>
                <w:sz w:val="19"/>
                <w:szCs w:val="19"/>
              </w:rPr>
              <w:t>1.00</w:t>
            </w:r>
          </w:p>
        </w:tc>
        <w:tc>
          <w:tcPr>
            <w:tcW w:w="1705" w:type="dxa"/>
            <w:tcBorders>
              <w:top w:val="nil"/>
              <w:bottom w:val="nil"/>
            </w:tcBorders>
            <w:vAlign w:val="center"/>
          </w:tcPr>
          <w:p w:rsidR="00022725" w:rsidRPr="00022725" w:rsidRDefault="00022725" w:rsidP="00022725">
            <w:pPr>
              <w:spacing w:after="0"/>
              <w:rPr>
                <w:b/>
                <w:sz w:val="19"/>
                <w:szCs w:val="19"/>
              </w:rPr>
            </w:pPr>
            <w:r w:rsidRPr="00022725">
              <w:rPr>
                <w:sz w:val="19"/>
                <w:szCs w:val="19"/>
              </w:rPr>
              <w:t>155,580.00</w:t>
            </w:r>
          </w:p>
        </w:tc>
        <w:tc>
          <w:tcPr>
            <w:tcW w:w="1525" w:type="dxa"/>
            <w:tcBorders>
              <w:top w:val="nil"/>
              <w:bottom w:val="nil"/>
            </w:tcBorders>
            <w:vAlign w:val="center"/>
          </w:tcPr>
          <w:p w:rsidR="00022725" w:rsidRPr="00022725" w:rsidRDefault="00022725" w:rsidP="00022725">
            <w:pPr>
              <w:spacing w:after="0"/>
              <w:rPr>
                <w:sz w:val="19"/>
                <w:szCs w:val="19"/>
              </w:rPr>
            </w:pPr>
            <w:r w:rsidRPr="00022725">
              <w:rPr>
                <w:sz w:val="19"/>
                <w:szCs w:val="19"/>
              </w:rPr>
              <w:t>3.3200%</w:t>
            </w:r>
          </w:p>
          <w:p w:rsidR="00022725" w:rsidRPr="00022725" w:rsidRDefault="00022725" w:rsidP="00022725">
            <w:pPr>
              <w:spacing w:after="0"/>
              <w:rPr>
                <w:b/>
                <w:sz w:val="19"/>
                <w:szCs w:val="19"/>
              </w:rPr>
            </w:pPr>
          </w:p>
        </w:tc>
      </w:tr>
      <w:tr w:rsidR="00022725" w:rsidRPr="00022725" w:rsidTr="00592C95">
        <w:tc>
          <w:tcPr>
            <w:tcW w:w="2540" w:type="dxa"/>
            <w:tcBorders>
              <w:top w:val="nil"/>
            </w:tcBorders>
            <w:vAlign w:val="center"/>
          </w:tcPr>
          <w:p w:rsidR="00022725" w:rsidRPr="00022725" w:rsidRDefault="00022725" w:rsidP="00022725">
            <w:pPr>
              <w:spacing w:after="0"/>
              <w:rPr>
                <w:b/>
                <w:sz w:val="19"/>
                <w:szCs w:val="19"/>
              </w:rPr>
            </w:pPr>
            <w:r w:rsidRPr="00022725">
              <w:rPr>
                <w:sz w:val="19"/>
                <w:szCs w:val="19"/>
              </w:rPr>
              <w:t>"PREF" A.D. Banja Luka</w:t>
            </w:r>
          </w:p>
        </w:tc>
        <w:tc>
          <w:tcPr>
            <w:tcW w:w="842" w:type="dxa"/>
            <w:tcBorders>
              <w:top w:val="nil"/>
            </w:tcBorders>
            <w:vAlign w:val="center"/>
          </w:tcPr>
          <w:p w:rsidR="00022725" w:rsidRPr="00022725" w:rsidRDefault="00022725" w:rsidP="00022725">
            <w:pPr>
              <w:spacing w:after="0"/>
              <w:rPr>
                <w:b/>
                <w:sz w:val="19"/>
                <w:szCs w:val="19"/>
              </w:rPr>
            </w:pPr>
          </w:p>
        </w:tc>
        <w:tc>
          <w:tcPr>
            <w:tcW w:w="1272" w:type="dxa"/>
            <w:tcBorders>
              <w:top w:val="nil"/>
            </w:tcBorders>
            <w:vAlign w:val="center"/>
          </w:tcPr>
          <w:p w:rsidR="00022725" w:rsidRPr="00022725" w:rsidRDefault="00022725" w:rsidP="00022725">
            <w:pPr>
              <w:spacing w:after="0"/>
              <w:rPr>
                <w:sz w:val="19"/>
                <w:szCs w:val="19"/>
              </w:rPr>
            </w:pPr>
            <w:r w:rsidRPr="00022725">
              <w:rPr>
                <w:sz w:val="19"/>
                <w:szCs w:val="19"/>
              </w:rPr>
              <w:t>311161</w:t>
            </w:r>
          </w:p>
        </w:tc>
        <w:tc>
          <w:tcPr>
            <w:tcW w:w="1404" w:type="dxa"/>
            <w:tcBorders>
              <w:top w:val="nil"/>
            </w:tcBorders>
            <w:vAlign w:val="center"/>
          </w:tcPr>
          <w:p w:rsidR="00022725" w:rsidRPr="00022725" w:rsidRDefault="00022725" w:rsidP="00022725">
            <w:pPr>
              <w:spacing w:after="0"/>
              <w:rPr>
                <w:sz w:val="19"/>
                <w:szCs w:val="19"/>
              </w:rPr>
            </w:pPr>
            <w:r w:rsidRPr="00022725">
              <w:rPr>
                <w:sz w:val="19"/>
                <w:szCs w:val="19"/>
              </w:rPr>
              <w:t>1.00</w:t>
            </w:r>
          </w:p>
        </w:tc>
        <w:tc>
          <w:tcPr>
            <w:tcW w:w="1705" w:type="dxa"/>
            <w:tcBorders>
              <w:top w:val="nil"/>
            </w:tcBorders>
            <w:vAlign w:val="center"/>
          </w:tcPr>
          <w:p w:rsidR="00022725" w:rsidRPr="00022725" w:rsidRDefault="00022725" w:rsidP="00022725">
            <w:pPr>
              <w:spacing w:after="0"/>
              <w:rPr>
                <w:b/>
                <w:sz w:val="19"/>
                <w:szCs w:val="19"/>
              </w:rPr>
            </w:pPr>
            <w:r w:rsidRPr="00022725">
              <w:rPr>
                <w:sz w:val="19"/>
                <w:szCs w:val="19"/>
              </w:rPr>
              <w:t>313,161.00</w:t>
            </w:r>
          </w:p>
        </w:tc>
        <w:tc>
          <w:tcPr>
            <w:tcW w:w="1525" w:type="dxa"/>
            <w:tcBorders>
              <w:top w:val="nil"/>
            </w:tcBorders>
            <w:vAlign w:val="center"/>
          </w:tcPr>
          <w:p w:rsidR="00022725" w:rsidRPr="00022725" w:rsidRDefault="00022725" w:rsidP="00022725">
            <w:pPr>
              <w:spacing w:after="0"/>
              <w:rPr>
                <w:sz w:val="19"/>
                <w:szCs w:val="19"/>
              </w:rPr>
            </w:pPr>
            <w:r w:rsidRPr="00022725">
              <w:rPr>
                <w:sz w:val="19"/>
                <w:szCs w:val="19"/>
              </w:rPr>
              <w:t>6.6300%</w:t>
            </w:r>
          </w:p>
          <w:p w:rsidR="00022725" w:rsidRPr="00022725" w:rsidRDefault="00022725" w:rsidP="00022725">
            <w:pPr>
              <w:spacing w:after="0"/>
              <w:rPr>
                <w:b/>
                <w:sz w:val="19"/>
                <w:szCs w:val="19"/>
              </w:rPr>
            </w:pPr>
          </w:p>
        </w:tc>
      </w:tr>
    </w:tbl>
    <w:p w:rsidR="00022725" w:rsidRPr="00022725" w:rsidRDefault="00022725" w:rsidP="00022725">
      <w:pPr>
        <w:spacing w:after="0"/>
        <w:rPr>
          <w:b/>
          <w:sz w:val="19"/>
          <w:szCs w:val="19"/>
          <w:u w:val="single"/>
        </w:rPr>
      </w:pPr>
    </w:p>
    <w:p w:rsidR="00022725" w:rsidRDefault="00022725">
      <w:pPr>
        <w:rPr>
          <w:b/>
          <w:sz w:val="19"/>
          <w:szCs w:val="19"/>
          <w:u w:val="single"/>
        </w:rPr>
      </w:pPr>
      <w:r>
        <w:rPr>
          <w:b/>
          <w:sz w:val="19"/>
          <w:szCs w:val="19"/>
          <w:u w:val="single"/>
        </w:rPr>
        <w:br w:type="page"/>
      </w:r>
    </w:p>
    <w:p w:rsidR="00022725" w:rsidRPr="00022725" w:rsidRDefault="00022725" w:rsidP="00022725">
      <w:pPr>
        <w:spacing w:after="0"/>
        <w:rPr>
          <w:b/>
          <w:sz w:val="19"/>
          <w:szCs w:val="19"/>
        </w:rPr>
      </w:pPr>
      <w:r w:rsidRPr="00022725">
        <w:rPr>
          <w:b/>
          <w:sz w:val="19"/>
          <w:szCs w:val="19"/>
          <w:u w:val="single"/>
        </w:rPr>
        <w:lastRenderedPageBreak/>
        <w:t>LICA OVLAŠTENA ZA ZASTUPANJE SUBJEKTA UPISA</w:t>
      </w:r>
    </w:p>
    <w:p w:rsidR="00022725" w:rsidRPr="00022725" w:rsidRDefault="00022725" w:rsidP="00022725">
      <w:pPr>
        <w:spacing w:after="0"/>
        <w:rPr>
          <w:sz w:val="19"/>
          <w:szCs w:val="19"/>
        </w:rPr>
      </w:pPr>
      <w:r w:rsidRPr="00022725">
        <w:rPr>
          <w:sz w:val="19"/>
          <w:szCs w:val="19"/>
        </w:rPr>
        <w:t>U unutrašnjem i spoljno trgovinskom prometu</w:t>
      </w:r>
    </w:p>
    <w:p w:rsidR="00022725" w:rsidRPr="00022725" w:rsidRDefault="00022725" w:rsidP="00022725">
      <w:pPr>
        <w:spacing w:after="0"/>
        <w:rPr>
          <w:sz w:val="19"/>
          <w:szCs w:val="19"/>
        </w:rPr>
      </w:pPr>
      <w:r w:rsidRPr="00022725">
        <w:rPr>
          <w:sz w:val="19"/>
          <w:szCs w:val="19"/>
        </w:rPr>
        <w:t>Milojević Savo, adresa; Ruska bb, Trebinje. lična karta: 04GDB172 direktor bez ograničenja ovlaštenja</w:t>
      </w:r>
    </w:p>
    <w:p w:rsidR="00022725" w:rsidRPr="00022725" w:rsidRDefault="00022725" w:rsidP="00022725">
      <w:pPr>
        <w:spacing w:after="0"/>
        <w:rPr>
          <w:b/>
          <w:sz w:val="19"/>
          <w:szCs w:val="19"/>
          <w:u w:val="single"/>
        </w:rPr>
      </w:pPr>
    </w:p>
    <w:p w:rsidR="00022725" w:rsidRDefault="00022725">
      <w:pPr>
        <w:rPr>
          <w:b/>
          <w:iCs/>
          <w:sz w:val="19"/>
          <w:szCs w:val="19"/>
          <w:lang w:val="sr-Latn-BA"/>
        </w:rPr>
      </w:pPr>
    </w:p>
    <w:p w:rsidR="00022725" w:rsidRPr="00022725" w:rsidRDefault="00022725" w:rsidP="00022725">
      <w:pPr>
        <w:spacing w:after="0"/>
        <w:ind w:left="360"/>
        <w:rPr>
          <w:b/>
          <w:iCs/>
          <w:sz w:val="19"/>
          <w:szCs w:val="19"/>
          <w:lang w:val="sr-Latn-BA"/>
        </w:rPr>
      </w:pPr>
      <w:r w:rsidRPr="00022725">
        <w:rPr>
          <w:b/>
          <w:iCs/>
          <w:sz w:val="19"/>
          <w:szCs w:val="19"/>
          <w:lang w:val="sr-Latn-BA"/>
        </w:rPr>
        <w:t xml:space="preserve">Djelatnosti Društva </w:t>
      </w:r>
    </w:p>
    <w:p w:rsidR="00022725" w:rsidRPr="00022725" w:rsidRDefault="00022725" w:rsidP="00022725">
      <w:pPr>
        <w:spacing w:after="0"/>
        <w:rPr>
          <w:sz w:val="19"/>
          <w:szCs w:val="19"/>
          <w:u w:val="single"/>
        </w:rPr>
      </w:pPr>
    </w:p>
    <w:p w:rsidR="00022725" w:rsidRPr="00022725" w:rsidRDefault="00022725" w:rsidP="00022725">
      <w:pPr>
        <w:spacing w:after="0"/>
        <w:rPr>
          <w:sz w:val="19"/>
          <w:szCs w:val="19"/>
          <w:u w:val="single"/>
        </w:rPr>
      </w:pPr>
    </w:p>
    <w:p w:rsidR="00022725" w:rsidRPr="00022725" w:rsidRDefault="00022725" w:rsidP="00022725">
      <w:pPr>
        <w:spacing w:after="0"/>
        <w:rPr>
          <w:sz w:val="19"/>
          <w:szCs w:val="19"/>
        </w:rPr>
      </w:pPr>
      <w:r w:rsidRPr="00022725">
        <w:rPr>
          <w:sz w:val="19"/>
          <w:szCs w:val="19"/>
          <w:u w:val="single"/>
        </w:rPr>
        <w:t>DJELATNOST SUBJEKTA UPISA - u unutrašnjem prometu</w:t>
      </w:r>
    </w:p>
    <w:p w:rsidR="00022725" w:rsidRPr="00022725" w:rsidRDefault="00022725" w:rsidP="00022725">
      <w:pPr>
        <w:spacing w:after="0"/>
        <w:rPr>
          <w:sz w:val="19"/>
          <w:szCs w:val="19"/>
        </w:rPr>
      </w:pPr>
    </w:p>
    <w:p w:rsidR="00022725" w:rsidRPr="00022725" w:rsidRDefault="00022725" w:rsidP="00022725">
      <w:pPr>
        <w:spacing w:after="0"/>
        <w:rPr>
          <w:sz w:val="19"/>
          <w:szCs w:val="19"/>
        </w:rPr>
      </w:pPr>
      <w:r w:rsidRPr="00022725">
        <w:rPr>
          <w:sz w:val="19"/>
          <w:szCs w:val="19"/>
        </w:rPr>
        <w:t>45.11 Trgovina automobilima i motornim vozilima iake kategorije</w:t>
      </w:r>
    </w:p>
    <w:p w:rsidR="00022725" w:rsidRPr="00022725" w:rsidRDefault="00022725" w:rsidP="00022725">
      <w:pPr>
        <w:spacing w:after="0"/>
        <w:rPr>
          <w:sz w:val="19"/>
          <w:szCs w:val="19"/>
        </w:rPr>
      </w:pPr>
      <w:r w:rsidRPr="00022725">
        <w:rPr>
          <w:sz w:val="19"/>
          <w:szCs w:val="19"/>
        </w:rPr>
        <w:t>45.19 Trgovina ostalim motornim vozilima</w:t>
      </w:r>
    </w:p>
    <w:p w:rsidR="00022725" w:rsidRPr="00022725" w:rsidRDefault="00022725" w:rsidP="00022725">
      <w:pPr>
        <w:spacing w:after="0"/>
        <w:rPr>
          <w:sz w:val="19"/>
          <w:szCs w:val="19"/>
        </w:rPr>
      </w:pPr>
      <w:r w:rsidRPr="00022725">
        <w:rPr>
          <w:sz w:val="19"/>
          <w:szCs w:val="19"/>
        </w:rPr>
        <w:t>45.20 Održavanje i popravka motornih vozila</w:t>
      </w:r>
    </w:p>
    <w:p w:rsidR="00022725" w:rsidRPr="00022725" w:rsidRDefault="00022725" w:rsidP="00022725">
      <w:pPr>
        <w:spacing w:after="0"/>
        <w:rPr>
          <w:sz w:val="19"/>
          <w:szCs w:val="19"/>
        </w:rPr>
      </w:pPr>
      <w:r w:rsidRPr="00022725">
        <w:rPr>
          <w:sz w:val="19"/>
          <w:szCs w:val="19"/>
        </w:rPr>
        <w:t>45.31 Trgovina na veliko dijelovima i priborom za motorna vozila</w:t>
      </w:r>
    </w:p>
    <w:p w:rsidR="00022725" w:rsidRPr="00022725" w:rsidRDefault="00022725" w:rsidP="00022725">
      <w:pPr>
        <w:spacing w:after="0"/>
        <w:rPr>
          <w:sz w:val="19"/>
          <w:szCs w:val="19"/>
        </w:rPr>
      </w:pPr>
      <w:r w:rsidRPr="00022725">
        <w:rPr>
          <w:sz w:val="19"/>
          <w:szCs w:val="19"/>
        </w:rPr>
        <w:t>45.32 Trgovina na malo dijelovima i priborom za motorna vozila</w:t>
      </w:r>
    </w:p>
    <w:p w:rsidR="00022725" w:rsidRPr="00022725" w:rsidRDefault="00022725" w:rsidP="00022725">
      <w:pPr>
        <w:spacing w:after="0"/>
        <w:rPr>
          <w:sz w:val="19"/>
          <w:szCs w:val="19"/>
        </w:rPr>
      </w:pPr>
      <w:r w:rsidRPr="00022725">
        <w:rPr>
          <w:sz w:val="19"/>
          <w:szCs w:val="19"/>
        </w:rPr>
        <w:t>45.40 Trgovina, održavanje i popravka motocikala, dijelova i pribora za motocikle</w:t>
      </w:r>
    </w:p>
    <w:p w:rsidR="00022725" w:rsidRPr="00022725" w:rsidRDefault="00022725" w:rsidP="00022725">
      <w:pPr>
        <w:spacing w:after="0"/>
        <w:rPr>
          <w:sz w:val="19"/>
          <w:szCs w:val="19"/>
        </w:rPr>
      </w:pPr>
      <w:r w:rsidRPr="00022725">
        <w:rPr>
          <w:sz w:val="19"/>
          <w:szCs w:val="19"/>
        </w:rPr>
        <w:t>46.12 Posredovanje u trgovini gorivima, rudama, metalima i industrijskim hemikalijama</w:t>
      </w:r>
    </w:p>
    <w:p w:rsidR="00022725" w:rsidRPr="00022725" w:rsidRDefault="00022725" w:rsidP="00022725">
      <w:pPr>
        <w:spacing w:after="0"/>
        <w:rPr>
          <w:sz w:val="19"/>
          <w:szCs w:val="19"/>
        </w:rPr>
      </w:pPr>
      <w:r w:rsidRPr="00022725">
        <w:rPr>
          <w:sz w:val="19"/>
          <w:szCs w:val="19"/>
        </w:rPr>
        <w:t xml:space="preserve">46. </w:t>
      </w:r>
      <w:r w:rsidRPr="00022725">
        <w:rPr>
          <w:iCs/>
          <w:sz w:val="19"/>
          <w:szCs w:val="19"/>
        </w:rPr>
        <w:t>1</w:t>
      </w:r>
      <w:r w:rsidRPr="00022725">
        <w:rPr>
          <w:sz w:val="19"/>
          <w:szCs w:val="19"/>
        </w:rPr>
        <w:t>9 Posredovanje u trgovini raznovrsnim proizvodima</w:t>
      </w:r>
    </w:p>
    <w:p w:rsidR="00022725" w:rsidRPr="00022725" w:rsidRDefault="00022725" w:rsidP="00022725">
      <w:pPr>
        <w:spacing w:after="0"/>
        <w:rPr>
          <w:sz w:val="19"/>
          <w:szCs w:val="19"/>
        </w:rPr>
      </w:pPr>
      <w:r w:rsidRPr="00022725">
        <w:rPr>
          <w:sz w:val="19"/>
          <w:szCs w:val="19"/>
        </w:rPr>
        <w:t>46.21 Trgovina na veliko žitaricama, sirovim duvanom, sjemenjem i hranom za životinje</w:t>
      </w:r>
    </w:p>
    <w:p w:rsidR="00022725" w:rsidRPr="00022725" w:rsidRDefault="00022725" w:rsidP="00022725">
      <w:pPr>
        <w:spacing w:after="0"/>
        <w:rPr>
          <w:sz w:val="19"/>
          <w:szCs w:val="19"/>
        </w:rPr>
      </w:pPr>
      <w:r w:rsidRPr="00022725">
        <w:rPr>
          <w:sz w:val="19"/>
          <w:szCs w:val="19"/>
        </w:rPr>
        <w:t xml:space="preserve">46.22 Trgovina na veliko cvijećem i sadnicama (rastinjem) </w:t>
      </w:r>
    </w:p>
    <w:p w:rsidR="00022725" w:rsidRPr="00022725" w:rsidRDefault="00022725" w:rsidP="00022725">
      <w:pPr>
        <w:spacing w:after="0"/>
        <w:rPr>
          <w:sz w:val="19"/>
          <w:szCs w:val="19"/>
        </w:rPr>
      </w:pPr>
      <w:r w:rsidRPr="00022725">
        <w:rPr>
          <w:sz w:val="19"/>
          <w:szCs w:val="19"/>
        </w:rPr>
        <w:t>46.23 Trgovina na veliko živim životinjama</w:t>
      </w:r>
    </w:p>
    <w:p w:rsidR="00022725" w:rsidRPr="00022725" w:rsidRDefault="00022725" w:rsidP="00022725">
      <w:pPr>
        <w:spacing w:after="0"/>
        <w:rPr>
          <w:sz w:val="19"/>
          <w:szCs w:val="19"/>
        </w:rPr>
      </w:pPr>
      <w:r w:rsidRPr="00022725">
        <w:rPr>
          <w:sz w:val="19"/>
          <w:szCs w:val="19"/>
        </w:rPr>
        <w:t>46.24 Trgovina na veliko sirovom, nedovršenom i dovršenom kožom</w:t>
      </w:r>
    </w:p>
    <w:p w:rsidR="00022725" w:rsidRPr="00022725" w:rsidRDefault="00022725" w:rsidP="00022725">
      <w:pPr>
        <w:spacing w:after="0"/>
        <w:rPr>
          <w:sz w:val="19"/>
          <w:szCs w:val="19"/>
        </w:rPr>
      </w:pPr>
      <w:r w:rsidRPr="00022725">
        <w:rPr>
          <w:sz w:val="19"/>
          <w:szCs w:val="19"/>
        </w:rPr>
        <w:t>46.31 Trgovina na veliko voćem i povrćem</w:t>
      </w:r>
    </w:p>
    <w:p w:rsidR="00022725" w:rsidRPr="00022725" w:rsidRDefault="00022725" w:rsidP="00022725">
      <w:pPr>
        <w:spacing w:after="0"/>
        <w:rPr>
          <w:sz w:val="19"/>
          <w:szCs w:val="19"/>
        </w:rPr>
      </w:pPr>
      <w:r w:rsidRPr="00022725">
        <w:rPr>
          <w:sz w:val="19"/>
          <w:szCs w:val="19"/>
        </w:rPr>
        <w:t>46.32 Trgovina na veliko mesom i proizvodima od mesa</w:t>
      </w:r>
    </w:p>
    <w:p w:rsidR="00022725" w:rsidRPr="00022725" w:rsidRDefault="00022725" w:rsidP="00022725">
      <w:pPr>
        <w:spacing w:after="0"/>
        <w:rPr>
          <w:sz w:val="19"/>
          <w:szCs w:val="19"/>
        </w:rPr>
      </w:pPr>
      <w:r w:rsidRPr="00022725">
        <w:rPr>
          <w:sz w:val="19"/>
          <w:szCs w:val="19"/>
        </w:rPr>
        <w:t>46.33 Trgovina na veliko mlijekom, mliječnim proizvodima, jajima, jestivim uljima i mastima</w:t>
      </w:r>
    </w:p>
    <w:p w:rsidR="00022725" w:rsidRPr="00022725" w:rsidRDefault="00022725" w:rsidP="00022725">
      <w:pPr>
        <w:spacing w:after="0"/>
        <w:rPr>
          <w:sz w:val="19"/>
          <w:szCs w:val="19"/>
        </w:rPr>
      </w:pPr>
      <w:r w:rsidRPr="00022725">
        <w:rPr>
          <w:sz w:val="19"/>
          <w:szCs w:val="19"/>
        </w:rPr>
        <w:t>46.34 Trgovina na veliko pićima</w:t>
      </w:r>
    </w:p>
    <w:p w:rsidR="00022725" w:rsidRPr="00022725" w:rsidRDefault="00022725" w:rsidP="00022725">
      <w:pPr>
        <w:spacing w:after="0"/>
        <w:rPr>
          <w:sz w:val="19"/>
          <w:szCs w:val="19"/>
        </w:rPr>
      </w:pPr>
      <w:r w:rsidRPr="00022725">
        <w:rPr>
          <w:sz w:val="19"/>
          <w:szCs w:val="19"/>
        </w:rPr>
        <w:t>46.35 Trgovina na veliko duvanskim proizvodima</w:t>
      </w:r>
    </w:p>
    <w:p w:rsidR="00022725" w:rsidRPr="00022725" w:rsidRDefault="00022725" w:rsidP="00022725">
      <w:pPr>
        <w:spacing w:after="0"/>
        <w:rPr>
          <w:sz w:val="19"/>
          <w:szCs w:val="19"/>
        </w:rPr>
      </w:pPr>
      <w:r w:rsidRPr="00022725">
        <w:rPr>
          <w:sz w:val="19"/>
          <w:szCs w:val="19"/>
        </w:rPr>
        <w:t>46.36 Trgovina na veliko šećerom, čokoladom i proizvodima od šećera</w:t>
      </w:r>
    </w:p>
    <w:p w:rsidR="00022725" w:rsidRPr="00022725" w:rsidRDefault="00022725" w:rsidP="00022725">
      <w:pPr>
        <w:spacing w:after="0"/>
        <w:rPr>
          <w:sz w:val="19"/>
          <w:szCs w:val="19"/>
        </w:rPr>
      </w:pPr>
      <w:r w:rsidRPr="00022725">
        <w:rPr>
          <w:sz w:val="19"/>
          <w:szCs w:val="19"/>
        </w:rPr>
        <w:t>46.37 Trgovina na veliko kafom. čajem, kakaom i začinima</w:t>
      </w:r>
    </w:p>
    <w:p w:rsidR="00022725" w:rsidRPr="00022725" w:rsidRDefault="00022725" w:rsidP="00022725">
      <w:pPr>
        <w:spacing w:after="0"/>
        <w:rPr>
          <w:sz w:val="19"/>
          <w:szCs w:val="19"/>
        </w:rPr>
      </w:pPr>
      <w:r w:rsidRPr="00022725">
        <w:rPr>
          <w:sz w:val="19"/>
          <w:szCs w:val="19"/>
        </w:rPr>
        <w:t>46.38 Trgovina na veliko ostalom hranom obuhvaćajući ribe, Ijuskare i mekušce</w:t>
      </w:r>
    </w:p>
    <w:p w:rsidR="00022725" w:rsidRPr="00022725" w:rsidRDefault="00022725" w:rsidP="00022725">
      <w:pPr>
        <w:spacing w:after="0"/>
        <w:rPr>
          <w:sz w:val="19"/>
          <w:szCs w:val="19"/>
        </w:rPr>
      </w:pPr>
      <w:r w:rsidRPr="00022725">
        <w:rPr>
          <w:sz w:val="19"/>
          <w:szCs w:val="19"/>
        </w:rPr>
        <w:t>46.39 Nespecijalizirana trgovina na veliko hranom, pićima i duvanom</w:t>
      </w:r>
    </w:p>
    <w:p w:rsidR="00022725" w:rsidRPr="00022725" w:rsidRDefault="00022725" w:rsidP="00022725">
      <w:pPr>
        <w:spacing w:after="0"/>
        <w:rPr>
          <w:sz w:val="19"/>
          <w:szCs w:val="19"/>
        </w:rPr>
      </w:pPr>
      <w:r w:rsidRPr="00022725">
        <w:rPr>
          <w:sz w:val="19"/>
          <w:szCs w:val="19"/>
        </w:rPr>
        <w:t>46.41 Trgovina na veliko tekstilom</w:t>
      </w:r>
    </w:p>
    <w:p w:rsidR="00022725" w:rsidRPr="00022725" w:rsidRDefault="00022725" w:rsidP="00022725">
      <w:pPr>
        <w:spacing w:after="0"/>
        <w:rPr>
          <w:sz w:val="19"/>
          <w:szCs w:val="19"/>
        </w:rPr>
      </w:pPr>
      <w:r w:rsidRPr="00022725">
        <w:rPr>
          <w:iCs/>
          <w:sz w:val="19"/>
          <w:szCs w:val="19"/>
        </w:rPr>
        <w:t xml:space="preserve">46.42 </w:t>
      </w:r>
      <w:r w:rsidRPr="00022725">
        <w:rPr>
          <w:sz w:val="19"/>
          <w:szCs w:val="19"/>
        </w:rPr>
        <w:t>Trgovina na veliko odjećom i obućom</w:t>
      </w:r>
    </w:p>
    <w:p w:rsidR="00022725" w:rsidRPr="00022725" w:rsidRDefault="00022725" w:rsidP="00022725">
      <w:pPr>
        <w:spacing w:after="0"/>
        <w:rPr>
          <w:sz w:val="19"/>
          <w:szCs w:val="19"/>
        </w:rPr>
      </w:pPr>
      <w:r w:rsidRPr="00022725">
        <w:rPr>
          <w:sz w:val="19"/>
          <w:szCs w:val="19"/>
        </w:rPr>
        <w:t>46.43 Trgovina na veliko električnim aparatima za domaćinstvo</w:t>
      </w:r>
    </w:p>
    <w:p w:rsidR="00022725" w:rsidRPr="00022725" w:rsidRDefault="00022725" w:rsidP="00022725">
      <w:pPr>
        <w:spacing w:after="0"/>
        <w:rPr>
          <w:sz w:val="19"/>
          <w:szCs w:val="19"/>
        </w:rPr>
      </w:pPr>
      <w:r w:rsidRPr="00022725">
        <w:rPr>
          <w:sz w:val="19"/>
          <w:szCs w:val="19"/>
        </w:rPr>
        <w:t>46.44 Trgovina na veliko poredanom, staklarijom i sredstvima za čišćenje</w:t>
      </w:r>
    </w:p>
    <w:p w:rsidR="00022725" w:rsidRPr="00022725" w:rsidRDefault="00022725" w:rsidP="00022725">
      <w:pPr>
        <w:spacing w:after="0"/>
        <w:rPr>
          <w:sz w:val="19"/>
          <w:szCs w:val="19"/>
        </w:rPr>
      </w:pPr>
      <w:r w:rsidRPr="00022725">
        <w:rPr>
          <w:sz w:val="19"/>
          <w:szCs w:val="19"/>
        </w:rPr>
        <w:t>46.45 Trgovina na veliko parfumerijskim i kozmetičkim proizvodima</w:t>
      </w:r>
    </w:p>
    <w:p w:rsidR="00022725" w:rsidRPr="00022725" w:rsidRDefault="00022725" w:rsidP="00022725">
      <w:pPr>
        <w:spacing w:after="0"/>
        <w:rPr>
          <w:sz w:val="19"/>
          <w:szCs w:val="19"/>
        </w:rPr>
      </w:pPr>
      <w:r w:rsidRPr="00022725">
        <w:rPr>
          <w:sz w:val="19"/>
          <w:szCs w:val="19"/>
        </w:rPr>
        <w:t>46.47 Trgovina na veliko namještajem, tepisima i opremom za rasvjetu</w:t>
      </w:r>
    </w:p>
    <w:p w:rsidR="00022725" w:rsidRPr="00022725" w:rsidRDefault="00022725" w:rsidP="00022725">
      <w:pPr>
        <w:spacing w:after="0"/>
        <w:rPr>
          <w:sz w:val="19"/>
          <w:szCs w:val="19"/>
        </w:rPr>
      </w:pPr>
      <w:r w:rsidRPr="00022725">
        <w:rPr>
          <w:sz w:val="19"/>
          <w:szCs w:val="19"/>
        </w:rPr>
        <w:t>46.48 Trgovina na veliko satovima i nakitom</w:t>
      </w:r>
    </w:p>
    <w:p w:rsidR="00022725" w:rsidRPr="00022725" w:rsidRDefault="00022725" w:rsidP="00022725">
      <w:pPr>
        <w:spacing w:after="0"/>
        <w:rPr>
          <w:sz w:val="19"/>
          <w:szCs w:val="19"/>
        </w:rPr>
      </w:pPr>
      <w:r w:rsidRPr="00022725">
        <w:rPr>
          <w:sz w:val="19"/>
          <w:szCs w:val="19"/>
        </w:rPr>
        <w:t xml:space="preserve">46.49 Trgovina na veliko ostalom robom za domaćinstvo </w:t>
      </w:r>
    </w:p>
    <w:p w:rsidR="00022725" w:rsidRPr="00022725" w:rsidRDefault="00022725" w:rsidP="00022725">
      <w:pPr>
        <w:spacing w:after="0"/>
        <w:rPr>
          <w:sz w:val="19"/>
          <w:szCs w:val="19"/>
        </w:rPr>
      </w:pPr>
      <w:r w:rsidRPr="00022725">
        <w:rPr>
          <w:sz w:val="19"/>
          <w:szCs w:val="19"/>
        </w:rPr>
        <w:t>46.51 Trgovina na veliko računarima, perifernom opremom i softverom</w:t>
      </w:r>
    </w:p>
    <w:p w:rsidR="00022725" w:rsidRPr="00022725" w:rsidRDefault="00022725" w:rsidP="00022725">
      <w:pPr>
        <w:spacing w:after="0"/>
        <w:rPr>
          <w:sz w:val="19"/>
          <w:szCs w:val="19"/>
        </w:rPr>
      </w:pPr>
      <w:r w:rsidRPr="00022725">
        <w:rPr>
          <w:sz w:val="19"/>
          <w:szCs w:val="19"/>
        </w:rPr>
        <w:t>46.52 Trgovina na veliko elektronskim i telekomunikacionim dijelovima i opremom</w:t>
      </w:r>
    </w:p>
    <w:p w:rsidR="00022725" w:rsidRPr="00022725" w:rsidRDefault="00022725" w:rsidP="00022725">
      <w:pPr>
        <w:spacing w:after="0"/>
        <w:rPr>
          <w:sz w:val="19"/>
          <w:szCs w:val="19"/>
        </w:rPr>
      </w:pPr>
      <w:r w:rsidRPr="00022725">
        <w:rPr>
          <w:sz w:val="19"/>
          <w:szCs w:val="19"/>
        </w:rPr>
        <w:t>46.61 Trgovina na veliko poljoprivrednim mašinama, opremom i priborom</w:t>
      </w:r>
    </w:p>
    <w:p w:rsidR="00022725" w:rsidRPr="00022725" w:rsidRDefault="00022725" w:rsidP="00022725">
      <w:pPr>
        <w:spacing w:after="0"/>
        <w:rPr>
          <w:sz w:val="19"/>
          <w:szCs w:val="19"/>
        </w:rPr>
      </w:pPr>
      <w:r w:rsidRPr="00022725">
        <w:rPr>
          <w:sz w:val="19"/>
          <w:szCs w:val="19"/>
        </w:rPr>
        <w:t>46.62 Trgovina na veliko alatnim mašinama</w:t>
      </w:r>
    </w:p>
    <w:p w:rsidR="00022725" w:rsidRPr="00022725" w:rsidRDefault="00022725" w:rsidP="00022725">
      <w:pPr>
        <w:spacing w:after="0"/>
        <w:rPr>
          <w:sz w:val="19"/>
          <w:szCs w:val="19"/>
        </w:rPr>
      </w:pPr>
      <w:r w:rsidRPr="00022725">
        <w:rPr>
          <w:sz w:val="19"/>
          <w:szCs w:val="19"/>
        </w:rPr>
        <w:t>46.63 Trgovina na veliko mašinama za rudarstvo i građevinarstvo</w:t>
      </w:r>
    </w:p>
    <w:p w:rsidR="00022725" w:rsidRPr="00022725" w:rsidRDefault="00022725" w:rsidP="00022725">
      <w:pPr>
        <w:spacing w:after="0"/>
        <w:rPr>
          <w:sz w:val="19"/>
          <w:szCs w:val="19"/>
        </w:rPr>
      </w:pPr>
      <w:r w:rsidRPr="00022725">
        <w:rPr>
          <w:sz w:val="19"/>
          <w:szCs w:val="19"/>
        </w:rPr>
        <w:t>46.64 Trgovina na veliko mašinama za industriju tekstila i mašinama za šivanje i pletenje</w:t>
      </w:r>
    </w:p>
    <w:p w:rsidR="00022725" w:rsidRPr="00022725" w:rsidRDefault="00022725" w:rsidP="00022725">
      <w:pPr>
        <w:spacing w:after="0"/>
        <w:rPr>
          <w:sz w:val="19"/>
          <w:szCs w:val="19"/>
        </w:rPr>
      </w:pPr>
      <w:r w:rsidRPr="00022725">
        <w:rPr>
          <w:sz w:val="19"/>
          <w:szCs w:val="19"/>
        </w:rPr>
        <w:t>46.65 Trgovina na veliko namještajem za kancelarije</w:t>
      </w:r>
    </w:p>
    <w:p w:rsidR="00022725" w:rsidRPr="00022725" w:rsidRDefault="00022725" w:rsidP="00022725">
      <w:pPr>
        <w:spacing w:after="0"/>
        <w:rPr>
          <w:sz w:val="19"/>
          <w:szCs w:val="19"/>
        </w:rPr>
      </w:pPr>
      <w:r w:rsidRPr="00022725">
        <w:rPr>
          <w:iCs/>
          <w:sz w:val="19"/>
          <w:szCs w:val="19"/>
        </w:rPr>
        <w:t xml:space="preserve">46.66 </w:t>
      </w:r>
      <w:r w:rsidRPr="00022725">
        <w:rPr>
          <w:sz w:val="19"/>
          <w:szCs w:val="19"/>
        </w:rPr>
        <w:t>Trgovina na veliko ostalim kancelarijskim mašinama i opremom 46.69 Trgovina na veliko ostalim mašinama i opremom</w:t>
      </w:r>
    </w:p>
    <w:p w:rsidR="00022725" w:rsidRPr="00022725" w:rsidRDefault="00022725" w:rsidP="00022725">
      <w:pPr>
        <w:spacing w:after="0"/>
        <w:rPr>
          <w:sz w:val="19"/>
          <w:szCs w:val="19"/>
        </w:rPr>
      </w:pPr>
      <w:r w:rsidRPr="00022725">
        <w:rPr>
          <w:sz w:val="19"/>
          <w:szCs w:val="19"/>
        </w:rPr>
        <w:t>46.7 1 Trgovina na veliko čvrstim, tečnim i gasovitim gorivima i sličnim proizvodima</w:t>
      </w:r>
    </w:p>
    <w:p w:rsidR="00022725" w:rsidRPr="00022725" w:rsidRDefault="00022725" w:rsidP="00022725">
      <w:pPr>
        <w:spacing w:after="0"/>
        <w:rPr>
          <w:sz w:val="19"/>
          <w:szCs w:val="19"/>
        </w:rPr>
      </w:pPr>
      <w:r w:rsidRPr="00022725">
        <w:rPr>
          <w:sz w:val="19"/>
          <w:szCs w:val="19"/>
        </w:rPr>
        <w:t>46.72 Trgovina na veliko metalima i metalnim rudama</w:t>
      </w:r>
    </w:p>
    <w:p w:rsidR="00022725" w:rsidRPr="00022725" w:rsidRDefault="00022725" w:rsidP="00022725">
      <w:pPr>
        <w:spacing w:after="0"/>
        <w:rPr>
          <w:sz w:val="19"/>
          <w:szCs w:val="19"/>
        </w:rPr>
      </w:pPr>
      <w:r w:rsidRPr="00022725">
        <w:rPr>
          <w:sz w:val="19"/>
          <w:szCs w:val="19"/>
        </w:rPr>
        <w:t>46.73 Trgovina na veliko drvetom, građevinskim materijalom i sanitarnom opremom</w:t>
      </w:r>
    </w:p>
    <w:p w:rsidR="00022725" w:rsidRPr="00022725" w:rsidRDefault="00022725" w:rsidP="00022725">
      <w:pPr>
        <w:spacing w:after="0"/>
        <w:rPr>
          <w:sz w:val="19"/>
          <w:szCs w:val="19"/>
        </w:rPr>
      </w:pPr>
      <w:r w:rsidRPr="00022725">
        <w:rPr>
          <w:sz w:val="19"/>
          <w:szCs w:val="19"/>
        </w:rPr>
        <w:lastRenderedPageBreak/>
        <w:t>46.74 Trgovina na veliko robom od metala, instalacionim materijalom, uređajima i opremom za vodovod grijanje</w:t>
      </w:r>
    </w:p>
    <w:p w:rsidR="00022725" w:rsidRPr="00022725" w:rsidRDefault="00022725" w:rsidP="00022725">
      <w:pPr>
        <w:spacing w:after="0"/>
        <w:rPr>
          <w:sz w:val="19"/>
          <w:szCs w:val="19"/>
        </w:rPr>
      </w:pPr>
      <w:r w:rsidRPr="00022725">
        <w:rPr>
          <w:sz w:val="19"/>
          <w:szCs w:val="19"/>
        </w:rPr>
        <w:t>46.75 Trgovina na veliko hemijskim proizvodima</w:t>
      </w:r>
    </w:p>
    <w:p w:rsidR="00022725" w:rsidRPr="00022725" w:rsidRDefault="00022725" w:rsidP="00022725">
      <w:pPr>
        <w:spacing w:after="0"/>
        <w:rPr>
          <w:sz w:val="19"/>
          <w:szCs w:val="19"/>
        </w:rPr>
      </w:pPr>
      <w:r w:rsidRPr="00022725">
        <w:rPr>
          <w:sz w:val="19"/>
          <w:szCs w:val="19"/>
        </w:rPr>
        <w:t>46.76 Trgovi na veliko ostalim poluproizvodima</w:t>
      </w:r>
    </w:p>
    <w:p w:rsidR="00022725" w:rsidRPr="00022725" w:rsidRDefault="00022725" w:rsidP="00022725">
      <w:pPr>
        <w:spacing w:after="0"/>
        <w:rPr>
          <w:sz w:val="19"/>
          <w:szCs w:val="19"/>
        </w:rPr>
      </w:pPr>
      <w:r w:rsidRPr="00022725">
        <w:rPr>
          <w:sz w:val="19"/>
          <w:szCs w:val="19"/>
        </w:rPr>
        <w:t xml:space="preserve">46.77 Trgovina na veliko otpadom i ostacima </w:t>
      </w:r>
    </w:p>
    <w:p w:rsidR="00022725" w:rsidRPr="00022725" w:rsidRDefault="00022725" w:rsidP="00022725">
      <w:pPr>
        <w:spacing w:after="0"/>
        <w:rPr>
          <w:sz w:val="19"/>
          <w:szCs w:val="19"/>
        </w:rPr>
      </w:pPr>
      <w:r w:rsidRPr="00022725">
        <w:rPr>
          <w:sz w:val="19"/>
          <w:szCs w:val="19"/>
        </w:rPr>
        <w:t>46.90 Nespecijalizovana trgovina na veliko</w:t>
      </w:r>
    </w:p>
    <w:p w:rsidR="00022725" w:rsidRPr="00022725" w:rsidRDefault="00022725" w:rsidP="00022725">
      <w:pPr>
        <w:spacing w:after="0"/>
        <w:rPr>
          <w:sz w:val="19"/>
          <w:szCs w:val="19"/>
        </w:rPr>
      </w:pPr>
      <w:r w:rsidRPr="00022725">
        <w:rPr>
          <w:sz w:val="19"/>
          <w:szCs w:val="19"/>
        </w:rPr>
        <w:t>47.11 Trgovina na malo u nespecijalizovanim prodavnicama pretežno prehrambenim proizvodima, pićima i duvanskim proizvodima</w:t>
      </w:r>
    </w:p>
    <w:p w:rsidR="00022725" w:rsidRPr="00022725" w:rsidRDefault="00022725" w:rsidP="00022725">
      <w:pPr>
        <w:spacing w:after="0"/>
        <w:rPr>
          <w:sz w:val="19"/>
          <w:szCs w:val="19"/>
        </w:rPr>
      </w:pPr>
      <w:r w:rsidRPr="00022725">
        <w:rPr>
          <w:sz w:val="19"/>
          <w:szCs w:val="19"/>
        </w:rPr>
        <w:t>47.19 Ostala trgovina rta malo u nespecijalizovanim prodavnicama</w:t>
      </w:r>
    </w:p>
    <w:p w:rsidR="00022725" w:rsidRPr="00022725" w:rsidRDefault="00022725" w:rsidP="00022725">
      <w:pPr>
        <w:spacing w:after="0"/>
        <w:rPr>
          <w:sz w:val="19"/>
          <w:szCs w:val="19"/>
        </w:rPr>
      </w:pPr>
      <w:r w:rsidRPr="00022725">
        <w:rPr>
          <w:sz w:val="19"/>
          <w:szCs w:val="19"/>
        </w:rPr>
        <w:t xml:space="preserve">47.21 Trgovina na malo voćem </w:t>
      </w:r>
      <w:r w:rsidRPr="00022725">
        <w:rPr>
          <w:iCs/>
          <w:sz w:val="19"/>
          <w:szCs w:val="19"/>
        </w:rPr>
        <w:t xml:space="preserve">i </w:t>
      </w:r>
      <w:r w:rsidRPr="00022725">
        <w:rPr>
          <w:sz w:val="19"/>
          <w:szCs w:val="19"/>
        </w:rPr>
        <w:t>povrćem u specijalizovanim prodavnicama</w:t>
      </w:r>
    </w:p>
    <w:p w:rsidR="00022725" w:rsidRPr="00022725" w:rsidRDefault="00022725" w:rsidP="00022725">
      <w:pPr>
        <w:spacing w:after="0"/>
        <w:rPr>
          <w:sz w:val="19"/>
          <w:szCs w:val="19"/>
        </w:rPr>
      </w:pPr>
      <w:r w:rsidRPr="00022725">
        <w:rPr>
          <w:sz w:val="19"/>
          <w:szCs w:val="19"/>
        </w:rPr>
        <w:t>47.22 Trgovina na malo mesom i proizvodima od mesa u specijalizovanim prodavnicama.</w:t>
      </w:r>
    </w:p>
    <w:p w:rsidR="00022725" w:rsidRPr="00022725" w:rsidRDefault="00022725" w:rsidP="00022725">
      <w:pPr>
        <w:spacing w:after="0"/>
        <w:rPr>
          <w:sz w:val="19"/>
          <w:szCs w:val="19"/>
        </w:rPr>
      </w:pPr>
      <w:r w:rsidRPr="00022725">
        <w:rPr>
          <w:sz w:val="19"/>
          <w:szCs w:val="19"/>
        </w:rPr>
        <w:t>47.23 Trgovina na malo ribom, Ijuskarima i mekušcima u specijaiizovanim prodavnicama</w:t>
      </w:r>
    </w:p>
    <w:p w:rsidR="00022725" w:rsidRPr="00022725" w:rsidRDefault="00022725" w:rsidP="00022725">
      <w:pPr>
        <w:spacing w:after="0"/>
        <w:rPr>
          <w:sz w:val="19"/>
          <w:szCs w:val="19"/>
        </w:rPr>
      </w:pPr>
      <w:r w:rsidRPr="00022725">
        <w:rPr>
          <w:sz w:val="19"/>
          <w:szCs w:val="19"/>
        </w:rPr>
        <w:t>47.24 Trgovina na malo hljebom, kolačima, proizvodima od brašna i proizvodima od šećera u specijalizovanim prodavnicama</w:t>
      </w:r>
    </w:p>
    <w:p w:rsidR="00022725" w:rsidRPr="00022725" w:rsidRDefault="00022725" w:rsidP="00022725">
      <w:pPr>
        <w:spacing w:after="0"/>
        <w:rPr>
          <w:sz w:val="19"/>
          <w:szCs w:val="19"/>
        </w:rPr>
      </w:pPr>
      <w:r w:rsidRPr="00022725">
        <w:rPr>
          <w:sz w:val="19"/>
          <w:szCs w:val="19"/>
        </w:rPr>
        <w:t>47.25 Trgovina na malo pićima u specijalizovanim prodavnicama</w:t>
      </w:r>
    </w:p>
    <w:p w:rsidR="00022725" w:rsidRPr="00022725" w:rsidRDefault="00022725" w:rsidP="00022725">
      <w:pPr>
        <w:spacing w:after="0"/>
        <w:rPr>
          <w:sz w:val="19"/>
          <w:szCs w:val="19"/>
        </w:rPr>
      </w:pPr>
      <w:r w:rsidRPr="00022725">
        <w:rPr>
          <w:sz w:val="19"/>
          <w:szCs w:val="19"/>
        </w:rPr>
        <w:t>47.26 Trgovina na malo proizvodi ma od duhana, u specijalizovanim prodavnicama</w:t>
      </w:r>
    </w:p>
    <w:p w:rsidR="00022725" w:rsidRPr="00022725" w:rsidRDefault="00022725" w:rsidP="00022725">
      <w:pPr>
        <w:spacing w:after="0"/>
        <w:rPr>
          <w:sz w:val="19"/>
          <w:szCs w:val="19"/>
        </w:rPr>
      </w:pPr>
      <w:r w:rsidRPr="00022725">
        <w:rPr>
          <w:sz w:val="19"/>
          <w:szCs w:val="19"/>
        </w:rPr>
        <w:t>47.29 Ostala trgovina na malo prehrambenim proizvodima u specijalizovamm prodavnicama</w:t>
      </w:r>
    </w:p>
    <w:p w:rsidR="00022725" w:rsidRPr="00022725" w:rsidRDefault="00022725" w:rsidP="00022725">
      <w:pPr>
        <w:spacing w:after="0"/>
        <w:rPr>
          <w:sz w:val="19"/>
          <w:szCs w:val="19"/>
        </w:rPr>
      </w:pPr>
      <w:r w:rsidRPr="00022725">
        <w:rPr>
          <w:sz w:val="19"/>
          <w:szCs w:val="19"/>
        </w:rPr>
        <w:t>47.30 Trgovina na malo motornim gorivima u specijalizovanim prodavnicama</w:t>
      </w:r>
    </w:p>
    <w:p w:rsidR="00022725" w:rsidRPr="00022725" w:rsidRDefault="00022725" w:rsidP="00022725">
      <w:pPr>
        <w:spacing w:after="0"/>
        <w:rPr>
          <w:sz w:val="19"/>
          <w:szCs w:val="19"/>
        </w:rPr>
      </w:pPr>
      <w:r w:rsidRPr="00022725">
        <w:rPr>
          <w:sz w:val="19"/>
          <w:szCs w:val="19"/>
        </w:rPr>
        <w:t>47.41 Trgovina na malo računarima, perifernim jedinicama i softverom u specijaiizovanim prodavnicama</w:t>
      </w:r>
    </w:p>
    <w:p w:rsidR="00022725" w:rsidRPr="00022725" w:rsidRDefault="00022725" w:rsidP="00022725">
      <w:pPr>
        <w:spacing w:after="0"/>
        <w:rPr>
          <w:sz w:val="19"/>
          <w:szCs w:val="19"/>
        </w:rPr>
      </w:pPr>
      <w:r w:rsidRPr="00022725">
        <w:rPr>
          <w:sz w:val="19"/>
          <w:szCs w:val="19"/>
        </w:rPr>
        <w:t>47.42 Trgovina na malo teIekomunikacionom opremom u specijalizovanim prodavnicama</w:t>
      </w:r>
    </w:p>
    <w:p w:rsidR="00022725" w:rsidRPr="00022725" w:rsidRDefault="00022725" w:rsidP="00022725">
      <w:pPr>
        <w:spacing w:after="0"/>
        <w:rPr>
          <w:sz w:val="19"/>
          <w:szCs w:val="19"/>
        </w:rPr>
      </w:pPr>
      <w:r w:rsidRPr="00022725">
        <w:rPr>
          <w:sz w:val="19"/>
          <w:szCs w:val="19"/>
        </w:rPr>
        <w:t>47.43 Trgovina na malo audio i video opremom u specijalizovanim prodavnicama</w:t>
      </w:r>
    </w:p>
    <w:p w:rsidR="00022725" w:rsidRPr="00022725" w:rsidRDefault="00022725" w:rsidP="00022725">
      <w:pPr>
        <w:spacing w:after="0"/>
        <w:rPr>
          <w:sz w:val="19"/>
          <w:szCs w:val="19"/>
        </w:rPr>
      </w:pPr>
      <w:r w:rsidRPr="00022725">
        <w:rPr>
          <w:sz w:val="19"/>
          <w:szCs w:val="19"/>
        </w:rPr>
        <w:t>47.51 Trgovina na malo tekstilom u specijalizovanim prodavnicama</w:t>
      </w:r>
    </w:p>
    <w:p w:rsidR="00022725" w:rsidRPr="00022725" w:rsidRDefault="00022725" w:rsidP="00022725">
      <w:pPr>
        <w:spacing w:after="0"/>
        <w:rPr>
          <w:sz w:val="19"/>
          <w:szCs w:val="19"/>
        </w:rPr>
      </w:pPr>
      <w:r w:rsidRPr="00022725">
        <w:rPr>
          <w:sz w:val="19"/>
          <w:szCs w:val="19"/>
        </w:rPr>
        <w:t>47.52 Trgovina na malo robom od metala, bojama i staklom u specijalizovanim prodavnicama</w:t>
      </w:r>
    </w:p>
    <w:p w:rsidR="00022725" w:rsidRPr="00022725" w:rsidRDefault="00022725" w:rsidP="00022725">
      <w:pPr>
        <w:spacing w:after="0"/>
        <w:rPr>
          <w:sz w:val="19"/>
          <w:szCs w:val="19"/>
        </w:rPr>
      </w:pPr>
      <w:r w:rsidRPr="00022725">
        <w:rPr>
          <w:sz w:val="19"/>
          <w:szCs w:val="19"/>
        </w:rPr>
        <w:t>47.53 Trgovina na malo tepisima i prostiračima za pod, zidnim i podnim oblogama u specijalizovanim prodavnicama</w:t>
      </w:r>
    </w:p>
    <w:p w:rsidR="00022725" w:rsidRPr="00022725" w:rsidRDefault="00022725" w:rsidP="00022725">
      <w:pPr>
        <w:spacing w:after="0"/>
        <w:rPr>
          <w:sz w:val="19"/>
          <w:szCs w:val="19"/>
        </w:rPr>
      </w:pPr>
      <w:r w:rsidRPr="00022725">
        <w:rPr>
          <w:sz w:val="19"/>
          <w:szCs w:val="19"/>
        </w:rPr>
        <w:t xml:space="preserve">47.54 Trgovina na malo električnim aparatima za domaćinstvo u specijalizovanim prodavnicama </w:t>
      </w:r>
    </w:p>
    <w:p w:rsidR="00022725" w:rsidRPr="00022725" w:rsidRDefault="00022725" w:rsidP="00022725">
      <w:pPr>
        <w:spacing w:after="0"/>
        <w:rPr>
          <w:sz w:val="19"/>
          <w:szCs w:val="19"/>
        </w:rPr>
      </w:pPr>
      <w:r w:rsidRPr="00022725">
        <w:rPr>
          <w:sz w:val="19"/>
          <w:szCs w:val="19"/>
        </w:rPr>
        <w:t>47.59 Trgovina na malo namještajem, opremom za rasvjetu i ostalim proizvodima za domaćinstvo u specijalizovanim prodavnicama</w:t>
      </w:r>
    </w:p>
    <w:p w:rsidR="00022725" w:rsidRPr="00022725" w:rsidRDefault="00022725" w:rsidP="00022725">
      <w:pPr>
        <w:spacing w:after="0"/>
        <w:rPr>
          <w:sz w:val="19"/>
          <w:szCs w:val="19"/>
        </w:rPr>
      </w:pPr>
      <w:r w:rsidRPr="00022725">
        <w:rPr>
          <w:sz w:val="19"/>
          <w:szCs w:val="19"/>
        </w:rPr>
        <w:t>47.61 Trgovina na malo knjigama u specijalizovanim prodavnicama</w:t>
      </w:r>
    </w:p>
    <w:p w:rsidR="00022725" w:rsidRPr="00022725" w:rsidRDefault="00022725" w:rsidP="00022725">
      <w:pPr>
        <w:spacing w:after="0"/>
        <w:rPr>
          <w:sz w:val="19"/>
          <w:szCs w:val="19"/>
        </w:rPr>
      </w:pPr>
      <w:r w:rsidRPr="00022725">
        <w:rPr>
          <w:sz w:val="19"/>
          <w:szCs w:val="19"/>
        </w:rPr>
        <w:t>47.62 Trgovina na malo novinama, papirom i pisaćim priborom u specijalizovanim prodavnicama</w:t>
      </w:r>
    </w:p>
    <w:p w:rsidR="00022725" w:rsidRPr="00022725" w:rsidRDefault="00022725" w:rsidP="00022725">
      <w:pPr>
        <w:spacing w:after="0"/>
        <w:rPr>
          <w:sz w:val="19"/>
          <w:szCs w:val="19"/>
        </w:rPr>
      </w:pPr>
      <w:r w:rsidRPr="00022725">
        <w:rPr>
          <w:sz w:val="19"/>
          <w:szCs w:val="19"/>
        </w:rPr>
        <w:t>47.63 Trgovina na malo muzičkim i video zapisima u specijalizovanim prodavnicama</w:t>
      </w:r>
    </w:p>
    <w:p w:rsidR="00022725" w:rsidRPr="00022725" w:rsidRDefault="00022725" w:rsidP="00022725">
      <w:pPr>
        <w:spacing w:after="0"/>
        <w:rPr>
          <w:sz w:val="19"/>
          <w:szCs w:val="19"/>
        </w:rPr>
      </w:pPr>
      <w:r w:rsidRPr="00022725">
        <w:rPr>
          <w:sz w:val="19"/>
          <w:szCs w:val="19"/>
        </w:rPr>
        <w:t>47.64 Trgovina na malo sportskom opremom u specijaiizovanim prodavnicama</w:t>
      </w:r>
    </w:p>
    <w:p w:rsidR="00022725" w:rsidRPr="00022725" w:rsidRDefault="00022725" w:rsidP="00022725">
      <w:pPr>
        <w:spacing w:after="0"/>
        <w:rPr>
          <w:sz w:val="19"/>
          <w:szCs w:val="19"/>
        </w:rPr>
      </w:pPr>
      <w:r w:rsidRPr="00022725">
        <w:rPr>
          <w:sz w:val="19"/>
          <w:szCs w:val="19"/>
        </w:rPr>
        <w:t>47.65 Trgovina na malo igrama i igračkama u specijalizovanini prodavnicama</w:t>
      </w:r>
    </w:p>
    <w:p w:rsidR="00022725" w:rsidRPr="00022725" w:rsidRDefault="00022725" w:rsidP="00022725">
      <w:pPr>
        <w:spacing w:after="0"/>
        <w:rPr>
          <w:sz w:val="19"/>
          <w:szCs w:val="19"/>
        </w:rPr>
      </w:pPr>
      <w:r w:rsidRPr="00022725">
        <w:rPr>
          <w:sz w:val="19"/>
          <w:szCs w:val="19"/>
        </w:rPr>
        <w:t>47.71 Trgovina na malo odjećom u specijalizovanim prodavnicama</w:t>
      </w:r>
    </w:p>
    <w:p w:rsidR="00022725" w:rsidRPr="00022725" w:rsidRDefault="00022725" w:rsidP="00022725">
      <w:pPr>
        <w:spacing w:after="0"/>
        <w:rPr>
          <w:sz w:val="19"/>
          <w:szCs w:val="19"/>
        </w:rPr>
      </w:pPr>
      <w:r w:rsidRPr="00022725">
        <w:rPr>
          <w:sz w:val="19"/>
          <w:szCs w:val="19"/>
        </w:rPr>
        <w:t>47.72 Trgovina na malo obućom i robom od kože u specijalizovanim prodavnicama</w:t>
      </w:r>
    </w:p>
    <w:p w:rsidR="00022725" w:rsidRPr="00022725" w:rsidRDefault="00022725" w:rsidP="00022725">
      <w:pPr>
        <w:spacing w:after="0"/>
        <w:rPr>
          <w:sz w:val="19"/>
          <w:szCs w:val="19"/>
        </w:rPr>
      </w:pPr>
      <w:r w:rsidRPr="00022725">
        <w:rPr>
          <w:sz w:val="19"/>
          <w:szCs w:val="19"/>
        </w:rPr>
        <w:t>47.75 Trgovina na malo kozmetičkim i toaletnim preparatima u specijalizovanim prodavnicama</w:t>
      </w:r>
    </w:p>
    <w:p w:rsidR="00022725" w:rsidRPr="00022725" w:rsidRDefault="00022725" w:rsidP="00022725">
      <w:pPr>
        <w:spacing w:after="0"/>
        <w:rPr>
          <w:sz w:val="19"/>
          <w:szCs w:val="19"/>
        </w:rPr>
      </w:pPr>
      <w:r w:rsidRPr="00022725">
        <w:rPr>
          <w:sz w:val="19"/>
          <w:szCs w:val="19"/>
        </w:rPr>
        <w:t>47.76 Trgovina na malo cvijećem, sadnicama, sjemenjem, đubrivom, kućnim ljubimcima i hranom za kućne ljubimce u specijalizovaninim prodavnicama</w:t>
      </w:r>
    </w:p>
    <w:p w:rsidR="00022725" w:rsidRPr="00022725" w:rsidRDefault="00022725" w:rsidP="00022725">
      <w:pPr>
        <w:spacing w:after="0"/>
        <w:rPr>
          <w:sz w:val="19"/>
          <w:szCs w:val="19"/>
        </w:rPr>
      </w:pPr>
      <w:r w:rsidRPr="00022725">
        <w:rPr>
          <w:sz w:val="19"/>
          <w:szCs w:val="19"/>
        </w:rPr>
        <w:t>47.77 Trgovina na malo satovima i nakitom u specijalizovanim prodavnicama</w:t>
      </w:r>
    </w:p>
    <w:p w:rsidR="00022725" w:rsidRPr="00022725" w:rsidRDefault="00022725" w:rsidP="00022725">
      <w:pPr>
        <w:spacing w:after="0"/>
        <w:rPr>
          <w:sz w:val="19"/>
          <w:szCs w:val="19"/>
        </w:rPr>
      </w:pPr>
      <w:r w:rsidRPr="00022725">
        <w:rPr>
          <w:sz w:val="19"/>
          <w:szCs w:val="19"/>
        </w:rPr>
        <w:t>47.78 Ostala trgovina na malo novom robom u specijalizovanim prodavnicama</w:t>
      </w:r>
    </w:p>
    <w:p w:rsidR="00022725" w:rsidRPr="00022725" w:rsidRDefault="00022725" w:rsidP="00022725">
      <w:pPr>
        <w:spacing w:after="0"/>
        <w:rPr>
          <w:sz w:val="19"/>
          <w:szCs w:val="19"/>
        </w:rPr>
      </w:pPr>
      <w:r w:rsidRPr="00022725">
        <w:rPr>
          <w:sz w:val="19"/>
          <w:szCs w:val="19"/>
        </w:rPr>
        <w:t>47.79 Trgovina na malo polovnom robom u specijalizovanim prodavnicama</w:t>
      </w:r>
    </w:p>
    <w:p w:rsidR="00022725" w:rsidRPr="00022725" w:rsidRDefault="00022725" w:rsidP="00022725">
      <w:pPr>
        <w:spacing w:after="0"/>
        <w:rPr>
          <w:sz w:val="19"/>
          <w:szCs w:val="19"/>
        </w:rPr>
      </w:pPr>
      <w:r w:rsidRPr="00022725">
        <w:rPr>
          <w:sz w:val="19"/>
          <w:szCs w:val="19"/>
        </w:rPr>
        <w:t xml:space="preserve">47.81 Trgovina na malo hranom, pićima i duvanskim proizvodima na tezgama i pijacama </w:t>
      </w:r>
    </w:p>
    <w:p w:rsidR="00022725" w:rsidRPr="00022725" w:rsidRDefault="00022725" w:rsidP="00022725">
      <w:pPr>
        <w:spacing w:after="0"/>
        <w:rPr>
          <w:sz w:val="19"/>
          <w:szCs w:val="19"/>
        </w:rPr>
      </w:pPr>
      <w:r w:rsidRPr="00022725">
        <w:rPr>
          <w:sz w:val="19"/>
          <w:szCs w:val="19"/>
        </w:rPr>
        <w:t>47.82 Trgovina na malo tekstilom, odjećom i obućom na tezgama i pijacama</w:t>
      </w:r>
    </w:p>
    <w:p w:rsidR="00022725" w:rsidRPr="00022725" w:rsidRDefault="00022725" w:rsidP="00022725">
      <w:pPr>
        <w:spacing w:after="0"/>
        <w:rPr>
          <w:sz w:val="19"/>
          <w:szCs w:val="19"/>
        </w:rPr>
      </w:pPr>
      <w:r w:rsidRPr="00022725">
        <w:rPr>
          <w:sz w:val="19"/>
          <w:szCs w:val="19"/>
        </w:rPr>
        <w:t>47.89 Trgovina na malo ostalom robom na tezgama i pijacama</w:t>
      </w:r>
    </w:p>
    <w:p w:rsidR="00022725" w:rsidRPr="00022725" w:rsidRDefault="00022725" w:rsidP="00022725">
      <w:pPr>
        <w:spacing w:after="0"/>
        <w:rPr>
          <w:sz w:val="19"/>
          <w:szCs w:val="19"/>
        </w:rPr>
      </w:pPr>
      <w:r w:rsidRPr="00022725">
        <w:rPr>
          <w:sz w:val="19"/>
          <w:szCs w:val="19"/>
        </w:rPr>
        <w:t>47.9 1 Trgovina na malo preko pošte iii Interneta</w:t>
      </w:r>
    </w:p>
    <w:p w:rsidR="00022725" w:rsidRPr="00022725" w:rsidRDefault="00022725" w:rsidP="00022725">
      <w:pPr>
        <w:spacing w:after="0"/>
        <w:rPr>
          <w:sz w:val="19"/>
          <w:szCs w:val="19"/>
        </w:rPr>
      </w:pPr>
      <w:r w:rsidRPr="00022725">
        <w:rPr>
          <w:sz w:val="19"/>
          <w:szCs w:val="19"/>
        </w:rPr>
        <w:t>47.99 Ostala trgovina na malo izvan prodavnica, tezgi i pijaca</w:t>
      </w:r>
    </w:p>
    <w:p w:rsidR="00022725" w:rsidRPr="00022725" w:rsidRDefault="00022725" w:rsidP="00022725">
      <w:pPr>
        <w:spacing w:after="0"/>
        <w:rPr>
          <w:sz w:val="19"/>
          <w:szCs w:val="19"/>
        </w:rPr>
      </w:pPr>
      <w:r w:rsidRPr="00022725">
        <w:rPr>
          <w:sz w:val="19"/>
          <w:szCs w:val="19"/>
        </w:rPr>
        <w:t>55.10 Hoteli istican smještaj</w:t>
      </w:r>
    </w:p>
    <w:p w:rsidR="00022725" w:rsidRPr="00022725" w:rsidRDefault="00022725" w:rsidP="00022725">
      <w:pPr>
        <w:spacing w:after="0"/>
        <w:rPr>
          <w:sz w:val="19"/>
          <w:szCs w:val="19"/>
        </w:rPr>
      </w:pPr>
      <w:r w:rsidRPr="00022725">
        <w:rPr>
          <w:sz w:val="19"/>
          <w:szCs w:val="19"/>
        </w:rPr>
        <w:t>56.10 Djelatnosti restorana i usluge dostave hrane</w:t>
      </w:r>
    </w:p>
    <w:p w:rsidR="00022725" w:rsidRPr="00022725" w:rsidRDefault="00022725" w:rsidP="00022725">
      <w:pPr>
        <w:spacing w:after="0"/>
        <w:rPr>
          <w:sz w:val="19"/>
          <w:szCs w:val="19"/>
        </w:rPr>
      </w:pPr>
      <w:r w:rsidRPr="00022725">
        <w:rPr>
          <w:sz w:val="19"/>
          <w:szCs w:val="19"/>
        </w:rPr>
        <w:t>56.29 Ostale djelatnosti pripreme i posluživanja (dostave) hrane</w:t>
      </w:r>
    </w:p>
    <w:p w:rsidR="00022725" w:rsidRPr="00022725" w:rsidRDefault="00022725" w:rsidP="00022725">
      <w:pPr>
        <w:spacing w:after="0"/>
        <w:rPr>
          <w:sz w:val="19"/>
          <w:szCs w:val="19"/>
        </w:rPr>
      </w:pPr>
      <w:r w:rsidRPr="00022725">
        <w:rPr>
          <w:sz w:val="19"/>
          <w:szCs w:val="19"/>
        </w:rPr>
        <w:t>68.20 Iznajmljivanje i poslovanje sopstvenim nekretninama ili nekretninama uzetim u zakup (lizing)</w:t>
      </w:r>
    </w:p>
    <w:p w:rsidR="00022725" w:rsidRPr="00022725" w:rsidRDefault="00022725" w:rsidP="00022725">
      <w:pPr>
        <w:spacing w:after="0"/>
        <w:rPr>
          <w:sz w:val="19"/>
          <w:szCs w:val="19"/>
        </w:rPr>
      </w:pPr>
      <w:r w:rsidRPr="00022725">
        <w:rPr>
          <w:sz w:val="19"/>
          <w:szCs w:val="19"/>
        </w:rPr>
        <w:lastRenderedPageBreak/>
        <w:t>69.20 Računovodstvene, knjigovodstvene i revizorske djelatnosti; djelatnosti savjetovanja koje se odnose na porez</w:t>
      </w:r>
    </w:p>
    <w:p w:rsidR="00022725" w:rsidRPr="00022725" w:rsidRDefault="00022725" w:rsidP="00022725">
      <w:pPr>
        <w:spacing w:after="0"/>
        <w:rPr>
          <w:sz w:val="19"/>
          <w:szCs w:val="19"/>
        </w:rPr>
      </w:pPr>
      <w:r w:rsidRPr="00022725">
        <w:rPr>
          <w:sz w:val="19"/>
          <w:szCs w:val="19"/>
        </w:rPr>
        <w:t xml:space="preserve">77.11 iznajmljivanje i davanje u zakup (lizing) automobila i motornih vozila lake kategorije </w:t>
      </w:r>
    </w:p>
    <w:p w:rsidR="00022725" w:rsidRPr="00022725" w:rsidRDefault="00022725" w:rsidP="00022725">
      <w:pPr>
        <w:spacing w:after="0"/>
        <w:rPr>
          <w:sz w:val="19"/>
          <w:szCs w:val="19"/>
        </w:rPr>
      </w:pPr>
      <w:r w:rsidRPr="00022725">
        <w:rPr>
          <w:sz w:val="19"/>
          <w:szCs w:val="19"/>
        </w:rPr>
        <w:t>79.11 Djelatnosti putničkih agencija</w:t>
      </w:r>
    </w:p>
    <w:p w:rsidR="00022725" w:rsidRPr="00022725" w:rsidRDefault="00022725" w:rsidP="00022725">
      <w:pPr>
        <w:spacing w:after="0"/>
        <w:rPr>
          <w:sz w:val="19"/>
          <w:szCs w:val="19"/>
        </w:rPr>
      </w:pPr>
      <w:r w:rsidRPr="00022725">
        <w:rPr>
          <w:sz w:val="19"/>
          <w:szCs w:val="19"/>
        </w:rPr>
        <w:t>82.92 Djelatnosti pakovanja</w:t>
      </w:r>
    </w:p>
    <w:p w:rsidR="00022725" w:rsidRPr="00022725" w:rsidRDefault="00022725" w:rsidP="00022725">
      <w:pPr>
        <w:spacing w:after="0"/>
        <w:rPr>
          <w:b/>
          <w:bCs/>
          <w:sz w:val="19"/>
          <w:szCs w:val="19"/>
          <w:u w:val="single"/>
        </w:rPr>
      </w:pPr>
    </w:p>
    <w:p w:rsidR="00022725" w:rsidRPr="00022725" w:rsidRDefault="00022725" w:rsidP="00022725">
      <w:pPr>
        <w:spacing w:after="0"/>
        <w:rPr>
          <w:sz w:val="19"/>
          <w:szCs w:val="19"/>
        </w:rPr>
      </w:pPr>
      <w:r w:rsidRPr="00022725">
        <w:rPr>
          <w:b/>
          <w:bCs/>
          <w:sz w:val="19"/>
          <w:szCs w:val="19"/>
          <w:u w:val="single"/>
        </w:rPr>
        <w:t>DJELATNOST SUBJEKTA UPISA - u spoljnotrgovinskom prometu</w:t>
      </w:r>
    </w:p>
    <w:p w:rsidR="00022725" w:rsidRPr="00022725" w:rsidRDefault="00022725" w:rsidP="00022725">
      <w:pPr>
        <w:spacing w:after="0"/>
        <w:rPr>
          <w:sz w:val="19"/>
          <w:szCs w:val="19"/>
        </w:rPr>
      </w:pPr>
      <w:r w:rsidRPr="00022725">
        <w:rPr>
          <w:sz w:val="19"/>
          <w:szCs w:val="19"/>
        </w:rPr>
        <w:t>U okviru registrovane djelatnosti.</w:t>
      </w:r>
    </w:p>
    <w:p w:rsidR="00022725" w:rsidRPr="00022725" w:rsidRDefault="00022725" w:rsidP="00022725">
      <w:pPr>
        <w:spacing w:after="0"/>
        <w:rPr>
          <w:iCs/>
          <w:sz w:val="19"/>
          <w:szCs w:val="19"/>
          <w:lang w:val="sr-Latn-BA"/>
        </w:rPr>
      </w:pPr>
    </w:p>
    <w:p w:rsidR="00022725" w:rsidRPr="00022725" w:rsidRDefault="00022725" w:rsidP="00022725">
      <w:pPr>
        <w:spacing w:after="0"/>
        <w:rPr>
          <w:iCs/>
          <w:sz w:val="19"/>
          <w:szCs w:val="19"/>
          <w:lang w:val="sr-Latn-BA"/>
        </w:rPr>
      </w:pPr>
    </w:p>
    <w:p w:rsidR="00022725" w:rsidRPr="00022725" w:rsidRDefault="00022725" w:rsidP="00022725">
      <w:pPr>
        <w:spacing w:after="0"/>
        <w:rPr>
          <w:iCs/>
          <w:sz w:val="19"/>
          <w:szCs w:val="19"/>
          <w:lang w:val="sr-Latn-BA"/>
        </w:rPr>
      </w:pPr>
    </w:p>
    <w:p w:rsidR="00022725" w:rsidRDefault="00022725">
      <w:pPr>
        <w:rPr>
          <w:b/>
          <w:bCs/>
          <w:iCs/>
          <w:sz w:val="19"/>
          <w:szCs w:val="19"/>
        </w:rPr>
      </w:pPr>
      <w:r>
        <w:rPr>
          <w:b/>
          <w:bCs/>
          <w:iCs/>
          <w:sz w:val="19"/>
          <w:szCs w:val="19"/>
        </w:rPr>
        <w:br w:type="page"/>
      </w:r>
    </w:p>
    <w:p w:rsidR="00E67545" w:rsidRPr="00CF22FD" w:rsidRDefault="00B07BBD" w:rsidP="00CF22FD">
      <w:pPr>
        <w:pStyle w:val="ListParagraph"/>
        <w:numPr>
          <w:ilvl w:val="0"/>
          <w:numId w:val="1"/>
        </w:numPr>
        <w:spacing w:after="0"/>
        <w:contextualSpacing w:val="0"/>
        <w:rPr>
          <w:b/>
          <w:bCs/>
          <w:iCs/>
          <w:sz w:val="19"/>
          <w:szCs w:val="19"/>
        </w:rPr>
      </w:pPr>
      <w:r w:rsidRPr="00CF22FD">
        <w:rPr>
          <w:b/>
          <w:bCs/>
          <w:iCs/>
          <w:sz w:val="19"/>
          <w:szCs w:val="19"/>
        </w:rPr>
        <w:lastRenderedPageBreak/>
        <w:t>OSNOVA ZA SASTAVLJANJE FINANS</w:t>
      </w:r>
      <w:r w:rsidR="00E67545" w:rsidRPr="00CF22FD">
        <w:rPr>
          <w:b/>
          <w:bCs/>
          <w:iCs/>
          <w:sz w:val="19"/>
          <w:szCs w:val="19"/>
        </w:rPr>
        <w:t>IJSKIH IZVJE</w:t>
      </w:r>
      <w:r w:rsidRPr="00CF22FD">
        <w:rPr>
          <w:b/>
          <w:bCs/>
          <w:iCs/>
          <w:sz w:val="19"/>
          <w:szCs w:val="19"/>
        </w:rPr>
        <w:t>ŠTAJA</w:t>
      </w:r>
    </w:p>
    <w:p w:rsidR="00E67545" w:rsidRPr="00CF22FD" w:rsidRDefault="00E67545" w:rsidP="00CF22FD">
      <w:pPr>
        <w:spacing w:after="0"/>
        <w:rPr>
          <w:bCs/>
          <w:iCs/>
          <w:sz w:val="19"/>
          <w:szCs w:val="19"/>
        </w:rPr>
      </w:pPr>
    </w:p>
    <w:p w:rsidR="00B07BBD" w:rsidRPr="00CF22FD" w:rsidRDefault="00B07BBD" w:rsidP="00CF22FD">
      <w:pPr>
        <w:spacing w:after="0"/>
        <w:rPr>
          <w:bCs/>
          <w:iCs/>
          <w:sz w:val="19"/>
          <w:szCs w:val="19"/>
          <w:lang w:val="sr-Latn-BA"/>
        </w:rPr>
      </w:pPr>
      <w:r w:rsidRPr="00CF22FD">
        <w:rPr>
          <w:bCs/>
          <w:iCs/>
          <w:sz w:val="19"/>
          <w:szCs w:val="19"/>
          <w:lang w:val="sr-Latn-BA"/>
        </w:rPr>
        <w:t>Računovodstvena evidencija bazirana je sledećim računovodstvenim propisima:</w:t>
      </w:r>
    </w:p>
    <w:p w:rsidR="00B07BBD" w:rsidRPr="00CF22FD" w:rsidRDefault="00B07BBD" w:rsidP="00CF22FD">
      <w:pPr>
        <w:spacing w:after="0"/>
        <w:rPr>
          <w:bCs/>
          <w:iCs/>
          <w:sz w:val="19"/>
          <w:szCs w:val="19"/>
          <w:lang w:val="sr-Latn-BA"/>
        </w:rPr>
      </w:pPr>
    </w:p>
    <w:p w:rsidR="00B07BBD" w:rsidRPr="00CF22FD" w:rsidRDefault="00B07BBD" w:rsidP="00CF22FD">
      <w:pPr>
        <w:numPr>
          <w:ilvl w:val="0"/>
          <w:numId w:val="8"/>
        </w:numPr>
        <w:spacing w:after="0"/>
        <w:rPr>
          <w:bCs/>
          <w:i/>
          <w:iCs/>
          <w:sz w:val="19"/>
          <w:szCs w:val="19"/>
          <w:lang w:val="sr-Latn-BA"/>
        </w:rPr>
      </w:pPr>
      <w:r w:rsidRPr="00CF22FD">
        <w:rPr>
          <w:bCs/>
          <w:i/>
          <w:iCs/>
          <w:sz w:val="19"/>
          <w:szCs w:val="19"/>
          <w:lang w:val="sr-Latn-BA"/>
        </w:rPr>
        <w:t>Zakonu o računovodstvu i reviziji (»Službeni glasnik Republike Srpske«, 36/09),</w:t>
      </w:r>
    </w:p>
    <w:p w:rsidR="00B07BBD" w:rsidRPr="00CF22FD" w:rsidRDefault="00B07BBD" w:rsidP="00CF22FD">
      <w:pPr>
        <w:numPr>
          <w:ilvl w:val="0"/>
          <w:numId w:val="8"/>
        </w:numPr>
        <w:spacing w:after="0"/>
        <w:rPr>
          <w:bCs/>
          <w:i/>
          <w:iCs/>
          <w:sz w:val="19"/>
          <w:szCs w:val="19"/>
          <w:lang w:val="sr-Latn-BA"/>
        </w:rPr>
      </w:pPr>
      <w:r w:rsidRPr="00CF22FD">
        <w:rPr>
          <w:bCs/>
          <w:i/>
          <w:iCs/>
          <w:sz w:val="19"/>
          <w:szCs w:val="19"/>
          <w:lang w:val="sr-Latn-BA"/>
        </w:rPr>
        <w:t>Međunarodnim računovodstvenim standardima i MSFI,</w:t>
      </w:r>
    </w:p>
    <w:p w:rsidR="00B07BBD" w:rsidRPr="00CF22FD" w:rsidRDefault="00B07BBD" w:rsidP="00CF22FD">
      <w:pPr>
        <w:numPr>
          <w:ilvl w:val="0"/>
          <w:numId w:val="8"/>
        </w:numPr>
        <w:spacing w:after="0"/>
        <w:rPr>
          <w:bCs/>
          <w:i/>
          <w:iCs/>
          <w:sz w:val="19"/>
          <w:szCs w:val="19"/>
          <w:lang w:val="sr-Latn-BA"/>
        </w:rPr>
      </w:pPr>
      <w:r w:rsidRPr="00CF22FD">
        <w:rPr>
          <w:bCs/>
          <w:i/>
          <w:iCs/>
          <w:sz w:val="19"/>
          <w:szCs w:val="19"/>
          <w:lang w:val="sr-Latn-BA"/>
        </w:rPr>
        <w:t>Pravilniku o primjeni kontnog okvira za preduzeća i zadruge, druga pravna lica i preduzetnike koji vode dvojno knjigovodstvo (»Službeni glasnik Republike Srpske« 120/06),</w:t>
      </w:r>
    </w:p>
    <w:p w:rsidR="00B07BBD" w:rsidRPr="00CF22FD" w:rsidRDefault="00B07BBD" w:rsidP="00CF22FD">
      <w:pPr>
        <w:numPr>
          <w:ilvl w:val="0"/>
          <w:numId w:val="8"/>
        </w:numPr>
        <w:spacing w:after="0"/>
        <w:rPr>
          <w:bCs/>
          <w:i/>
          <w:iCs/>
          <w:sz w:val="19"/>
          <w:szCs w:val="19"/>
          <w:lang w:val="sr-Latn-BA"/>
        </w:rPr>
      </w:pPr>
      <w:r w:rsidRPr="00CF22FD">
        <w:rPr>
          <w:bCs/>
          <w:i/>
          <w:iCs/>
          <w:sz w:val="19"/>
          <w:szCs w:val="19"/>
          <w:lang w:val="sr-Latn-BA"/>
        </w:rPr>
        <w:t>Pravilniku o obrascima bilansa stanja i bilansa uspjeha za preduzeća i zadruge, druga pravna lica i preduzetnike koji vode dvojno knjigovodstvo, Pravilniku o obrascu i sadržini pozicija u obrascu izvještaja o promjenama u kapitalu reviziji, Pravilniku o obrascu i sadržini pozicija u obrascu bilansa tokova gotovine za preduzeća (»Službeni glasnik Republike Srpske« 120/06).</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r w:rsidRPr="00CF22FD">
        <w:rPr>
          <w:bCs/>
          <w:iCs/>
          <w:sz w:val="19"/>
          <w:szCs w:val="19"/>
          <w:lang w:val="sr-Latn-BA"/>
        </w:rPr>
        <w:t>Po odredbama Zakona o računovodstvu i reviziji preduzeća i zadruge primenjuju Međunarodne računovodstvene standarde od</w:t>
      </w:r>
      <w:r w:rsidR="00924717">
        <w:rPr>
          <w:bCs/>
          <w:iCs/>
          <w:sz w:val="19"/>
          <w:szCs w:val="19"/>
          <w:lang w:val="sr-Latn-BA"/>
        </w:rPr>
        <w:t xml:space="preserve"> </w:t>
      </w:r>
      <w:r w:rsidRPr="00CF22FD">
        <w:rPr>
          <w:bCs/>
          <w:iCs/>
          <w:sz w:val="19"/>
          <w:szCs w:val="19"/>
          <w:lang w:val="sr-Latn-BA"/>
        </w:rPr>
        <w:t>2005. godine.</w:t>
      </w:r>
    </w:p>
    <w:p w:rsidR="00B07BBD" w:rsidRPr="00CF22FD" w:rsidRDefault="00B07BBD" w:rsidP="00CF22FD">
      <w:pPr>
        <w:spacing w:after="0"/>
        <w:rPr>
          <w:bCs/>
          <w:iCs/>
          <w:sz w:val="19"/>
          <w:szCs w:val="19"/>
          <w:lang w:val="sr-Latn-BA"/>
        </w:rPr>
      </w:pPr>
    </w:p>
    <w:p w:rsidR="00B07BBD" w:rsidRPr="00CF22FD" w:rsidRDefault="00F7429D" w:rsidP="00CF22FD">
      <w:pPr>
        <w:spacing w:after="0"/>
        <w:rPr>
          <w:bCs/>
          <w:iCs/>
          <w:sz w:val="19"/>
          <w:szCs w:val="19"/>
          <w:lang w:val="sr-Latn-BA"/>
        </w:rPr>
      </w:pPr>
      <w:r w:rsidRPr="00CF22FD">
        <w:rPr>
          <w:bCs/>
          <w:iCs/>
          <w:sz w:val="19"/>
          <w:szCs w:val="19"/>
          <w:lang w:val="sr-Latn-BA"/>
        </w:rPr>
        <w:t>Društvo</w:t>
      </w:r>
      <w:r w:rsidR="00B07BBD" w:rsidRPr="00CF22FD">
        <w:rPr>
          <w:bCs/>
          <w:iCs/>
          <w:sz w:val="19"/>
          <w:szCs w:val="19"/>
          <w:lang w:val="sr-Latn-BA"/>
        </w:rPr>
        <w:t xml:space="preserve"> svoje računovodstvene evidencije vodi na srpskom jeziku i u konvertibilnim markama, u skladu sa Zakonom o računovodstvu i reviziji Republike Srpske, Međunarodnim računovodstvenim standardima (MRS) i Međunarodnim standardima finansijskog izvještavanja (MSFI), koji su objektivno primjenjivi na računovodstvo </w:t>
      </w:r>
      <w:r w:rsidRPr="00CF22FD">
        <w:rPr>
          <w:bCs/>
          <w:iCs/>
          <w:sz w:val="19"/>
          <w:szCs w:val="19"/>
          <w:lang w:val="sr-Latn-BA"/>
        </w:rPr>
        <w:t xml:space="preserve">Društva kao </w:t>
      </w:r>
      <w:r w:rsidR="00B07BBD" w:rsidRPr="00CF22FD">
        <w:rPr>
          <w:bCs/>
          <w:iCs/>
          <w:sz w:val="19"/>
          <w:szCs w:val="19"/>
          <w:lang w:val="sr-Latn-BA"/>
        </w:rPr>
        <w:t>profitne organizacije, propisima iz oblasti poreske regulative, kao i drugim zakonskim i podzakonskim propisi koji su bili na snazi u momentu nastanka poslovnih događaja i njihovog evidentiranja.</w:t>
      </w:r>
    </w:p>
    <w:p w:rsidR="00B07BBD" w:rsidRPr="00CF22FD" w:rsidRDefault="00B07BBD" w:rsidP="00CF22FD">
      <w:pPr>
        <w:spacing w:after="0"/>
        <w:rPr>
          <w:bCs/>
          <w:iCs/>
          <w:sz w:val="19"/>
          <w:szCs w:val="19"/>
          <w:lang w:val="sr-Latn-BA"/>
        </w:rPr>
      </w:pPr>
    </w:p>
    <w:p w:rsidR="00B07BBD" w:rsidRPr="00CF22FD" w:rsidRDefault="00F7429D" w:rsidP="00CF22FD">
      <w:pPr>
        <w:spacing w:after="0"/>
        <w:rPr>
          <w:bCs/>
          <w:iCs/>
          <w:sz w:val="19"/>
          <w:szCs w:val="19"/>
          <w:lang w:val="sr-Latn-BA"/>
        </w:rPr>
      </w:pPr>
      <w:r w:rsidRPr="00CF22FD">
        <w:rPr>
          <w:bCs/>
          <w:iCs/>
          <w:sz w:val="19"/>
          <w:szCs w:val="19"/>
          <w:lang w:val="sr-Latn-BA"/>
        </w:rPr>
        <w:t>Društvo</w:t>
      </w:r>
      <w:r w:rsidR="00B07BBD" w:rsidRPr="00CF22FD">
        <w:rPr>
          <w:bCs/>
          <w:iCs/>
          <w:sz w:val="19"/>
          <w:szCs w:val="19"/>
          <w:lang w:val="sr-Latn-BA"/>
        </w:rPr>
        <w:t xml:space="preserve"> primjenjuje Kontni okvir za preduzeća, zadruge, druga pravna lica i preduzetnike koji vode dvojno knjigovodstvo (u daljnjem tekstu Kontni okvir). Druga pravna lica uobičajeno označavaju pravna lica koja ne posluju s ciljem ostvarivanja dobiti (profita) već s ciljem ostvarivanja i zadovoljavanja interesa od opšteg ili javnog značaja ili s ciljem obavljanja javnih ovlaštenja utvrđenim relevantnim zakonskim propisom. Pri tome je, kod izbora adekvatnog Kontnog okvira, značajan opredjeljujući kriterijum i to da li se finansiranje takvih pravnih lica vrši iz budžeta ili ne. </w:t>
      </w:r>
    </w:p>
    <w:p w:rsidR="00B07BBD" w:rsidRPr="00CF22FD" w:rsidRDefault="00B07BBD" w:rsidP="00CF22FD">
      <w:pPr>
        <w:spacing w:after="0"/>
        <w:rPr>
          <w:bCs/>
          <w:iCs/>
          <w:sz w:val="19"/>
          <w:szCs w:val="19"/>
          <w:lang w:val="sr-Latn-BA"/>
        </w:rPr>
      </w:pPr>
    </w:p>
    <w:p w:rsidR="00F44F79" w:rsidRPr="00CF22FD" w:rsidRDefault="00F44F79" w:rsidP="00CF22FD">
      <w:pPr>
        <w:spacing w:after="0"/>
        <w:rPr>
          <w:bCs/>
          <w:iCs/>
          <w:sz w:val="19"/>
          <w:szCs w:val="19"/>
          <w:lang w:val="sr-Latn-BA"/>
        </w:rPr>
      </w:pPr>
    </w:p>
    <w:p w:rsidR="00B07BBD" w:rsidRPr="00CF22FD" w:rsidRDefault="00B07BBD" w:rsidP="00CF22FD">
      <w:pPr>
        <w:spacing w:after="0"/>
        <w:rPr>
          <w:b/>
          <w:bCs/>
          <w:iCs/>
          <w:sz w:val="19"/>
          <w:szCs w:val="19"/>
          <w:lang w:val="sr-Latn-BA"/>
        </w:rPr>
      </w:pPr>
      <w:r w:rsidRPr="00CF22FD">
        <w:rPr>
          <w:b/>
          <w:bCs/>
          <w:iCs/>
          <w:sz w:val="19"/>
          <w:szCs w:val="19"/>
          <w:lang w:val="sr-Latn-BA"/>
        </w:rPr>
        <w:t>Odgovorna lica za sastavljanje finansijskih izvještaja su:</w:t>
      </w:r>
    </w:p>
    <w:p w:rsidR="00B07BBD" w:rsidRPr="00022725" w:rsidRDefault="00B07BBD" w:rsidP="00CF22FD">
      <w:pPr>
        <w:spacing w:after="0"/>
        <w:rPr>
          <w:bCs/>
          <w:iCs/>
          <w:sz w:val="19"/>
          <w:szCs w:val="19"/>
          <w:lang w:val="sr-Latn-BA"/>
        </w:rPr>
      </w:pPr>
    </w:p>
    <w:p w:rsidR="00022725" w:rsidRPr="00022725" w:rsidRDefault="00022725" w:rsidP="00022725">
      <w:pPr>
        <w:numPr>
          <w:ilvl w:val="0"/>
          <w:numId w:val="40"/>
        </w:numPr>
        <w:spacing w:after="0"/>
        <w:rPr>
          <w:sz w:val="19"/>
          <w:szCs w:val="19"/>
          <w:lang w:val="sr-Latn-BA"/>
        </w:rPr>
      </w:pPr>
      <w:r w:rsidRPr="00022725">
        <w:rPr>
          <w:sz w:val="19"/>
          <w:szCs w:val="19"/>
          <w:lang w:val="sr-Latn-BA"/>
        </w:rPr>
        <w:t xml:space="preserve">Milojević Savo </w:t>
      </w:r>
      <w:r w:rsidRPr="00022725">
        <w:rPr>
          <w:sz w:val="19"/>
          <w:szCs w:val="19"/>
          <w:lang w:val="sr-Latn-BA"/>
        </w:rPr>
        <w:tab/>
      </w:r>
      <w:r w:rsidRPr="00022725">
        <w:rPr>
          <w:sz w:val="19"/>
          <w:szCs w:val="19"/>
          <w:lang w:val="sr-Latn-BA"/>
        </w:rPr>
        <w:tab/>
        <w:t>direktor</w:t>
      </w:r>
    </w:p>
    <w:p w:rsidR="00022725" w:rsidRPr="00022725" w:rsidRDefault="00022725" w:rsidP="00022725">
      <w:pPr>
        <w:numPr>
          <w:ilvl w:val="0"/>
          <w:numId w:val="40"/>
        </w:numPr>
        <w:spacing w:after="0"/>
        <w:rPr>
          <w:sz w:val="19"/>
          <w:szCs w:val="19"/>
          <w:lang w:val="sr-Latn-BA"/>
        </w:rPr>
      </w:pPr>
      <w:r w:rsidRPr="00022725">
        <w:rPr>
          <w:sz w:val="19"/>
          <w:szCs w:val="19"/>
          <w:lang w:val="sr-Latn-BA"/>
        </w:rPr>
        <w:t xml:space="preserve">gđa.Slavka Grubač         </w:t>
      </w:r>
      <w:r w:rsidRPr="00022725">
        <w:rPr>
          <w:sz w:val="19"/>
          <w:szCs w:val="19"/>
          <w:lang w:val="sr-Latn-BA"/>
        </w:rPr>
        <w:tab/>
        <w:t xml:space="preserve">certifikovani računovođa </w:t>
      </w:r>
    </w:p>
    <w:p w:rsidR="00B07BBD" w:rsidRPr="00022725" w:rsidRDefault="00B07BBD" w:rsidP="00CF22FD">
      <w:pPr>
        <w:spacing w:after="0"/>
        <w:rPr>
          <w:bCs/>
          <w:iCs/>
          <w:sz w:val="19"/>
          <w:szCs w:val="19"/>
          <w:lang w:val="sr-Latn-BA"/>
        </w:rPr>
      </w:pPr>
    </w:p>
    <w:p w:rsidR="00B07BBD" w:rsidRPr="00022725" w:rsidRDefault="00B07BBD" w:rsidP="00CF22FD">
      <w:pPr>
        <w:spacing w:after="0"/>
        <w:rPr>
          <w:bCs/>
          <w:iCs/>
          <w:sz w:val="19"/>
          <w:szCs w:val="19"/>
          <w:lang w:val="sr-Latn-BA"/>
        </w:rPr>
      </w:pPr>
    </w:p>
    <w:p w:rsidR="00B07BBD" w:rsidRPr="00CF22FD" w:rsidRDefault="00B07BBD" w:rsidP="00CF22FD">
      <w:pPr>
        <w:spacing w:after="0"/>
        <w:rPr>
          <w:b/>
          <w:bCs/>
          <w:iCs/>
          <w:sz w:val="19"/>
          <w:szCs w:val="19"/>
          <w:lang w:val="sr-Latn-BA"/>
        </w:rPr>
      </w:pPr>
      <w:r w:rsidRPr="00CF22FD">
        <w:rPr>
          <w:b/>
          <w:bCs/>
          <w:iCs/>
          <w:sz w:val="19"/>
          <w:szCs w:val="19"/>
          <w:lang w:val="sr-Latn-BA"/>
        </w:rPr>
        <w:t>Dokumentacija revizije</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r w:rsidRPr="00CF22FD">
        <w:rPr>
          <w:bCs/>
          <w:iCs/>
          <w:sz w:val="19"/>
          <w:szCs w:val="19"/>
          <w:lang w:val="sr-Latn-BA"/>
        </w:rPr>
        <w:t>Osnovna dokumentacija</w:t>
      </w:r>
      <w:r w:rsidR="00924717">
        <w:rPr>
          <w:bCs/>
          <w:iCs/>
          <w:sz w:val="19"/>
          <w:szCs w:val="19"/>
          <w:lang w:val="sr-Latn-BA"/>
        </w:rPr>
        <w:t xml:space="preserve"> </w:t>
      </w:r>
      <w:r w:rsidRPr="00CF22FD">
        <w:rPr>
          <w:bCs/>
          <w:iCs/>
          <w:sz w:val="19"/>
          <w:szCs w:val="19"/>
          <w:lang w:val="sr-Latn-BA"/>
        </w:rPr>
        <w:t xml:space="preserve">su finansijski izvještaji </w:t>
      </w:r>
      <w:r w:rsidR="004E4FDF" w:rsidRPr="00CF22FD">
        <w:rPr>
          <w:bCs/>
          <w:iCs/>
          <w:sz w:val="19"/>
          <w:szCs w:val="19"/>
          <w:lang w:val="sr-Latn-BA"/>
        </w:rPr>
        <w:t>Društva</w:t>
      </w:r>
      <w:r w:rsidRPr="00CF22FD">
        <w:rPr>
          <w:bCs/>
          <w:iCs/>
          <w:sz w:val="19"/>
          <w:szCs w:val="19"/>
          <w:lang w:val="sr-Latn-BA"/>
        </w:rPr>
        <w:t xml:space="preserve"> (Bilans stanja, Bilans uspeha) kao i Bruto bilans, popisne liste, Odluke organa upravljanja i rukovođenja, poslovna dokumentacija, izvještaji, zapisnici o kontroli, pravilnik o računovodstvu i računovodstvenim politikama, normativna akta, izvod iz registra, drugi dokazi i objašnjenja koja su revizoru stavljena na raspolaganje.</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p>
    <w:p w:rsidR="00B07BBD" w:rsidRPr="00CF22FD" w:rsidRDefault="00B07BBD" w:rsidP="00CF22FD">
      <w:pPr>
        <w:spacing w:after="0"/>
        <w:rPr>
          <w:b/>
          <w:bCs/>
          <w:iCs/>
          <w:sz w:val="19"/>
          <w:szCs w:val="19"/>
          <w:lang w:val="sr-Latn-BA"/>
        </w:rPr>
      </w:pPr>
      <w:r w:rsidRPr="00CF22FD">
        <w:rPr>
          <w:b/>
          <w:bCs/>
          <w:iCs/>
          <w:sz w:val="19"/>
          <w:szCs w:val="19"/>
          <w:lang w:val="sr-Latn-BA"/>
        </w:rPr>
        <w:t>Dokumentaciju i podatke su nam prezentirale slijedeća lica:</w:t>
      </w:r>
    </w:p>
    <w:p w:rsidR="00B07BBD" w:rsidRPr="00CF22FD" w:rsidRDefault="00B07BBD" w:rsidP="00CF22FD">
      <w:pPr>
        <w:spacing w:after="0"/>
        <w:rPr>
          <w:bCs/>
          <w:iCs/>
          <w:sz w:val="19"/>
          <w:szCs w:val="19"/>
          <w:lang w:val="sr-Latn-BA"/>
        </w:rPr>
      </w:pPr>
    </w:p>
    <w:p w:rsidR="00022725" w:rsidRPr="00022725" w:rsidRDefault="00022725" w:rsidP="00022725">
      <w:pPr>
        <w:numPr>
          <w:ilvl w:val="0"/>
          <w:numId w:val="40"/>
        </w:numPr>
        <w:spacing w:after="0"/>
        <w:rPr>
          <w:sz w:val="19"/>
          <w:szCs w:val="19"/>
          <w:lang w:val="sr-Latn-BA"/>
        </w:rPr>
      </w:pPr>
      <w:r w:rsidRPr="00022725">
        <w:rPr>
          <w:sz w:val="19"/>
          <w:szCs w:val="19"/>
          <w:lang w:val="sr-Latn-BA"/>
        </w:rPr>
        <w:t xml:space="preserve">gđa.Slavka Grubač         </w:t>
      </w:r>
      <w:r w:rsidRPr="00022725">
        <w:rPr>
          <w:sz w:val="19"/>
          <w:szCs w:val="19"/>
          <w:lang w:val="sr-Latn-BA"/>
        </w:rPr>
        <w:tab/>
        <w:t xml:space="preserve">certifikovani računovođa </w:t>
      </w:r>
    </w:p>
    <w:p w:rsidR="00B07BBD" w:rsidRPr="00CF22FD" w:rsidRDefault="00B07BBD" w:rsidP="00CF22FD">
      <w:pPr>
        <w:spacing w:after="0"/>
        <w:rPr>
          <w:bCs/>
          <w:iCs/>
          <w:sz w:val="19"/>
          <w:szCs w:val="19"/>
          <w:lang w:val="sr-Latn-BA"/>
        </w:rPr>
      </w:pPr>
    </w:p>
    <w:p w:rsidR="00F44F79" w:rsidRPr="00CF22FD" w:rsidRDefault="00F44F79" w:rsidP="00CF22FD">
      <w:pPr>
        <w:spacing w:after="0"/>
        <w:rPr>
          <w:bCs/>
          <w:iCs/>
          <w:sz w:val="19"/>
          <w:szCs w:val="19"/>
          <w:lang w:val="sr-Latn-BA"/>
        </w:rPr>
      </w:pPr>
    </w:p>
    <w:p w:rsidR="00F7429D" w:rsidRPr="00CF22FD" w:rsidRDefault="00F7429D" w:rsidP="00CF22FD">
      <w:pPr>
        <w:spacing w:after="0"/>
        <w:rPr>
          <w:b/>
          <w:bCs/>
          <w:iCs/>
          <w:sz w:val="19"/>
          <w:szCs w:val="19"/>
          <w:lang w:val="sr-Latn-BA"/>
        </w:rPr>
      </w:pPr>
      <w:r w:rsidRPr="00CF22FD">
        <w:rPr>
          <w:b/>
          <w:bCs/>
          <w:iCs/>
          <w:sz w:val="19"/>
          <w:szCs w:val="19"/>
          <w:lang w:val="sr-Latn-BA"/>
        </w:rPr>
        <w:br w:type="page"/>
      </w:r>
    </w:p>
    <w:p w:rsidR="00B07BBD" w:rsidRPr="00CF22FD" w:rsidRDefault="00B07BBD" w:rsidP="00CF22FD">
      <w:pPr>
        <w:spacing w:after="0"/>
        <w:rPr>
          <w:b/>
          <w:bCs/>
          <w:iCs/>
          <w:sz w:val="19"/>
          <w:szCs w:val="19"/>
          <w:lang w:val="sr-Latn-BA"/>
        </w:rPr>
      </w:pPr>
      <w:r w:rsidRPr="00CF22FD">
        <w:rPr>
          <w:b/>
          <w:bCs/>
          <w:iCs/>
          <w:sz w:val="19"/>
          <w:szCs w:val="19"/>
          <w:lang w:val="sr-Latn-BA"/>
        </w:rPr>
        <w:lastRenderedPageBreak/>
        <w:t xml:space="preserve">Obrada finansijskih podataka </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r w:rsidRPr="00CF22FD">
        <w:rPr>
          <w:bCs/>
          <w:iCs/>
          <w:sz w:val="19"/>
          <w:szCs w:val="19"/>
          <w:lang w:val="sr-Latn-BA"/>
        </w:rPr>
        <w:t xml:space="preserve">Finansijsko knjigovodstvo odvija se preko programa za obradu podataka i obuhvaća sve bitne elemente za analitičko i sintetičko sagledavanje poslovnih promjena. </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r w:rsidRPr="00CF22FD">
        <w:rPr>
          <w:bCs/>
          <w:iCs/>
          <w:sz w:val="19"/>
          <w:szCs w:val="19"/>
          <w:lang w:val="sr-Latn-BA"/>
        </w:rPr>
        <w:t>U postupcima revizije primjenjivali smo Međunarodne Standarde Revizije (MSR) i to posebno:</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r w:rsidRPr="00CF22FD">
        <w:rPr>
          <w:bCs/>
          <w:iCs/>
          <w:sz w:val="19"/>
          <w:szCs w:val="19"/>
          <w:lang w:val="sr-Latn-BA"/>
        </w:rPr>
        <w:t xml:space="preserve"> MSR 200</w:t>
      </w:r>
      <w:r w:rsidRPr="00CF22FD">
        <w:rPr>
          <w:bCs/>
          <w:iCs/>
          <w:sz w:val="19"/>
          <w:szCs w:val="19"/>
          <w:lang w:val="sr-Latn-BA"/>
        </w:rPr>
        <w:tab/>
        <w:t>Cilj i osnovna načela Revizije finansijskog izvještaja</w:t>
      </w:r>
    </w:p>
    <w:p w:rsidR="00B07BBD" w:rsidRPr="00CF22FD" w:rsidRDefault="00B07BBD" w:rsidP="00CF22FD">
      <w:pPr>
        <w:spacing w:after="0"/>
        <w:rPr>
          <w:bCs/>
          <w:iCs/>
          <w:sz w:val="19"/>
          <w:szCs w:val="19"/>
          <w:lang w:val="sr-Latn-BA"/>
        </w:rPr>
      </w:pPr>
      <w:r w:rsidRPr="00CF22FD">
        <w:rPr>
          <w:bCs/>
          <w:iCs/>
          <w:sz w:val="19"/>
          <w:szCs w:val="19"/>
          <w:lang w:val="sr-Latn-BA"/>
        </w:rPr>
        <w:t xml:space="preserve"> MSR 500</w:t>
      </w:r>
      <w:r w:rsidRPr="00CF22FD">
        <w:rPr>
          <w:bCs/>
          <w:iCs/>
          <w:sz w:val="19"/>
          <w:szCs w:val="19"/>
          <w:lang w:val="sr-Latn-BA"/>
        </w:rPr>
        <w:tab/>
        <w:t xml:space="preserve">Revizijski dokazi </w:t>
      </w:r>
    </w:p>
    <w:p w:rsidR="00B07BBD" w:rsidRPr="00CF22FD" w:rsidRDefault="00B07BBD" w:rsidP="00CF22FD">
      <w:pPr>
        <w:spacing w:after="0"/>
        <w:rPr>
          <w:bCs/>
          <w:iCs/>
          <w:sz w:val="19"/>
          <w:szCs w:val="19"/>
          <w:lang w:val="sr-Latn-BA"/>
        </w:rPr>
      </w:pPr>
      <w:r w:rsidRPr="00CF22FD">
        <w:rPr>
          <w:bCs/>
          <w:iCs/>
          <w:sz w:val="19"/>
          <w:szCs w:val="19"/>
          <w:lang w:val="sr-Latn-BA"/>
        </w:rPr>
        <w:t xml:space="preserve"> MSR 510</w:t>
      </w:r>
      <w:r w:rsidRPr="00CF22FD">
        <w:rPr>
          <w:bCs/>
          <w:iCs/>
          <w:sz w:val="19"/>
          <w:szCs w:val="19"/>
          <w:lang w:val="sr-Latn-BA"/>
        </w:rPr>
        <w:tab/>
        <w:t>Početna stanja</w:t>
      </w:r>
    </w:p>
    <w:p w:rsidR="00B07BBD" w:rsidRPr="00CF22FD" w:rsidRDefault="00B07BBD" w:rsidP="00CF22FD">
      <w:pPr>
        <w:spacing w:after="0"/>
        <w:rPr>
          <w:bCs/>
          <w:iCs/>
          <w:sz w:val="19"/>
          <w:szCs w:val="19"/>
          <w:lang w:val="sr-Latn-BA"/>
        </w:rPr>
      </w:pPr>
      <w:r w:rsidRPr="00CF22FD">
        <w:rPr>
          <w:bCs/>
          <w:iCs/>
          <w:sz w:val="19"/>
          <w:szCs w:val="19"/>
          <w:lang w:val="sr-Latn-BA"/>
        </w:rPr>
        <w:t xml:space="preserve"> MSR 530</w:t>
      </w:r>
      <w:r w:rsidRPr="00CF22FD">
        <w:rPr>
          <w:bCs/>
          <w:iCs/>
          <w:sz w:val="19"/>
          <w:szCs w:val="19"/>
          <w:lang w:val="sr-Latn-BA"/>
        </w:rPr>
        <w:tab/>
        <w:t>Uzorkovanje i testiranje</w:t>
      </w:r>
    </w:p>
    <w:p w:rsidR="00B07BBD" w:rsidRPr="00CF22FD" w:rsidRDefault="00B07BBD" w:rsidP="00CF22FD">
      <w:pPr>
        <w:spacing w:after="0"/>
        <w:rPr>
          <w:bCs/>
          <w:iCs/>
          <w:sz w:val="19"/>
          <w:szCs w:val="19"/>
          <w:lang w:val="sr-Latn-BA"/>
        </w:rPr>
      </w:pPr>
      <w:r w:rsidRPr="00CF22FD">
        <w:rPr>
          <w:bCs/>
          <w:iCs/>
          <w:sz w:val="19"/>
          <w:szCs w:val="19"/>
          <w:lang w:val="sr-Latn-BA"/>
        </w:rPr>
        <w:t xml:space="preserve"> MSR 700</w:t>
      </w:r>
      <w:r w:rsidRPr="00CF22FD">
        <w:rPr>
          <w:bCs/>
          <w:iCs/>
          <w:sz w:val="19"/>
          <w:szCs w:val="19"/>
          <w:lang w:val="sr-Latn-BA"/>
        </w:rPr>
        <w:tab/>
        <w:t xml:space="preserve">Izvještavanje revizora sa mišljenjem </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p>
    <w:p w:rsidR="00B07BBD" w:rsidRPr="00CF22FD" w:rsidRDefault="00B07BBD" w:rsidP="00CF22FD">
      <w:pPr>
        <w:spacing w:after="0"/>
        <w:rPr>
          <w:b/>
          <w:bCs/>
          <w:iCs/>
          <w:sz w:val="19"/>
          <w:szCs w:val="19"/>
          <w:lang w:val="sr-Latn-BA"/>
        </w:rPr>
      </w:pPr>
      <w:r w:rsidRPr="00CF22FD">
        <w:rPr>
          <w:b/>
          <w:bCs/>
          <w:iCs/>
          <w:sz w:val="19"/>
          <w:szCs w:val="19"/>
          <w:lang w:val="sr-Latn-BA"/>
        </w:rPr>
        <w:t>Revizorski tim koji je izvršio reviziju:</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p>
    <w:p w:rsidR="00B07BBD" w:rsidRPr="00CF22FD" w:rsidRDefault="00385672" w:rsidP="00CF22FD">
      <w:pPr>
        <w:numPr>
          <w:ilvl w:val="0"/>
          <w:numId w:val="7"/>
        </w:numPr>
        <w:spacing w:after="0"/>
        <w:rPr>
          <w:bCs/>
          <w:iCs/>
          <w:sz w:val="19"/>
          <w:szCs w:val="19"/>
          <w:lang w:val="sr-Latn-BA"/>
        </w:rPr>
      </w:pPr>
      <w:r>
        <w:rPr>
          <w:bCs/>
          <w:iCs/>
          <w:sz w:val="19"/>
          <w:szCs w:val="19"/>
          <w:lang w:val="sr-Latn-BA"/>
        </w:rPr>
        <w:t>prof.</w:t>
      </w:r>
      <w:r w:rsidR="00B07BBD" w:rsidRPr="00CF22FD">
        <w:rPr>
          <w:bCs/>
          <w:iCs/>
          <w:sz w:val="19"/>
          <w:szCs w:val="19"/>
          <w:lang w:val="sr-Latn-BA"/>
        </w:rPr>
        <w:t>dr.sc.BožoVukoja</w:t>
      </w:r>
      <w:r w:rsidR="00B07BBD" w:rsidRPr="00CF22FD">
        <w:rPr>
          <w:bCs/>
          <w:iCs/>
          <w:sz w:val="19"/>
          <w:szCs w:val="19"/>
          <w:lang w:val="sr-Latn-BA"/>
        </w:rPr>
        <w:tab/>
      </w:r>
      <w:r w:rsidR="00B07BBD" w:rsidRPr="00CF22FD">
        <w:rPr>
          <w:bCs/>
          <w:iCs/>
          <w:sz w:val="19"/>
          <w:szCs w:val="19"/>
          <w:lang w:val="sr-Latn-BA"/>
        </w:rPr>
        <w:tab/>
        <w:t xml:space="preserve">dipl.oec. ovlašćeni revizor </w:t>
      </w:r>
    </w:p>
    <w:p w:rsidR="00B07BBD" w:rsidRPr="00CF22FD" w:rsidRDefault="00B07BBD" w:rsidP="00CF22FD">
      <w:pPr>
        <w:numPr>
          <w:ilvl w:val="0"/>
          <w:numId w:val="7"/>
        </w:numPr>
        <w:spacing w:after="0"/>
        <w:rPr>
          <w:bCs/>
          <w:iCs/>
          <w:sz w:val="19"/>
          <w:szCs w:val="19"/>
          <w:lang w:val="sr-Latn-BA"/>
        </w:rPr>
      </w:pPr>
      <w:r w:rsidRPr="00CF22FD">
        <w:rPr>
          <w:bCs/>
          <w:iCs/>
          <w:sz w:val="19"/>
          <w:szCs w:val="19"/>
          <w:lang w:val="sr-Latn-BA"/>
        </w:rPr>
        <w:t>dr.sc.Milenko Krunić</w:t>
      </w:r>
      <w:r w:rsidRPr="00CF22FD">
        <w:rPr>
          <w:bCs/>
          <w:iCs/>
          <w:sz w:val="19"/>
          <w:szCs w:val="19"/>
          <w:lang w:val="sr-Latn-BA"/>
        </w:rPr>
        <w:tab/>
      </w:r>
      <w:r w:rsidRPr="00CF22FD">
        <w:rPr>
          <w:bCs/>
          <w:iCs/>
          <w:sz w:val="19"/>
          <w:szCs w:val="19"/>
          <w:lang w:val="sr-Latn-BA"/>
        </w:rPr>
        <w:tab/>
        <w:t>dipl.oec. ovlašćeni revizor</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p>
    <w:p w:rsidR="00B07BBD" w:rsidRPr="00DE2401" w:rsidRDefault="00B07BBD" w:rsidP="00CF22FD">
      <w:pPr>
        <w:spacing w:after="0"/>
        <w:rPr>
          <w:bCs/>
          <w:iCs/>
          <w:sz w:val="19"/>
          <w:szCs w:val="19"/>
          <w:lang w:val="sr-Latn-BA"/>
        </w:rPr>
      </w:pPr>
      <w:r w:rsidRPr="00CF22FD">
        <w:rPr>
          <w:b/>
          <w:bCs/>
          <w:iCs/>
          <w:sz w:val="19"/>
          <w:szCs w:val="19"/>
          <w:lang w:val="sr-Latn-BA"/>
        </w:rPr>
        <w:t xml:space="preserve">Vrijeme trajanja revizije kod </w:t>
      </w:r>
      <w:r w:rsidRPr="006676F0">
        <w:rPr>
          <w:b/>
          <w:bCs/>
          <w:iCs/>
          <w:sz w:val="19"/>
          <w:szCs w:val="19"/>
          <w:lang w:val="sr-Latn-BA"/>
        </w:rPr>
        <w:t>klijenta</w:t>
      </w:r>
      <w:r w:rsidR="00817EDE" w:rsidRPr="006676F0">
        <w:rPr>
          <w:bCs/>
          <w:iCs/>
          <w:sz w:val="19"/>
          <w:szCs w:val="19"/>
          <w:lang w:val="sr-Latn-BA"/>
        </w:rPr>
        <w:t>:</w:t>
      </w:r>
      <w:r w:rsidR="00924717" w:rsidRPr="006676F0">
        <w:rPr>
          <w:bCs/>
          <w:iCs/>
          <w:sz w:val="19"/>
          <w:szCs w:val="19"/>
          <w:lang w:val="sr-Latn-BA"/>
        </w:rPr>
        <w:t xml:space="preserve"> </w:t>
      </w:r>
      <w:r w:rsidR="00DE2401" w:rsidRPr="00DE2401">
        <w:rPr>
          <w:bCs/>
          <w:iCs/>
          <w:sz w:val="19"/>
          <w:szCs w:val="19"/>
          <w:lang w:val="sr-Latn-BA"/>
        </w:rPr>
        <w:t>od 04.4</w:t>
      </w:r>
      <w:r w:rsidR="00DE2401">
        <w:rPr>
          <w:bCs/>
          <w:iCs/>
          <w:sz w:val="19"/>
          <w:szCs w:val="19"/>
          <w:lang w:val="sr-Latn-BA"/>
        </w:rPr>
        <w:t xml:space="preserve">.2015 do </w:t>
      </w:r>
      <w:r w:rsidR="00DE2401" w:rsidRPr="00DE2401">
        <w:rPr>
          <w:bCs/>
          <w:iCs/>
          <w:sz w:val="19"/>
          <w:szCs w:val="19"/>
          <w:lang w:val="sr-Latn-BA"/>
        </w:rPr>
        <w:t>04.5</w:t>
      </w:r>
      <w:r w:rsidR="006676F0" w:rsidRPr="00DE2401">
        <w:rPr>
          <w:bCs/>
          <w:iCs/>
          <w:sz w:val="19"/>
          <w:szCs w:val="19"/>
          <w:lang w:val="sr-Latn-BA"/>
        </w:rPr>
        <w:t>.2015</w:t>
      </w:r>
      <w:r w:rsidRPr="00DE2401">
        <w:rPr>
          <w:bCs/>
          <w:iCs/>
          <w:sz w:val="19"/>
          <w:szCs w:val="19"/>
          <w:lang w:val="sr-Latn-BA"/>
        </w:rPr>
        <w:t>.</w:t>
      </w:r>
      <w:r w:rsidR="006676F0" w:rsidRPr="00DE2401">
        <w:rPr>
          <w:bCs/>
          <w:iCs/>
          <w:sz w:val="19"/>
          <w:szCs w:val="19"/>
          <w:lang w:val="sr-Latn-BA"/>
        </w:rPr>
        <w:t xml:space="preserve"> </w:t>
      </w:r>
      <w:r w:rsidRPr="00DE2401">
        <w:rPr>
          <w:bCs/>
          <w:iCs/>
          <w:sz w:val="19"/>
          <w:szCs w:val="19"/>
          <w:lang w:val="sr-Latn-BA"/>
        </w:rPr>
        <w:t>godine</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r w:rsidRPr="006676F0">
        <w:rPr>
          <w:bCs/>
          <w:iCs/>
          <w:sz w:val="19"/>
          <w:szCs w:val="19"/>
          <w:lang w:val="sr-Latn-BA"/>
        </w:rPr>
        <w:t xml:space="preserve">Ugovorom o izvršenju poslova revizije finansijskih izvještaja koji se odnose na poslovnu </w:t>
      </w:r>
      <w:r w:rsidR="002F4D0C" w:rsidRPr="006676F0">
        <w:rPr>
          <w:bCs/>
          <w:iCs/>
          <w:sz w:val="19"/>
          <w:szCs w:val="19"/>
          <w:lang w:val="sr-Latn-BA"/>
        </w:rPr>
        <w:t>2014</w:t>
      </w:r>
      <w:r w:rsidRPr="006676F0">
        <w:rPr>
          <w:bCs/>
          <w:iCs/>
          <w:sz w:val="19"/>
          <w:szCs w:val="19"/>
          <w:lang w:val="sr-Latn-BA"/>
        </w:rPr>
        <w:t xml:space="preserve">. godinu, godine, utvrđeni su osnovni uslovi za izvršenje revizije finansijskih izvještaja </w:t>
      </w:r>
      <w:r w:rsidR="004E4FDF" w:rsidRPr="006676F0">
        <w:rPr>
          <w:bCs/>
          <w:iCs/>
          <w:sz w:val="19"/>
          <w:szCs w:val="19"/>
          <w:lang w:val="sr-Latn-BA"/>
        </w:rPr>
        <w:t>Društva</w:t>
      </w:r>
      <w:r w:rsidRPr="006676F0">
        <w:rPr>
          <w:bCs/>
          <w:iCs/>
          <w:sz w:val="19"/>
          <w:szCs w:val="19"/>
          <w:lang w:val="sr-Latn-BA"/>
        </w:rPr>
        <w:t xml:space="preserve"> za godinu koja se</w:t>
      </w:r>
      <w:r w:rsidRPr="00CF22FD">
        <w:rPr>
          <w:bCs/>
          <w:iCs/>
          <w:sz w:val="19"/>
          <w:szCs w:val="19"/>
          <w:lang w:val="sr-Latn-BA"/>
        </w:rPr>
        <w:t xml:space="preserve"> završava 31.12.</w:t>
      </w:r>
      <w:r w:rsidR="002F4D0C" w:rsidRPr="00CF22FD">
        <w:rPr>
          <w:bCs/>
          <w:iCs/>
          <w:sz w:val="19"/>
          <w:szCs w:val="19"/>
          <w:lang w:val="sr-Latn-BA"/>
        </w:rPr>
        <w:t>2014</w:t>
      </w:r>
      <w:r w:rsidRPr="00CF22FD">
        <w:rPr>
          <w:bCs/>
          <w:iCs/>
          <w:sz w:val="19"/>
          <w:szCs w:val="19"/>
          <w:lang w:val="sr-Latn-BA"/>
        </w:rPr>
        <w:t>. godine, kao i naša odgovornost</w:t>
      </w:r>
      <w:r w:rsidR="00924717">
        <w:rPr>
          <w:bCs/>
          <w:iCs/>
          <w:sz w:val="19"/>
          <w:szCs w:val="19"/>
          <w:lang w:val="sr-Latn-BA"/>
        </w:rPr>
        <w:t xml:space="preserve"> </w:t>
      </w:r>
      <w:r w:rsidRPr="00CF22FD">
        <w:rPr>
          <w:bCs/>
          <w:iCs/>
          <w:sz w:val="19"/>
          <w:szCs w:val="19"/>
          <w:lang w:val="sr-Latn-BA"/>
        </w:rPr>
        <w:t xml:space="preserve">i odgovornost rukovodstva </w:t>
      </w:r>
      <w:r w:rsidR="004E4FDF" w:rsidRPr="00CF22FD">
        <w:rPr>
          <w:bCs/>
          <w:iCs/>
          <w:sz w:val="19"/>
          <w:szCs w:val="19"/>
          <w:lang w:val="sr-Latn-BA"/>
        </w:rPr>
        <w:t>Društva</w:t>
      </w:r>
      <w:r w:rsidRPr="00CF22FD">
        <w:rPr>
          <w:bCs/>
          <w:iCs/>
          <w:sz w:val="19"/>
          <w:szCs w:val="19"/>
          <w:lang w:val="sr-Latn-BA"/>
        </w:rPr>
        <w:t>.</w:t>
      </w:r>
      <w:r w:rsidR="00924717">
        <w:rPr>
          <w:bCs/>
          <w:iCs/>
          <w:sz w:val="19"/>
          <w:szCs w:val="19"/>
          <w:lang w:val="sr-Latn-BA"/>
        </w:rPr>
        <w:t xml:space="preserve"> </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r w:rsidRPr="00CF22FD">
        <w:rPr>
          <w:bCs/>
          <w:iCs/>
          <w:sz w:val="19"/>
          <w:szCs w:val="19"/>
          <w:lang w:val="sr-Latn-BA"/>
        </w:rPr>
        <w:t xml:space="preserve">Pošto smo radili reviziju za prethodnu godinu nije bilo potrebe za našim početnim procedurama upoznavanja sa poslovanjem </w:t>
      </w:r>
      <w:r w:rsidR="004E4FDF" w:rsidRPr="00CF22FD">
        <w:rPr>
          <w:bCs/>
          <w:iCs/>
          <w:sz w:val="19"/>
          <w:szCs w:val="19"/>
          <w:lang w:val="sr-Latn-BA"/>
        </w:rPr>
        <w:t>Društva</w:t>
      </w:r>
      <w:r w:rsidRPr="00CF22FD">
        <w:rPr>
          <w:bCs/>
          <w:iCs/>
          <w:sz w:val="19"/>
          <w:szCs w:val="19"/>
          <w:lang w:val="sr-Latn-BA"/>
        </w:rPr>
        <w:t xml:space="preserve">, računovodstvenim politikama i drugim determinantama </w:t>
      </w:r>
      <w:r w:rsidR="004E4FDF" w:rsidRPr="00CF22FD">
        <w:rPr>
          <w:bCs/>
          <w:iCs/>
          <w:sz w:val="19"/>
          <w:szCs w:val="19"/>
          <w:lang w:val="sr-Latn-BA"/>
        </w:rPr>
        <w:t>Društva</w:t>
      </w:r>
      <w:r w:rsidRPr="00CF22FD">
        <w:rPr>
          <w:bCs/>
          <w:iCs/>
          <w:sz w:val="19"/>
          <w:szCs w:val="19"/>
          <w:lang w:val="sr-Latn-BA"/>
        </w:rPr>
        <w:t>.</w:t>
      </w:r>
    </w:p>
    <w:p w:rsidR="00B07BBD" w:rsidRPr="00CF22FD" w:rsidRDefault="00B07BBD" w:rsidP="00CF22FD">
      <w:pPr>
        <w:spacing w:after="0"/>
        <w:rPr>
          <w:bCs/>
          <w:iCs/>
          <w:sz w:val="19"/>
          <w:szCs w:val="19"/>
          <w:lang w:val="sr-Latn-BA"/>
        </w:rPr>
      </w:pPr>
      <w:r w:rsidRPr="00CF22FD">
        <w:rPr>
          <w:bCs/>
          <w:iCs/>
          <w:sz w:val="19"/>
          <w:szCs w:val="19"/>
          <w:lang w:val="sr-Latn-BA"/>
        </w:rPr>
        <w:t xml:space="preserve">Upoznali smo se sa poslovanjem u </w:t>
      </w:r>
      <w:r w:rsidR="002F4D0C" w:rsidRPr="00CF22FD">
        <w:rPr>
          <w:bCs/>
          <w:iCs/>
          <w:sz w:val="19"/>
          <w:szCs w:val="19"/>
          <w:lang w:val="sr-Latn-BA"/>
        </w:rPr>
        <w:t>2014</w:t>
      </w:r>
      <w:r w:rsidRPr="00CF22FD">
        <w:rPr>
          <w:bCs/>
          <w:iCs/>
          <w:sz w:val="19"/>
          <w:szCs w:val="19"/>
          <w:lang w:val="sr-Latn-BA"/>
        </w:rPr>
        <w:t xml:space="preserve">. godini i uradili sve potrebne procedure da bi mogli pravilno da planiramo neophodno vrijeme za provođenje revizije i potrebu eventualnog angažovanja spoljnih saradnika. </w:t>
      </w:r>
    </w:p>
    <w:p w:rsidR="00B07BBD" w:rsidRPr="00CF22FD" w:rsidRDefault="00B07BBD" w:rsidP="00CF22FD">
      <w:pPr>
        <w:spacing w:after="0"/>
        <w:rPr>
          <w:bCs/>
          <w:iCs/>
          <w:sz w:val="19"/>
          <w:szCs w:val="19"/>
          <w:lang w:val="sr-Latn-BA"/>
        </w:rPr>
      </w:pPr>
    </w:p>
    <w:p w:rsidR="00B07BBD" w:rsidRPr="00CF22FD" w:rsidRDefault="00B07BBD" w:rsidP="00CF22FD">
      <w:pPr>
        <w:spacing w:after="0"/>
        <w:rPr>
          <w:bCs/>
          <w:iCs/>
          <w:sz w:val="19"/>
          <w:szCs w:val="19"/>
          <w:lang w:val="sr-Latn-BA"/>
        </w:rPr>
      </w:pPr>
      <w:r w:rsidRPr="00CF22FD">
        <w:rPr>
          <w:bCs/>
          <w:iCs/>
          <w:sz w:val="19"/>
          <w:szCs w:val="19"/>
          <w:lang w:val="sr-Latn-BA"/>
        </w:rPr>
        <w:t>Informacije koje smo već imali</w:t>
      </w:r>
      <w:r w:rsidR="00924717">
        <w:rPr>
          <w:bCs/>
          <w:iCs/>
          <w:sz w:val="19"/>
          <w:szCs w:val="19"/>
          <w:lang w:val="sr-Latn-BA"/>
        </w:rPr>
        <w:t xml:space="preserve"> </w:t>
      </w:r>
      <w:r w:rsidRPr="00CF22FD">
        <w:rPr>
          <w:bCs/>
          <w:iCs/>
          <w:sz w:val="19"/>
          <w:szCs w:val="19"/>
          <w:lang w:val="sr-Latn-BA"/>
        </w:rPr>
        <w:t>o poslovanju</w:t>
      </w:r>
      <w:r w:rsidR="00924717">
        <w:rPr>
          <w:bCs/>
          <w:iCs/>
          <w:sz w:val="19"/>
          <w:szCs w:val="19"/>
          <w:lang w:val="sr-Latn-BA"/>
        </w:rPr>
        <w:t xml:space="preserve"> </w:t>
      </w:r>
      <w:r w:rsidRPr="00CF22FD">
        <w:rPr>
          <w:bCs/>
          <w:iCs/>
          <w:sz w:val="19"/>
          <w:szCs w:val="19"/>
          <w:lang w:val="sr-Latn-BA"/>
        </w:rPr>
        <w:t>kao i one koje smo prikupili do otpočinjanja revizorskih aktivnosti olakšale su nam planiranje i sam postupak revizije.</w:t>
      </w:r>
      <w:r w:rsidR="00924717">
        <w:rPr>
          <w:bCs/>
          <w:iCs/>
          <w:sz w:val="19"/>
          <w:szCs w:val="19"/>
          <w:lang w:val="sr-Latn-BA"/>
        </w:rPr>
        <w:t xml:space="preserve"> </w:t>
      </w:r>
    </w:p>
    <w:p w:rsidR="00B07BBD" w:rsidRPr="00CF22FD" w:rsidRDefault="00B07BBD" w:rsidP="00CF22FD">
      <w:pPr>
        <w:spacing w:after="0"/>
        <w:rPr>
          <w:bCs/>
          <w:iCs/>
          <w:sz w:val="19"/>
          <w:szCs w:val="19"/>
        </w:rPr>
      </w:pPr>
    </w:p>
    <w:p w:rsidR="00B07BBD" w:rsidRPr="00CF22FD" w:rsidRDefault="00B07BBD" w:rsidP="00CF22FD">
      <w:pPr>
        <w:spacing w:after="0"/>
        <w:rPr>
          <w:bCs/>
          <w:iCs/>
          <w:sz w:val="19"/>
          <w:szCs w:val="19"/>
        </w:rPr>
      </w:pPr>
    </w:p>
    <w:p w:rsidR="00E67545" w:rsidRPr="00CF22FD" w:rsidRDefault="00E67545" w:rsidP="00CF22FD">
      <w:pPr>
        <w:spacing w:after="0"/>
        <w:rPr>
          <w:sz w:val="19"/>
          <w:szCs w:val="19"/>
          <w:lang w:val="hr-BA"/>
        </w:rPr>
      </w:pPr>
    </w:p>
    <w:p w:rsidR="00E67545" w:rsidRPr="00CF22FD" w:rsidRDefault="00E67545" w:rsidP="00CF22FD">
      <w:pPr>
        <w:spacing w:after="0"/>
        <w:rPr>
          <w:sz w:val="19"/>
          <w:szCs w:val="19"/>
          <w:lang w:val="hr-BA"/>
        </w:rPr>
      </w:pPr>
    </w:p>
    <w:p w:rsidR="00F7429D" w:rsidRPr="00CF22FD" w:rsidRDefault="00F7429D" w:rsidP="00CF22FD">
      <w:pPr>
        <w:spacing w:after="0"/>
        <w:rPr>
          <w:b/>
          <w:sz w:val="19"/>
          <w:szCs w:val="19"/>
          <w:lang w:val="hr-BA"/>
        </w:rPr>
      </w:pPr>
      <w:r w:rsidRPr="00CF22FD">
        <w:rPr>
          <w:b/>
          <w:sz w:val="19"/>
          <w:szCs w:val="19"/>
          <w:lang w:val="hr-BA"/>
        </w:rPr>
        <w:br w:type="page"/>
      </w:r>
    </w:p>
    <w:p w:rsidR="00E67545" w:rsidRPr="00CF22FD" w:rsidRDefault="00E67545" w:rsidP="00CF22FD">
      <w:pPr>
        <w:pStyle w:val="ListParagraph"/>
        <w:numPr>
          <w:ilvl w:val="0"/>
          <w:numId w:val="1"/>
        </w:numPr>
        <w:spacing w:after="0"/>
        <w:contextualSpacing w:val="0"/>
        <w:rPr>
          <w:b/>
          <w:sz w:val="19"/>
          <w:szCs w:val="19"/>
          <w:lang w:val="hr-BA"/>
        </w:rPr>
      </w:pPr>
      <w:r w:rsidRPr="00CF22FD">
        <w:rPr>
          <w:b/>
          <w:sz w:val="19"/>
          <w:szCs w:val="19"/>
          <w:lang w:val="hr-BA"/>
        </w:rPr>
        <w:lastRenderedPageBreak/>
        <w:t>SAŽETAK TEMELJNIH RAČUNOVODSTVENIH POLITIKA</w:t>
      </w:r>
    </w:p>
    <w:p w:rsidR="00E67545" w:rsidRPr="00CF22FD" w:rsidRDefault="00E67545" w:rsidP="00CF22FD">
      <w:pPr>
        <w:pStyle w:val="ListParagraph"/>
        <w:spacing w:after="0"/>
        <w:ind w:left="0"/>
        <w:contextualSpacing w:val="0"/>
        <w:rPr>
          <w:sz w:val="19"/>
          <w:szCs w:val="19"/>
          <w:lang w:val="hr-BA"/>
        </w:rPr>
      </w:pPr>
    </w:p>
    <w:p w:rsidR="00E67545" w:rsidRPr="00CF22FD" w:rsidRDefault="00E67545" w:rsidP="00CF22FD">
      <w:pPr>
        <w:pStyle w:val="ListParagraph"/>
        <w:spacing w:after="0"/>
        <w:ind w:left="0"/>
        <w:contextualSpacing w:val="0"/>
        <w:rPr>
          <w:sz w:val="19"/>
          <w:szCs w:val="19"/>
          <w:lang w:val="hr-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Društvo vodi svoje knjigovodstvo po Kontnom okviru za preduzeća i zadruge, a na osnovu Zakona o računovodstvu, Zakona o računovodstvu i reviziji Republike Srpske, Zakona o računovodstvu i reviziji BiH, Međunarodnih računovodstvenih standarda, drugih propisa iz domena računovodstva i revizije i odgovarajućih opštih akata Društva.</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Poslovne knjige vode se primjenom računarske tehnike. Dnevnik odnosno glavna knjiga uredno je zaključena, uvezana i potpisana od strane odgovornih lica. Vođenje poslovnih knjiga i izrada finansijskih izvještaja povjerena je ovlaštenom računovođi.</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Saglasno Računovodstvenom standardu 1, finansijski izvještaji za 201</w:t>
      </w:r>
      <w:r w:rsidR="006676F0">
        <w:rPr>
          <w:sz w:val="19"/>
          <w:szCs w:val="19"/>
        </w:rPr>
        <w:t>4</w:t>
      </w:r>
      <w:r w:rsidRPr="00CF22FD">
        <w:rPr>
          <w:sz w:val="19"/>
          <w:szCs w:val="19"/>
          <w:lang w:val="sr-Cyrl-BA"/>
        </w:rPr>
        <w:t>. godinu sačinjeni su na obrascima:</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numPr>
          <w:ilvl w:val="0"/>
          <w:numId w:val="10"/>
        </w:numPr>
        <w:tabs>
          <w:tab w:val="num" w:pos="0"/>
        </w:tabs>
        <w:spacing w:after="0"/>
        <w:contextualSpacing w:val="0"/>
        <w:rPr>
          <w:sz w:val="19"/>
          <w:szCs w:val="19"/>
          <w:lang w:val="sr-Cyrl-BA"/>
        </w:rPr>
      </w:pPr>
      <w:r w:rsidRPr="00CF22FD">
        <w:rPr>
          <w:sz w:val="19"/>
          <w:szCs w:val="19"/>
          <w:lang w:val="sr-Cyrl-BA"/>
        </w:rPr>
        <w:t>Bilans stanja,</w:t>
      </w:r>
    </w:p>
    <w:p w:rsidR="00F7429D" w:rsidRPr="00CF22FD" w:rsidRDefault="00F7429D" w:rsidP="00CF22FD">
      <w:pPr>
        <w:pStyle w:val="ListParagraph"/>
        <w:numPr>
          <w:ilvl w:val="0"/>
          <w:numId w:val="10"/>
        </w:numPr>
        <w:tabs>
          <w:tab w:val="num" w:pos="0"/>
        </w:tabs>
        <w:spacing w:after="0"/>
        <w:contextualSpacing w:val="0"/>
        <w:rPr>
          <w:sz w:val="19"/>
          <w:szCs w:val="19"/>
          <w:lang w:val="sr-Cyrl-BA"/>
        </w:rPr>
      </w:pPr>
      <w:r w:rsidRPr="00CF22FD">
        <w:rPr>
          <w:sz w:val="19"/>
          <w:szCs w:val="19"/>
          <w:lang w:val="sr-Cyrl-BA"/>
        </w:rPr>
        <w:t>Bilans uspjeha,</w:t>
      </w:r>
    </w:p>
    <w:p w:rsidR="00F7429D" w:rsidRPr="00CF22FD" w:rsidRDefault="00F7429D" w:rsidP="00CF22FD">
      <w:pPr>
        <w:pStyle w:val="ListParagraph"/>
        <w:numPr>
          <w:ilvl w:val="0"/>
          <w:numId w:val="10"/>
        </w:numPr>
        <w:tabs>
          <w:tab w:val="num" w:pos="0"/>
        </w:tabs>
        <w:spacing w:after="0"/>
        <w:contextualSpacing w:val="0"/>
        <w:rPr>
          <w:sz w:val="19"/>
          <w:szCs w:val="19"/>
          <w:lang w:val="sr-Cyrl-BA"/>
        </w:rPr>
      </w:pPr>
      <w:r w:rsidRPr="00CF22FD">
        <w:rPr>
          <w:sz w:val="19"/>
          <w:szCs w:val="19"/>
          <w:lang w:val="sr-Cyrl-BA"/>
        </w:rPr>
        <w:t xml:space="preserve">Izvještaj o promjenama na kapitalu i </w:t>
      </w:r>
    </w:p>
    <w:p w:rsidR="00F7429D" w:rsidRPr="00CF22FD" w:rsidRDefault="00F7429D" w:rsidP="00CF22FD">
      <w:pPr>
        <w:pStyle w:val="ListParagraph"/>
        <w:numPr>
          <w:ilvl w:val="0"/>
          <w:numId w:val="10"/>
        </w:numPr>
        <w:tabs>
          <w:tab w:val="num" w:pos="0"/>
        </w:tabs>
        <w:spacing w:after="0"/>
        <w:contextualSpacing w:val="0"/>
        <w:rPr>
          <w:sz w:val="19"/>
          <w:szCs w:val="19"/>
          <w:lang w:val="sr-Cyrl-BA"/>
        </w:rPr>
      </w:pPr>
      <w:r w:rsidRPr="00CF22FD">
        <w:rPr>
          <w:sz w:val="19"/>
          <w:szCs w:val="19"/>
          <w:lang w:val="sr-Cyrl-BA"/>
        </w:rPr>
        <w:t>Izvještaj o tokovima gotovine</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Pored toga, kao sastavni dio finansijskih izvještaja, Društvo je sačinili Napomene (note) koje korisnicima pomažu da bolje shvate finansijske izvještaje i omoguće njihovo upoređivanje sa drugim preduzećima – društvima iste ili slične djelatnosti poslovanja.</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Finansijski izvještaji su blagovremeno sačinjeni i poneseni nadležnoj službi za prijem istih (APIF-</w:t>
      </w:r>
      <w:r w:rsidR="005B0751">
        <w:rPr>
          <w:sz w:val="19"/>
          <w:szCs w:val="19"/>
        </w:rPr>
        <w:t>u</w:t>
      </w:r>
      <w:r w:rsidRPr="00CF22FD">
        <w:rPr>
          <w:sz w:val="19"/>
          <w:szCs w:val="19"/>
          <w:lang w:val="sr-Cyrl-BA"/>
        </w:rPr>
        <w:t>).</w:t>
      </w: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Uvođenju poslovnih knjiga, formiranju knjigovodstvenih isprava i izradi finansijskih izvještaja primjenjivani su pored ostalog i:</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numPr>
          <w:ilvl w:val="1"/>
          <w:numId w:val="11"/>
        </w:numPr>
        <w:tabs>
          <w:tab w:val="clear" w:pos="1440"/>
          <w:tab w:val="num" w:pos="720"/>
        </w:tabs>
        <w:spacing w:after="0"/>
        <w:ind w:left="720"/>
        <w:contextualSpacing w:val="0"/>
        <w:rPr>
          <w:sz w:val="19"/>
          <w:szCs w:val="19"/>
          <w:lang w:val="sr-Cyrl-BA"/>
        </w:rPr>
      </w:pPr>
      <w:r w:rsidRPr="00CF22FD">
        <w:rPr>
          <w:sz w:val="19"/>
          <w:szCs w:val="19"/>
          <w:lang w:val="sr-Cyrl-BA"/>
        </w:rPr>
        <w:t xml:space="preserve">Okvir za sastavljanje i prezentaciju finansijskih izvještaja i </w:t>
      </w:r>
    </w:p>
    <w:p w:rsidR="00F7429D" w:rsidRPr="00CF22FD" w:rsidRDefault="00F7429D" w:rsidP="00CF22FD">
      <w:pPr>
        <w:pStyle w:val="ListParagraph"/>
        <w:numPr>
          <w:ilvl w:val="1"/>
          <w:numId w:val="11"/>
        </w:numPr>
        <w:tabs>
          <w:tab w:val="clear" w:pos="1440"/>
          <w:tab w:val="num" w:pos="720"/>
        </w:tabs>
        <w:spacing w:after="0"/>
        <w:ind w:left="720"/>
        <w:contextualSpacing w:val="0"/>
        <w:rPr>
          <w:sz w:val="19"/>
          <w:szCs w:val="19"/>
          <w:lang w:val="sr-Cyrl-BA"/>
        </w:rPr>
      </w:pPr>
      <w:r w:rsidRPr="00CF22FD">
        <w:rPr>
          <w:sz w:val="19"/>
          <w:szCs w:val="19"/>
          <w:lang w:val="sr-Cyrl-BA"/>
        </w:rPr>
        <w:t>Aktivirani računovodstveni standardi.</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Uporedni podaci su podaci iskazani u finansijskim izvještajima Društva za 2013. godinu, koji su ranije reklasifikovani u cilju usklađivanja sa prezentacijom finansijskih izvještaja za 2008. godinu. Svi iznosi koji se odnose na ukupan prihod odnose se samo na eksterne poslove promjene</w:t>
      </w:r>
      <w:r w:rsidRPr="00CF22FD">
        <w:rPr>
          <w:b/>
          <w:bCs/>
          <w:sz w:val="19"/>
          <w:szCs w:val="19"/>
          <w:lang w:val="sr-Cyrl-BA"/>
        </w:rPr>
        <w:t>.</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Godišnji obračun sačinjen je primjenom osnovnog računovodstvenog načela prvobitne nabavne vrijednosti i paragrafom K-49. Opšteg okvira i Standarda- 16. pravna lica su</w:t>
      </w:r>
      <w:r w:rsidR="00924717">
        <w:rPr>
          <w:sz w:val="19"/>
          <w:szCs w:val="19"/>
          <w:lang w:val="sr-Cyrl-BA"/>
        </w:rPr>
        <w:t xml:space="preserve"> </w:t>
      </w:r>
      <w:r w:rsidRPr="00CF22FD">
        <w:rPr>
          <w:sz w:val="19"/>
          <w:szCs w:val="19"/>
          <w:lang w:val="sr-Cyrl-BA"/>
        </w:rPr>
        <w:t>obavezna da vrše revalorizaciju osnovnih sredstva po bruto principu, primjenom koeficijenta rasta cijena na malo.</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Podaci u finansijskim izvještajima i u ovom izvještaju iskazani su u KM bez decimala. Sve vrijednosti u finansijskim izvještajima, datim na stranicama 5 do 1</w:t>
      </w:r>
      <w:r w:rsidRPr="00CF22FD">
        <w:rPr>
          <w:sz w:val="19"/>
          <w:szCs w:val="19"/>
        </w:rPr>
        <w:t>3</w:t>
      </w:r>
      <w:r w:rsidRPr="00CF22FD">
        <w:rPr>
          <w:sz w:val="19"/>
          <w:szCs w:val="19"/>
          <w:lang w:val="sr-Cyrl-BA"/>
        </w:rPr>
        <w:t>, zasnovane su na godišnjem obračunu Društva sastavljenim u skladu sa računovodstvenim principima i načelima koji su regulisani propisima o računovodstvu Republike Srpske i Bosne i Hercegovine. Finansijski izvještaji su reklasifikovani u bilansne kategorije u saglasnosti sa Međunarodnim računovodstvenim standardima radi ujednačene, jasnije i uporedive prezentacije.</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Prema odredbama privremenih računovodstvenih standarda Republike Srpske, kao i paragrafa K-49. Opšteg okvira (Standard 16), ako rast cijena na malo veći od 10% vrši se revalorizacija nematerijalnih ulaganja, osnovnih sredstava, učešća u kapitalu drugih pravnih lica, finansijskih plasmana i potraživanja i obaveza koje su iskazane u stranoj valuti, plemenitih metala i kapitala.</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lastRenderedPageBreak/>
        <w:t>Rast cijena odnosno indeks računaju se od početka obračunskog perioda, odnosno od dana sticanja navedenih pozicija, do dan bilansiranja.</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b/>
          <w:bCs/>
          <w:sz w:val="19"/>
          <w:szCs w:val="19"/>
        </w:rPr>
      </w:pPr>
    </w:p>
    <w:p w:rsidR="00F7429D" w:rsidRPr="00CF22FD" w:rsidRDefault="00F7429D" w:rsidP="00CF22FD">
      <w:pPr>
        <w:pStyle w:val="ListParagraph"/>
        <w:spacing w:after="0"/>
        <w:ind w:left="0"/>
        <w:contextualSpacing w:val="0"/>
        <w:rPr>
          <w:b/>
          <w:bCs/>
          <w:sz w:val="19"/>
          <w:szCs w:val="19"/>
          <w:lang w:val="sr-Cyrl-BA"/>
        </w:rPr>
      </w:pPr>
      <w:r w:rsidRPr="00CF22FD">
        <w:rPr>
          <w:b/>
          <w:bCs/>
          <w:sz w:val="19"/>
          <w:szCs w:val="19"/>
          <w:lang w:val="sr-Cyrl-BA"/>
        </w:rPr>
        <w:t>Proces revizije finansijskih izvještaja</w:t>
      </w:r>
    </w:p>
    <w:p w:rsidR="00F7429D" w:rsidRPr="00CF22FD" w:rsidRDefault="00F7429D" w:rsidP="00CF22FD">
      <w:pPr>
        <w:pStyle w:val="ListParagraph"/>
        <w:spacing w:after="0"/>
        <w:ind w:left="0"/>
        <w:contextualSpacing w:val="0"/>
        <w:rPr>
          <w:b/>
          <w:bCs/>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Reviziju finansijskih izvještaja Društva za 2013.</w:t>
      </w:r>
      <w:r w:rsidRPr="00CF22FD">
        <w:rPr>
          <w:sz w:val="19"/>
          <w:szCs w:val="19"/>
        </w:rPr>
        <w:t xml:space="preserve"> </w:t>
      </w:r>
      <w:r w:rsidRPr="00CF22FD">
        <w:rPr>
          <w:sz w:val="19"/>
          <w:szCs w:val="19"/>
          <w:lang w:val="sr-Cyrl-BA"/>
        </w:rPr>
        <w:t>godinu obavili smo u skladu sa Zakonom o računovodstvu i reviziji Republike Srpske («Službeni glasnik RS» broj: 38/09), Pravilnikom o reviziji finansijskih izvještaja («Službeni glasnik RS», broj: 120/06), Zakonom o računovodstvu i reviziji BiH (Službeni glasnik BiH», broj: 42/04) i Međunarodnim standardima revizije.</w:t>
      </w:r>
    </w:p>
    <w:p w:rsidR="00F7429D" w:rsidRPr="00CF22FD" w:rsidRDefault="00F7429D" w:rsidP="00CF22FD">
      <w:pPr>
        <w:pStyle w:val="ListParagraph"/>
        <w:spacing w:after="0"/>
        <w:ind w:left="0"/>
        <w:contextualSpacing w:val="0"/>
        <w:rPr>
          <w:b/>
          <w:bCs/>
          <w:sz w:val="19"/>
          <w:szCs w:val="19"/>
        </w:rPr>
      </w:pPr>
    </w:p>
    <w:p w:rsidR="00F7429D" w:rsidRPr="00CF22FD" w:rsidRDefault="00F7429D" w:rsidP="00CF22FD">
      <w:pPr>
        <w:pStyle w:val="ListParagraph"/>
        <w:spacing w:after="0"/>
        <w:ind w:left="0"/>
        <w:contextualSpacing w:val="0"/>
        <w:rPr>
          <w:b/>
          <w:bCs/>
          <w:sz w:val="19"/>
          <w:szCs w:val="19"/>
        </w:rPr>
      </w:pPr>
    </w:p>
    <w:p w:rsidR="00F7429D" w:rsidRPr="00CF22FD" w:rsidRDefault="00F7429D" w:rsidP="00CF22FD">
      <w:pPr>
        <w:pStyle w:val="ListParagraph"/>
        <w:spacing w:after="0"/>
        <w:ind w:left="0"/>
        <w:contextualSpacing w:val="0"/>
        <w:rPr>
          <w:b/>
          <w:sz w:val="19"/>
          <w:szCs w:val="19"/>
          <w:lang w:val="sr-Cyrl-BA"/>
        </w:rPr>
      </w:pPr>
      <w:r w:rsidRPr="00CF22FD">
        <w:rPr>
          <w:b/>
          <w:sz w:val="19"/>
          <w:szCs w:val="19"/>
          <w:lang w:val="sr-Cyrl-BA"/>
        </w:rPr>
        <w:t>Povezane strane</w:t>
      </w:r>
    </w:p>
    <w:p w:rsidR="00F7429D" w:rsidRPr="00CF22FD" w:rsidRDefault="00F7429D" w:rsidP="00CF22FD">
      <w:pPr>
        <w:pStyle w:val="ListParagraph"/>
        <w:spacing w:after="0"/>
        <w:ind w:left="0"/>
        <w:contextualSpacing w:val="0"/>
        <w:rPr>
          <w:b/>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 xml:space="preserve">Standard revizije Republike Srpske br. 550 </w:t>
      </w:r>
      <w:r w:rsidRPr="00CF22FD">
        <w:rPr>
          <w:sz w:val="19"/>
          <w:szCs w:val="19"/>
          <w:lang w:val="sr-Cyrl-BA"/>
        </w:rPr>
        <w:sym w:font="Symbol" w:char="002D"/>
      </w:r>
      <w:r w:rsidRPr="00CF22FD">
        <w:rPr>
          <w:sz w:val="19"/>
          <w:szCs w:val="19"/>
          <w:lang w:val="sr-Cyrl-BA"/>
        </w:rPr>
        <w:t xml:space="preserve"> Povezani subjekti, obavezuje revizora na kontinuirano obavljanje postupka koji moraju dati zadovoljavajući revizijski dokaz u vezi sa identifikacijom i objelodanjivanjem povezanih subjekata od strane rukovodstva i efektima poslovnih događaja s povezanim subjektima koji su od materijalnog značaja za finansijske izvještaje.</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Ovi standardi dodatno su osnaženi izričitim odredbama Zakona o javnim preduzećima koje određuju da se sukob interesa javlja kada lični, odnosno profesionalni interes povezanog lica onemogućava, može onemogućavati ili se čini da materijalno onemogućava interes ili poslovanje preduzeća ili sposobnost povezanog lica da ispunjava svoje obaveze i odgovornosti.</w:t>
      </w: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ab/>
      </w: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U skladu sa Zakonom povezanim licima se smatraju:</w:t>
      </w:r>
    </w:p>
    <w:p w:rsidR="00F7429D" w:rsidRPr="00CF22FD" w:rsidRDefault="00F7429D" w:rsidP="00CF22FD">
      <w:pPr>
        <w:pStyle w:val="ListParagraph"/>
        <w:numPr>
          <w:ilvl w:val="0"/>
          <w:numId w:val="31"/>
        </w:numPr>
        <w:tabs>
          <w:tab w:val="num" w:pos="360"/>
        </w:tabs>
        <w:spacing w:after="0"/>
        <w:contextualSpacing w:val="0"/>
        <w:rPr>
          <w:sz w:val="19"/>
          <w:szCs w:val="19"/>
          <w:lang w:val="sr-Cyrl-BA"/>
        </w:rPr>
      </w:pPr>
      <w:r w:rsidRPr="00CF22FD">
        <w:rPr>
          <w:sz w:val="19"/>
          <w:szCs w:val="19"/>
          <w:lang w:val="sr-Cyrl-BA"/>
        </w:rPr>
        <w:t>članovi uže porodice povezanih lica do trećeg stepena krvnog srodstva ili tazbine, odnosno osobe koje žive u istom domaćinstvu sa povezanim licima;</w:t>
      </w:r>
    </w:p>
    <w:p w:rsidR="00F7429D" w:rsidRPr="00CF22FD" w:rsidRDefault="00F7429D" w:rsidP="00CF22FD">
      <w:pPr>
        <w:pStyle w:val="ListParagraph"/>
        <w:numPr>
          <w:ilvl w:val="0"/>
          <w:numId w:val="31"/>
        </w:numPr>
        <w:tabs>
          <w:tab w:val="num" w:pos="360"/>
        </w:tabs>
        <w:spacing w:after="0"/>
        <w:contextualSpacing w:val="0"/>
        <w:rPr>
          <w:sz w:val="19"/>
          <w:szCs w:val="19"/>
          <w:lang w:val="sr-Cyrl-BA"/>
        </w:rPr>
      </w:pPr>
      <w:r w:rsidRPr="00CF22FD">
        <w:rPr>
          <w:sz w:val="19"/>
          <w:szCs w:val="19"/>
          <w:lang w:val="sr-Cyrl-BA"/>
        </w:rPr>
        <w:t>pravna lica koja raspolažu glasačkim pravima u preduzeću;</w:t>
      </w:r>
    </w:p>
    <w:p w:rsidR="00F7429D" w:rsidRPr="00CF22FD" w:rsidRDefault="00F7429D" w:rsidP="00CF22FD">
      <w:pPr>
        <w:pStyle w:val="ListParagraph"/>
        <w:numPr>
          <w:ilvl w:val="0"/>
          <w:numId w:val="31"/>
        </w:numPr>
        <w:tabs>
          <w:tab w:val="num" w:pos="360"/>
        </w:tabs>
        <w:spacing w:after="0"/>
        <w:contextualSpacing w:val="0"/>
        <w:rPr>
          <w:sz w:val="19"/>
          <w:szCs w:val="19"/>
          <w:lang w:val="sr-Cyrl-BA"/>
        </w:rPr>
      </w:pPr>
      <w:r w:rsidRPr="00CF22FD">
        <w:rPr>
          <w:sz w:val="19"/>
          <w:szCs w:val="19"/>
          <w:lang w:val="sr-Cyrl-BA"/>
        </w:rPr>
        <w:t xml:space="preserve">pravna lica u kojim preduzeće ima </w:t>
      </w:r>
      <w:r w:rsidRPr="00CF22FD">
        <w:rPr>
          <w:sz w:val="19"/>
          <w:szCs w:val="19"/>
        </w:rPr>
        <w:t>učešće</w:t>
      </w:r>
      <w:r w:rsidRPr="00CF22FD">
        <w:rPr>
          <w:sz w:val="19"/>
          <w:szCs w:val="19"/>
          <w:lang w:val="sr-Cyrl-BA"/>
        </w:rPr>
        <w:t xml:space="preserve"> od najmanje 5% od ukupnog zbira glasačkih prava;</w:t>
      </w:r>
    </w:p>
    <w:p w:rsidR="00F7429D" w:rsidRPr="00CF22FD" w:rsidRDefault="00F7429D" w:rsidP="00CF22FD">
      <w:pPr>
        <w:pStyle w:val="ListParagraph"/>
        <w:numPr>
          <w:ilvl w:val="0"/>
          <w:numId w:val="31"/>
        </w:numPr>
        <w:tabs>
          <w:tab w:val="num" w:pos="360"/>
        </w:tabs>
        <w:spacing w:after="0"/>
        <w:contextualSpacing w:val="0"/>
        <w:rPr>
          <w:sz w:val="19"/>
          <w:szCs w:val="19"/>
          <w:lang w:val="sr-Cyrl-BA"/>
        </w:rPr>
      </w:pPr>
      <w:r w:rsidRPr="00CF22FD">
        <w:rPr>
          <w:sz w:val="19"/>
          <w:szCs w:val="19"/>
          <w:lang w:val="sr-Cyrl-BA"/>
        </w:rPr>
        <w:t>pravna lica u kojima sa najmanje</w:t>
      </w:r>
      <w:r w:rsidR="00924717">
        <w:rPr>
          <w:sz w:val="19"/>
          <w:szCs w:val="19"/>
          <w:lang w:val="sr-Cyrl-BA"/>
        </w:rPr>
        <w:t xml:space="preserve"> </w:t>
      </w:r>
      <w:r w:rsidRPr="00CF22FD">
        <w:rPr>
          <w:sz w:val="19"/>
          <w:szCs w:val="19"/>
          <w:lang w:val="sr-Cyrl-BA"/>
        </w:rPr>
        <w:t>5% zbira glasačkih prava raspolaže povezano lice;</w:t>
      </w:r>
    </w:p>
    <w:p w:rsidR="00F7429D" w:rsidRPr="00CF22FD" w:rsidRDefault="00F7429D" w:rsidP="00CF22FD">
      <w:pPr>
        <w:pStyle w:val="ListParagraph"/>
        <w:numPr>
          <w:ilvl w:val="0"/>
          <w:numId w:val="31"/>
        </w:numPr>
        <w:tabs>
          <w:tab w:val="num" w:pos="360"/>
        </w:tabs>
        <w:spacing w:after="0"/>
        <w:contextualSpacing w:val="0"/>
        <w:rPr>
          <w:sz w:val="19"/>
          <w:szCs w:val="19"/>
          <w:lang w:val="sr-Cyrl-BA"/>
        </w:rPr>
      </w:pPr>
      <w:r w:rsidRPr="00CF22FD">
        <w:rPr>
          <w:sz w:val="19"/>
          <w:szCs w:val="19"/>
          <w:lang w:val="sr-Cyrl-BA"/>
        </w:rPr>
        <w:t>pravna lica u kojima je povezano lice ili članovi uže porodice član nadzornog odbora ili uprave.</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Javnim preduzećima prilikom poslovanja nije dozvoljeno da povezanim licima ili licima u vezi sa njima nude povoljnije uslove od onih koje nude drugim licima koja nisu povezana sa preduzećem.</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Rukovodstvo je odgovorno za identifikovanje i objelodanjivanje povezanih subjekata i poslovnih događaja s tim subjektima. Ta odgovornost odnosi se na obavezu rukovodstva da primjenjuje odgovarajući računovodstveni sistem i sistem interne kontrole radi obezbjeđenja odgovarajućeg identifikovanja poslovnih događaja s povezanim subjektima u računovodstvenim evidencijama i njihovog objelodanjivanja u finansijskim izvještajima.</w:t>
      </w:r>
    </w:p>
    <w:p w:rsidR="00F7429D" w:rsidRPr="00CF22FD" w:rsidRDefault="00F7429D" w:rsidP="00CF22FD">
      <w:pPr>
        <w:pStyle w:val="ListParagraph"/>
        <w:spacing w:after="0"/>
        <w:ind w:left="0"/>
        <w:contextualSpacing w:val="0"/>
        <w:rPr>
          <w:sz w:val="19"/>
          <w:szCs w:val="19"/>
        </w:rPr>
      </w:pPr>
    </w:p>
    <w:p w:rsidR="00F7429D" w:rsidRPr="00CF22FD" w:rsidRDefault="00F7429D" w:rsidP="00CF22FD">
      <w:pPr>
        <w:pStyle w:val="ListParagraph"/>
        <w:spacing w:after="0"/>
        <w:ind w:left="0"/>
        <w:contextualSpacing w:val="0"/>
        <w:rPr>
          <w:sz w:val="19"/>
          <w:szCs w:val="19"/>
          <w:lang w:val="sr-Cyrl-BA"/>
        </w:rPr>
      </w:pPr>
      <w:r w:rsidRPr="00CF22FD">
        <w:rPr>
          <w:sz w:val="19"/>
          <w:szCs w:val="19"/>
          <w:lang w:val="sr-Cyrl-BA"/>
        </w:rPr>
        <w:t>Imajući u vidu već opisane specifičnosti u vezi poslovanja preduzeća, revizor je procjenu rizika od postojanja povezanih subjekata ili poslovnih događaja sa takvim subjektima proveo i na osnovu:</w:t>
      </w:r>
    </w:p>
    <w:p w:rsidR="00F7429D" w:rsidRPr="00CF22FD" w:rsidRDefault="00F7429D" w:rsidP="00CF22FD">
      <w:pPr>
        <w:pStyle w:val="ListParagraph"/>
        <w:spacing w:after="0"/>
        <w:ind w:left="0"/>
        <w:contextualSpacing w:val="0"/>
        <w:rPr>
          <w:sz w:val="19"/>
          <w:szCs w:val="19"/>
          <w:lang w:val="sr-Cyrl-BA"/>
        </w:rPr>
      </w:pPr>
    </w:p>
    <w:p w:rsidR="00F7429D" w:rsidRPr="00CF22FD" w:rsidRDefault="00F7429D" w:rsidP="00CF22FD">
      <w:pPr>
        <w:pStyle w:val="ListParagraph"/>
        <w:numPr>
          <w:ilvl w:val="0"/>
          <w:numId w:val="28"/>
        </w:numPr>
        <w:tabs>
          <w:tab w:val="clear" w:pos="1428"/>
          <w:tab w:val="num" w:pos="708"/>
        </w:tabs>
        <w:spacing w:after="0"/>
        <w:ind w:left="708"/>
        <w:contextualSpacing w:val="0"/>
        <w:rPr>
          <w:sz w:val="19"/>
          <w:szCs w:val="19"/>
          <w:lang w:val="sr-Cyrl-BA"/>
        </w:rPr>
      </w:pPr>
      <w:r w:rsidRPr="00CF22FD">
        <w:rPr>
          <w:sz w:val="19"/>
          <w:szCs w:val="19"/>
          <w:lang w:val="sr-Cyrl-BA"/>
        </w:rPr>
        <w:t>razgovora sa direktorom preduzeća, obavljenog u fazi izvršavanja redovnih revizorskih procedura,</w:t>
      </w:r>
    </w:p>
    <w:p w:rsidR="00F7429D" w:rsidRPr="00CF22FD" w:rsidRDefault="00F7429D" w:rsidP="00CF22FD">
      <w:pPr>
        <w:pStyle w:val="ListParagraph"/>
        <w:numPr>
          <w:ilvl w:val="0"/>
          <w:numId w:val="28"/>
        </w:numPr>
        <w:tabs>
          <w:tab w:val="clear" w:pos="1428"/>
          <w:tab w:val="num" w:pos="708"/>
        </w:tabs>
        <w:spacing w:after="0"/>
        <w:ind w:left="708"/>
        <w:contextualSpacing w:val="0"/>
        <w:rPr>
          <w:sz w:val="19"/>
          <w:szCs w:val="19"/>
          <w:lang w:val="sr-Cyrl-BA"/>
        </w:rPr>
      </w:pPr>
      <w:r w:rsidRPr="00CF22FD">
        <w:rPr>
          <w:sz w:val="19"/>
          <w:szCs w:val="19"/>
          <w:lang w:val="sr-Cyrl-BA"/>
        </w:rPr>
        <w:t xml:space="preserve">detaljnog pregleda dokumentacije o značajnim nabavkama, </w:t>
      </w:r>
    </w:p>
    <w:p w:rsidR="00F7429D" w:rsidRPr="00CF22FD" w:rsidRDefault="00F7429D" w:rsidP="00CF22FD">
      <w:pPr>
        <w:pStyle w:val="ListParagraph"/>
        <w:numPr>
          <w:ilvl w:val="0"/>
          <w:numId w:val="28"/>
        </w:numPr>
        <w:tabs>
          <w:tab w:val="clear" w:pos="1428"/>
          <w:tab w:val="num" w:pos="708"/>
        </w:tabs>
        <w:spacing w:after="0"/>
        <w:ind w:left="708"/>
        <w:contextualSpacing w:val="0"/>
        <w:rPr>
          <w:sz w:val="19"/>
          <w:szCs w:val="19"/>
          <w:lang w:val="sr-Cyrl-BA"/>
        </w:rPr>
      </w:pPr>
      <w:r w:rsidRPr="00CF22FD">
        <w:rPr>
          <w:sz w:val="19"/>
          <w:szCs w:val="19"/>
          <w:lang w:val="sr-Cyrl-BA"/>
        </w:rPr>
        <w:t>analizirajući podatke iz finansijskih izvještaja i poreskog bilansa za izvještajni period, odnosno period revizije i knjigovodstvene dokumentacije koja je bila predmet ocjene, kontrole i inspekcije.</w:t>
      </w:r>
    </w:p>
    <w:p w:rsidR="00F7429D" w:rsidRPr="00CF22FD" w:rsidRDefault="00F7429D" w:rsidP="00CF22FD">
      <w:pPr>
        <w:tabs>
          <w:tab w:val="num" w:pos="708"/>
        </w:tabs>
        <w:spacing w:after="0"/>
        <w:rPr>
          <w:sz w:val="19"/>
          <w:szCs w:val="19"/>
        </w:rPr>
      </w:pPr>
    </w:p>
    <w:p w:rsidR="00F7429D" w:rsidRPr="00CF22FD" w:rsidRDefault="00F7429D" w:rsidP="00CF22FD">
      <w:pPr>
        <w:spacing w:after="0"/>
        <w:rPr>
          <w:b/>
          <w:bCs/>
          <w:sz w:val="19"/>
          <w:szCs w:val="19"/>
          <w:lang w:val="sr-Latn-BA"/>
        </w:rPr>
      </w:pPr>
      <w:r w:rsidRPr="00CF22FD">
        <w:rPr>
          <w:b/>
          <w:bCs/>
          <w:sz w:val="19"/>
          <w:szCs w:val="19"/>
          <w:lang w:val="sr-Latn-BA"/>
        </w:rPr>
        <w:br w:type="page"/>
      </w: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lastRenderedPageBreak/>
        <w:t>OCJENA INHERENTNOG RIZIKA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Inherentni rizik odnosi se na mogućnost da su stanja na računima ili pojedinoj vrsti poslovnih događaja pogrešno iskazani, koji uzeti pojedinačno ili kumulativno sa pogrešnim iskazima stanja na drugim računima ili vrstama poslovnih događaja, mogu biti materijalno značajni.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Ocjena inherentnog rizika izvršena je na nivou finansijskih izvještaja, salda računa, te značajnosti pojedinih ključnih poslovnih transakcija </w:t>
      </w:r>
      <w:r w:rsidR="004E4FDF" w:rsidRPr="00CF22FD">
        <w:rPr>
          <w:sz w:val="19"/>
          <w:szCs w:val="19"/>
          <w:lang w:val="sr-Latn-BA"/>
        </w:rPr>
        <w:t>Društva</w:t>
      </w:r>
      <w:r w:rsidRPr="00CF22FD">
        <w:rPr>
          <w:sz w:val="19"/>
          <w:szCs w:val="19"/>
          <w:lang w:val="sr-Latn-BA"/>
        </w:rPr>
        <w:t xml:space="preserve"> i računovodstvenih evidencija u vezi s njima.</w:t>
      </w:r>
    </w:p>
    <w:p w:rsidR="00F44F79" w:rsidRPr="00CF22FD" w:rsidRDefault="00F44F79"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Ocjena inherentnog rizika na nivou salda računa ukazala je na postojanje srednje visokog rizika. </w:t>
      </w:r>
    </w:p>
    <w:p w:rsidR="00B7362A" w:rsidRPr="00CF22FD" w:rsidRDefault="00B7362A" w:rsidP="00CF22FD">
      <w:pPr>
        <w:spacing w:after="0"/>
        <w:rPr>
          <w:sz w:val="19"/>
          <w:szCs w:val="19"/>
          <w:lang w:val="sr-Latn-BA"/>
        </w:rPr>
      </w:pPr>
    </w:p>
    <w:p w:rsidR="00F44F79" w:rsidRPr="00CF22FD" w:rsidRDefault="00F44F79"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OCJENA KONTROLNOG RIZIKA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Kontrolni rizik se definiše kao potencijalna mogućnost da može doći do pogrešnih iskaza stanja na računu ili vrsti poslovnih događaja koji, uzeti pojedinačno ili kumulativno sa pogrešnim iskazima na drugim računima ili vrstama poslovnih događaja, mogu biti materijalno značajni, a koje računovođa i sistem interne kontrole neće blagovremeno spriječiti, otkriti ili ispraviti.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Kontrolni mehanizmi nisu na adekvatan način artikulisani, što je od revizora zahtijevalo dodatna uvjeravanja vezano za pojedina salda i poslovne događaje.</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Ocjena kontrolnog rizika podrazumijeva ocjenu kontrolnog okruženja, pouzdanost računovodstvenog sistema i ocjenu kontrolnih postupaka koje provodi rukovodstvo </w:t>
      </w:r>
      <w:r w:rsidR="004E4FDF" w:rsidRPr="00CF22FD">
        <w:rPr>
          <w:sz w:val="19"/>
          <w:szCs w:val="19"/>
          <w:lang w:val="sr-Latn-BA"/>
        </w:rPr>
        <w:t>Društva</w:t>
      </w:r>
      <w:r w:rsidRPr="00CF22FD">
        <w:rPr>
          <w:sz w:val="19"/>
          <w:szCs w:val="19"/>
          <w:lang w:val="sr-Latn-BA"/>
        </w:rPr>
        <w:t>. Računovodstvene politike, kako je naglašeno, bilo</w:t>
      </w:r>
      <w:r w:rsidR="00924717">
        <w:rPr>
          <w:sz w:val="19"/>
          <w:szCs w:val="19"/>
          <w:lang w:val="sr-Latn-BA"/>
        </w:rPr>
        <w:t xml:space="preserve"> </w:t>
      </w:r>
      <w:r w:rsidRPr="00CF22FD">
        <w:rPr>
          <w:sz w:val="19"/>
          <w:szCs w:val="19"/>
          <w:lang w:val="sr-Latn-BA"/>
        </w:rPr>
        <w:t>je potrebno inovirati u skladu sa izmjenama MRS i MSFI, što će se posebno naglasiti u preporukama revizora.</w:t>
      </w:r>
    </w:p>
    <w:p w:rsidR="00F7429D" w:rsidRPr="00CF22FD" w:rsidRDefault="00F7429D"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Ocjenjujući sve navedeno došli smo do procjene da se kontrolni rizik može smatrati visokim.</w:t>
      </w:r>
    </w:p>
    <w:p w:rsidR="002F4D0C" w:rsidRPr="00CF22FD" w:rsidRDefault="002F4D0C" w:rsidP="00CF22FD">
      <w:pPr>
        <w:spacing w:after="0"/>
        <w:rPr>
          <w:sz w:val="19"/>
          <w:szCs w:val="19"/>
          <w:lang w:val="sr-Latn-BA"/>
        </w:rPr>
      </w:pPr>
    </w:p>
    <w:p w:rsidR="00F7429D" w:rsidRPr="00CF22FD" w:rsidRDefault="00F7429D"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OCJENA DETEKCIONOG RIZIKA</w:t>
      </w:r>
    </w:p>
    <w:p w:rsidR="002F4D0C" w:rsidRPr="00CF22FD" w:rsidRDefault="002F4D0C"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Srednje visok nivo inherentnog i kontrolnog rizika nužno dovodi do proširivanja obima revizorskih procedura s ciljem dobijanja što većeg broja revizorskih dokaza. To uglavnom upućuje na detaljan pregled pojedinih dijelova relevantne dokumentacije klijenta, da bi se rizik neotkrivanja materijalno značajnih pogrešnih iskaza u finansijskim izvještajima (detekcioni rizik) sveo na prihvatljivu mjeru.</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Iz ovih razloga, bilo je nužno dodatno se osvrnuti na prezentovanje vrijednosti pojedinih stavki troškova i obaveza, što je po revizorskom uvjerenju bilo dovoljno da se obezbijedi nivo detekcionog rizika u prihvatljivim granicama.</w:t>
      </w:r>
    </w:p>
    <w:p w:rsidR="00B7362A" w:rsidRPr="00CF22FD" w:rsidRDefault="00B7362A" w:rsidP="00CF22FD">
      <w:pPr>
        <w:spacing w:after="0"/>
        <w:rPr>
          <w:sz w:val="19"/>
          <w:szCs w:val="19"/>
          <w:lang w:val="sr-Latn-BA"/>
        </w:rPr>
      </w:pPr>
    </w:p>
    <w:p w:rsidR="00F44F79" w:rsidRPr="00CF22FD" w:rsidRDefault="00F44F79" w:rsidP="00CF22FD">
      <w:pPr>
        <w:spacing w:after="0"/>
        <w:rPr>
          <w:sz w:val="19"/>
          <w:szCs w:val="19"/>
          <w:lang w:val="sr-Latn-BA"/>
        </w:rPr>
      </w:pPr>
    </w:p>
    <w:p w:rsidR="00B7362A" w:rsidRPr="00CF22FD" w:rsidRDefault="00B7362A" w:rsidP="00CF22FD">
      <w:pPr>
        <w:spacing w:after="0"/>
        <w:rPr>
          <w:b/>
          <w:bCs/>
          <w:sz w:val="19"/>
          <w:szCs w:val="19"/>
          <w:lang w:val="sr-Latn-BA"/>
        </w:rPr>
      </w:pPr>
      <w:r w:rsidRPr="00CF22FD">
        <w:rPr>
          <w:b/>
          <w:bCs/>
          <w:sz w:val="19"/>
          <w:szCs w:val="19"/>
          <w:lang w:val="sr-Latn-BA"/>
        </w:rPr>
        <w:t>OCJENA UKUPNOG REVIZORSKOG RIZIKA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Na osnovu iznesenih navoda može se doći do uvjerenja da je ukupan revizorski rizik prihvatljiv. Provođenjem osnovnih</w:t>
      </w:r>
      <w:r w:rsidR="00924717">
        <w:rPr>
          <w:sz w:val="19"/>
          <w:szCs w:val="19"/>
          <w:lang w:val="sr-Latn-BA"/>
        </w:rPr>
        <w:t xml:space="preserve"> </w:t>
      </w:r>
      <w:r w:rsidRPr="00CF22FD">
        <w:rPr>
          <w:sz w:val="19"/>
          <w:szCs w:val="19"/>
          <w:lang w:val="sr-Latn-BA"/>
        </w:rPr>
        <w:t>revizorskih procedura iz Standarda revizije, po našem mišljenju, za predmetnu reviziju rizik neotkrivanja materijalno značajnih pogrešnih iskaza moguće je svesti na prihvatljiv nivo.</w:t>
      </w:r>
    </w:p>
    <w:p w:rsidR="00B7362A" w:rsidRPr="00CF22FD" w:rsidRDefault="00B7362A" w:rsidP="00CF22FD">
      <w:pPr>
        <w:spacing w:after="0"/>
        <w:rPr>
          <w:sz w:val="19"/>
          <w:szCs w:val="19"/>
          <w:lang w:val="sr-Latn-BA"/>
        </w:rPr>
      </w:pPr>
    </w:p>
    <w:p w:rsidR="00F44F79" w:rsidRPr="00CF22FD" w:rsidRDefault="00F44F79" w:rsidP="00CF22FD">
      <w:pPr>
        <w:spacing w:after="0"/>
        <w:rPr>
          <w:sz w:val="19"/>
          <w:szCs w:val="19"/>
          <w:lang w:val="sr-Latn-BA"/>
        </w:rPr>
      </w:pPr>
    </w:p>
    <w:p w:rsidR="00F7429D" w:rsidRPr="00CF22FD" w:rsidRDefault="00F7429D" w:rsidP="00CF22FD">
      <w:pPr>
        <w:spacing w:after="0"/>
        <w:rPr>
          <w:b/>
          <w:bCs/>
          <w:sz w:val="19"/>
          <w:szCs w:val="19"/>
          <w:lang w:val="sr-Latn-BA"/>
        </w:rPr>
      </w:pPr>
      <w:r w:rsidRPr="00CF22FD">
        <w:rPr>
          <w:b/>
          <w:bCs/>
          <w:sz w:val="19"/>
          <w:szCs w:val="19"/>
          <w:lang w:val="sr-Latn-BA"/>
        </w:rPr>
        <w:br w:type="page"/>
      </w: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lastRenderedPageBreak/>
        <w:t>ODREĐIVANJE ZNAČAJNOSTI (MATERIJALNOSTI)</w:t>
      </w:r>
    </w:p>
    <w:p w:rsidR="002F4D0C" w:rsidRPr="00CF22FD" w:rsidRDefault="002F4D0C"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Prihvatanjem standardnih metoda utvrđivanja materijalnosti tj. granice do koje se iskazana greška ne smatra značajnom sa stanovišta ukupne ocjene objektivnosti i istinitosti finansijskih izvještaja, revizor se odlučio da iznos preliminarne dopustive materijalne greške utvrdi primjenom odgovarajućih tablica američkog udruženja profesionalnih računovodstvenih eksperata.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Tako utvrđena materijalnost ponovo je testirana pri zaključivanju revizije. Pri tome, nivo materijalnosti utvrđen u fazi njene preliminarne ocjene nije promijenjen.</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Pri sačinjavanju finansijskih izvještaja </w:t>
      </w:r>
      <w:r w:rsidR="004E4FDF" w:rsidRPr="00CF22FD">
        <w:rPr>
          <w:sz w:val="19"/>
          <w:szCs w:val="19"/>
          <w:lang w:val="sr-Latn-BA"/>
        </w:rPr>
        <w:t>Društvo</w:t>
      </w:r>
      <w:r w:rsidRPr="00CF22FD">
        <w:rPr>
          <w:sz w:val="19"/>
          <w:szCs w:val="19"/>
          <w:lang w:val="sr-Latn-BA"/>
        </w:rPr>
        <w:t>u je obavezno pridržavati se slijedećih načela:</w:t>
      </w:r>
    </w:p>
    <w:p w:rsidR="00B7362A" w:rsidRPr="00CF22FD" w:rsidRDefault="00B7362A" w:rsidP="00CF22FD">
      <w:pPr>
        <w:spacing w:after="0"/>
        <w:rPr>
          <w:sz w:val="19"/>
          <w:szCs w:val="19"/>
          <w:lang w:val="sr-Latn-BA"/>
        </w:rPr>
      </w:pPr>
    </w:p>
    <w:p w:rsidR="00F44F79" w:rsidRPr="00CF22FD" w:rsidRDefault="00F44F79"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NAČELO STALNOSTI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iz koga proizilazi da imovinski, finansijski i prinosni položaj </w:t>
      </w:r>
      <w:r w:rsidR="004E4FDF" w:rsidRPr="00CF22FD">
        <w:rPr>
          <w:sz w:val="19"/>
          <w:szCs w:val="19"/>
          <w:lang w:val="sr-Latn-BA"/>
        </w:rPr>
        <w:t>Društva</w:t>
      </w:r>
      <w:r w:rsidRPr="00CF22FD">
        <w:rPr>
          <w:sz w:val="19"/>
          <w:szCs w:val="19"/>
          <w:lang w:val="sr-Latn-BA"/>
        </w:rPr>
        <w:t xml:space="preserve"> kao i ekonomska politika zemlje i ekonomske prilike u okruženju omogućuje poslovanje u neograničenom roku iz čega proizilazi privremenost i povremenost izveštavanja, kao i obaveznost procenjivanja po nabavnoj cijeni i cijeni koštanja osim u slučajevima primjena načela impariteta.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NAČELO DOSLJEDNOSTI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koje podrazumijeva da se način procjenjivanja u dužem vremenskom razdoblju ne mijenja, a ako do promjene ipak dođe u Aneksu se iskazuje efekat promjene i obrazloži razlog promjene.</w:t>
      </w:r>
    </w:p>
    <w:p w:rsidR="00B7362A" w:rsidRPr="00CF22FD" w:rsidRDefault="00B7362A" w:rsidP="00CF22FD">
      <w:pPr>
        <w:spacing w:after="0"/>
        <w:rPr>
          <w:sz w:val="19"/>
          <w:szCs w:val="19"/>
          <w:lang w:val="sr-Latn-BA"/>
        </w:rPr>
      </w:pPr>
    </w:p>
    <w:p w:rsidR="00F44F79" w:rsidRPr="00CF22FD" w:rsidRDefault="00F44F79" w:rsidP="00CF22FD">
      <w:pPr>
        <w:spacing w:after="0"/>
        <w:rPr>
          <w:b/>
          <w:bCs/>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NAČELO REALIZACIJE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po kome se u bilansu uspjeha mogu uključiti samo realizovani (tržišno potvrđeni) dobici.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sz w:val="19"/>
          <w:szCs w:val="19"/>
          <w:lang w:val="sr-Latn-BA"/>
        </w:rPr>
      </w:pPr>
      <w:r w:rsidRPr="00CF22FD">
        <w:rPr>
          <w:b/>
          <w:bCs/>
          <w:sz w:val="19"/>
          <w:szCs w:val="19"/>
          <w:lang w:val="sr-Latn-BA"/>
        </w:rPr>
        <w:t>NAČELO IMPARITETA</w:t>
      </w:r>
      <w:r w:rsidRPr="00CF22FD">
        <w:rPr>
          <w:sz w:val="19"/>
          <w:szCs w:val="19"/>
          <w:lang w:val="sr-Latn-BA"/>
        </w:rPr>
        <w:t xml:space="preserve"> (nejednake vrijednosti)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koje zahtjeva bilansiranje imovine po najnižoj a obaveza po najvišoj vrijednosti što ima za posljedicu odmjeravanja rashoda na više a prihoda na niže, kao i uzimanje u obzir obezvređenja (depresijacije) i rezervisanja nezavisno da li je rezultat dobitak ili gubitak.</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NAČELO UZROČNOSTI PRIHODA I RASHODA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po kome se uzimaju u obzir svi prihodi i svi rashodi datog obračunskog perioda bez obzira na momenat naplate prihoda (fakturisana realizacija) i momenata plaćanja po osnovu rashoda.</w:t>
      </w:r>
    </w:p>
    <w:p w:rsidR="00B7362A" w:rsidRDefault="00B7362A" w:rsidP="00CF22FD">
      <w:pPr>
        <w:spacing w:after="0"/>
        <w:rPr>
          <w:sz w:val="19"/>
          <w:szCs w:val="19"/>
          <w:lang w:val="sr-Latn-BA"/>
        </w:rPr>
      </w:pPr>
    </w:p>
    <w:p w:rsidR="00CF22FD" w:rsidRPr="00CF22FD" w:rsidRDefault="00CF22FD"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NAČELO POJEDINAČNOG PROCENJIVANJA IMOVINE I OBAVEZA</w:t>
      </w:r>
      <w:r w:rsidR="00924717">
        <w:rPr>
          <w:b/>
          <w:bCs/>
          <w:sz w:val="19"/>
          <w:szCs w:val="19"/>
          <w:lang w:val="sr-Latn-BA"/>
        </w:rPr>
        <w:t xml:space="preserve">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pri čemu eventualna grupna procjenjivanja radi racionalizacije proističu iz pojedinačnog procjenjivanja.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CF22FD" w:rsidRDefault="00CF22FD">
      <w:pPr>
        <w:rPr>
          <w:b/>
          <w:bCs/>
          <w:sz w:val="19"/>
          <w:szCs w:val="19"/>
          <w:lang w:val="sr-Latn-BA"/>
        </w:rPr>
      </w:pPr>
      <w:r>
        <w:rPr>
          <w:b/>
          <w:bCs/>
          <w:sz w:val="19"/>
          <w:szCs w:val="19"/>
          <w:lang w:val="sr-Latn-BA"/>
        </w:rPr>
        <w:br w:type="page"/>
      </w:r>
    </w:p>
    <w:p w:rsidR="00B7362A" w:rsidRPr="00CF22FD" w:rsidRDefault="00B7362A" w:rsidP="00CF22FD">
      <w:pPr>
        <w:spacing w:after="0"/>
        <w:rPr>
          <w:b/>
          <w:bCs/>
          <w:sz w:val="19"/>
          <w:szCs w:val="19"/>
          <w:lang w:val="sr-Latn-BA"/>
        </w:rPr>
      </w:pPr>
      <w:r w:rsidRPr="00CF22FD">
        <w:rPr>
          <w:b/>
          <w:bCs/>
          <w:sz w:val="19"/>
          <w:szCs w:val="19"/>
          <w:lang w:val="sr-Latn-BA"/>
        </w:rPr>
        <w:lastRenderedPageBreak/>
        <w:t xml:space="preserve">NAČELO INDETITETA BILANSA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po kome bilans otvaranja poslovnih knjiga za tekuću godinu mora da bude identičan zaključnom bilansu za prethodnu godinu.</w:t>
      </w:r>
    </w:p>
    <w:p w:rsidR="00B7362A" w:rsidRPr="00CF22FD" w:rsidRDefault="00B7362A" w:rsidP="00CF22FD">
      <w:pPr>
        <w:spacing w:after="0"/>
        <w:rPr>
          <w:sz w:val="19"/>
          <w:szCs w:val="19"/>
          <w:lang w:val="sr-Latn-BA"/>
        </w:rPr>
      </w:pPr>
    </w:p>
    <w:p w:rsidR="00F44F79" w:rsidRPr="00CF22FD" w:rsidRDefault="00F44F79"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NEUPLAĆENI UPISANI KAPITAL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procenjuje se po momentalnoj vrijednosti</w:t>
      </w:r>
      <w:r w:rsidR="00924717">
        <w:rPr>
          <w:sz w:val="19"/>
          <w:szCs w:val="19"/>
          <w:lang w:val="sr-Latn-BA"/>
        </w:rPr>
        <w:t xml:space="preserve"> </w:t>
      </w:r>
      <w:r w:rsidRPr="00CF22FD">
        <w:rPr>
          <w:sz w:val="19"/>
          <w:szCs w:val="19"/>
          <w:lang w:val="sr-Latn-BA"/>
        </w:rPr>
        <w:t>potraživanja po osnovu upisanog neuplaćenog kapitala.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NEMATERIJALNA ULAGANJA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se priznaju samo kada je verovatno da će od tog ulaganja priticati ekonomske koristi i kada je nabavna vrijednost ulaganja pouzdano merljiva, a obuhvataju ulaganja u razvoj, koncesije, patente, licence, ulaganja u ostalu nematerijalnu imovinu, kao i kupovinom stečeni goodwill.</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Nematerijalna ulaganja se vrednuju prema nabavnoj vrijednosti.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NEKRETNINE, POSTROJENJA, OPREMA I BIOLOŠKA SREDSTVA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U momentu nabavke ova imovina se vrednuje po nabavnoj c</w:t>
      </w:r>
      <w:r w:rsidR="00F44F79" w:rsidRPr="00CF22FD">
        <w:rPr>
          <w:sz w:val="19"/>
          <w:szCs w:val="19"/>
          <w:lang w:val="sr-Latn-BA"/>
        </w:rPr>
        <w:t>ij</w:t>
      </w:r>
      <w:r w:rsidRPr="00CF22FD">
        <w:rPr>
          <w:sz w:val="19"/>
          <w:szCs w:val="19"/>
          <w:lang w:val="sr-Latn-BA"/>
        </w:rPr>
        <w:t>eni.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Nakon početnog priznavanja po nabavnoj vrijednosti građevinski objekti, postrojenja, oprema i biološka sredstva, izuzimajući šume, vrednuju se po sadašnjoj vrijednosti (nabavna vrijednost umanjena za iznos obračunate amortizacije i gubitka po osnovu obezvređenja).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Investicione nekretnine nakon početnog priznavanja procenjuju se po poštenoj vrijednosti (obično je to vladajuća tržišna c</w:t>
      </w:r>
      <w:r w:rsidR="00817EDE" w:rsidRPr="00CF22FD">
        <w:rPr>
          <w:sz w:val="19"/>
          <w:szCs w:val="19"/>
          <w:lang w:val="sr-Latn-BA"/>
        </w:rPr>
        <w:t>ij</w:t>
      </w:r>
      <w:r w:rsidRPr="00CF22FD">
        <w:rPr>
          <w:sz w:val="19"/>
          <w:szCs w:val="19"/>
          <w:lang w:val="sr-Latn-BA"/>
        </w:rPr>
        <w:t>ena). Dobitak ili gubitak nastao usled promene poštene vrijednosti investicione nekretnine uključuje se u rezultat u kome je nastao.</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Sadašnja vrijednost građevinskih objekata, postrojenja, opreme i investicione imovine uvećava se za naknadne troškove po osnovu troškova adaptacije, zamene delova i troškova generalnih popravki pod uslovom da se ovi troškovi mogu izmeriti i da oni produžuju korisni vek ili povećavaju učinak sredstva.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Nakon početnog vrednovanja kada knjigovodstvena vrijednost nekretnina, postrojenja i opreme odstupa od vladajućih tržišnih </w:t>
      </w:r>
      <w:r w:rsidR="00817EDE" w:rsidRPr="00CF22FD">
        <w:rPr>
          <w:sz w:val="19"/>
          <w:szCs w:val="19"/>
          <w:lang w:val="sr-Latn-BA"/>
        </w:rPr>
        <w:t>cijena</w:t>
      </w:r>
      <w:r w:rsidRPr="00CF22FD">
        <w:rPr>
          <w:sz w:val="19"/>
          <w:szCs w:val="19"/>
          <w:lang w:val="sr-Latn-BA"/>
        </w:rPr>
        <w:t xml:space="preserve"> na dan bilansa, vrši se procena nekretnina, postrojenja i opreme ili putem ponovne nabavne cene ili putem revalorizacije. Pozitivni efekti ove procene povećavaju revalorizacionu rezervu, a negativni efekti smanjuju revalorizacionu rezervu, a ako revalorizacione rezerve nema negativni efekat povećava rashod obezvređenjem imovine u bilansu uspeha.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AMORTIZACIJA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Metod obračuna amortizacije je linearni tj. proporcionalni (paragraf 62 MRS 16 – Nekretnine, postrojenja i oprema).</w:t>
      </w:r>
    </w:p>
    <w:p w:rsidR="00B7362A" w:rsidRPr="00CF22FD" w:rsidRDefault="00B7362A" w:rsidP="00CF22FD">
      <w:pPr>
        <w:spacing w:after="0"/>
        <w:rPr>
          <w:sz w:val="19"/>
          <w:szCs w:val="19"/>
          <w:lang w:val="sr-Latn-BA"/>
        </w:rPr>
      </w:pPr>
    </w:p>
    <w:p w:rsidR="00B7362A" w:rsidRPr="00CF22FD" w:rsidRDefault="004E4FDF" w:rsidP="00CF22FD">
      <w:pPr>
        <w:spacing w:after="0"/>
        <w:rPr>
          <w:sz w:val="19"/>
          <w:szCs w:val="19"/>
          <w:lang w:val="sr-Latn-BA"/>
        </w:rPr>
      </w:pPr>
      <w:r w:rsidRPr="00CF22FD">
        <w:rPr>
          <w:sz w:val="19"/>
          <w:szCs w:val="19"/>
          <w:lang w:val="sr-Latn-BA"/>
        </w:rPr>
        <w:t>Društvo</w:t>
      </w:r>
      <w:r w:rsidR="00B7362A" w:rsidRPr="00CF22FD">
        <w:rPr>
          <w:sz w:val="19"/>
          <w:szCs w:val="19"/>
          <w:lang w:val="sr-Latn-BA"/>
        </w:rPr>
        <w:t xml:space="preserve"> koristi sledeće amortizacione stope:</w:t>
      </w:r>
    </w:p>
    <w:p w:rsidR="00B7362A" w:rsidRPr="00CF22FD" w:rsidRDefault="00B7362A" w:rsidP="00CF22FD">
      <w:pPr>
        <w:spacing w:after="0"/>
        <w:rPr>
          <w:sz w:val="19"/>
          <w:szCs w:val="19"/>
          <w:lang w:val="sr-Latn-BA"/>
        </w:rPr>
      </w:pPr>
    </w:p>
    <w:p w:rsidR="00B7362A" w:rsidRPr="00CF22FD" w:rsidRDefault="00B7362A" w:rsidP="00CF22FD">
      <w:pPr>
        <w:numPr>
          <w:ilvl w:val="0"/>
          <w:numId w:val="14"/>
        </w:numPr>
        <w:spacing w:after="0"/>
        <w:rPr>
          <w:sz w:val="19"/>
          <w:szCs w:val="19"/>
          <w:lang w:val="sr-Latn-BA"/>
        </w:rPr>
      </w:pPr>
      <w:r w:rsidRPr="00CF22FD">
        <w:rPr>
          <w:sz w:val="19"/>
          <w:szCs w:val="19"/>
          <w:lang w:val="sr-Latn-BA"/>
        </w:rPr>
        <w:t>Građevinski objekti 2%</w:t>
      </w:r>
      <w:r w:rsidR="00924717">
        <w:rPr>
          <w:sz w:val="19"/>
          <w:szCs w:val="19"/>
          <w:lang w:val="sr-Latn-BA"/>
        </w:rPr>
        <w:t xml:space="preserve"> </w:t>
      </w:r>
    </w:p>
    <w:p w:rsidR="00B7362A" w:rsidRPr="00CF22FD" w:rsidRDefault="00B7362A" w:rsidP="00CF22FD">
      <w:pPr>
        <w:numPr>
          <w:ilvl w:val="0"/>
          <w:numId w:val="14"/>
        </w:numPr>
        <w:spacing w:after="0"/>
        <w:rPr>
          <w:sz w:val="19"/>
          <w:szCs w:val="19"/>
          <w:lang w:val="sr-Latn-BA"/>
        </w:rPr>
      </w:pPr>
      <w:r w:rsidRPr="00CF22FD">
        <w:rPr>
          <w:sz w:val="19"/>
          <w:szCs w:val="19"/>
          <w:lang w:val="sr-Latn-BA"/>
        </w:rPr>
        <w:lastRenderedPageBreak/>
        <w:t>Kancelarijska oprema 12,5%</w:t>
      </w:r>
    </w:p>
    <w:p w:rsidR="00B7362A" w:rsidRPr="00CF22FD" w:rsidRDefault="00B7362A" w:rsidP="00CF22FD">
      <w:pPr>
        <w:numPr>
          <w:ilvl w:val="0"/>
          <w:numId w:val="14"/>
        </w:numPr>
        <w:spacing w:after="0"/>
        <w:rPr>
          <w:sz w:val="19"/>
          <w:szCs w:val="19"/>
          <w:lang w:val="sr-Latn-BA"/>
        </w:rPr>
      </w:pPr>
      <w:r w:rsidRPr="00CF22FD">
        <w:rPr>
          <w:sz w:val="19"/>
          <w:szCs w:val="19"/>
          <w:lang w:val="sr-Latn-BA"/>
        </w:rPr>
        <w:t>Računarska oprema 33.33 %</w:t>
      </w:r>
      <w:r w:rsidR="00924717">
        <w:rPr>
          <w:sz w:val="19"/>
          <w:szCs w:val="19"/>
          <w:lang w:val="sr-Latn-BA"/>
        </w:rPr>
        <w:t xml:space="preserve"> </w:t>
      </w:r>
    </w:p>
    <w:p w:rsidR="00B7362A" w:rsidRPr="00CF22FD" w:rsidRDefault="00B7362A" w:rsidP="00CF22FD">
      <w:pPr>
        <w:numPr>
          <w:ilvl w:val="0"/>
          <w:numId w:val="14"/>
        </w:numPr>
        <w:spacing w:after="0"/>
        <w:rPr>
          <w:sz w:val="19"/>
          <w:szCs w:val="19"/>
          <w:lang w:val="sr-Latn-BA"/>
        </w:rPr>
      </w:pPr>
      <w:r w:rsidRPr="00CF22FD">
        <w:rPr>
          <w:sz w:val="19"/>
          <w:szCs w:val="19"/>
          <w:lang w:val="sr-Latn-BA"/>
        </w:rPr>
        <w:t>Telekomunikaciona oprema 7% - 16,5%</w:t>
      </w:r>
    </w:p>
    <w:p w:rsidR="00B7362A" w:rsidRPr="00CF22FD" w:rsidRDefault="00B7362A" w:rsidP="00CF22FD">
      <w:pPr>
        <w:numPr>
          <w:ilvl w:val="0"/>
          <w:numId w:val="14"/>
        </w:numPr>
        <w:spacing w:after="0"/>
        <w:rPr>
          <w:sz w:val="19"/>
          <w:szCs w:val="19"/>
          <w:lang w:val="sr-Latn-BA"/>
        </w:rPr>
      </w:pPr>
      <w:r w:rsidRPr="00CF22FD">
        <w:rPr>
          <w:sz w:val="19"/>
          <w:szCs w:val="19"/>
          <w:lang w:val="sr-Latn-BA"/>
        </w:rPr>
        <w:t>Putnička motorna vozila 12,5%-15%</w:t>
      </w:r>
      <w:r w:rsidR="00924717">
        <w:rPr>
          <w:sz w:val="19"/>
          <w:szCs w:val="19"/>
          <w:lang w:val="sr-Latn-BA"/>
        </w:rPr>
        <w:t xml:space="preserve">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FINASIJSKI PLASMANI I POTRAŽIVANJA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Učešće u kapitalu procenjuje se po nabavnoj vrijednosti.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Krediti se procenjuju po nominalnoj vrijednosti. Krediti se direktno otpisuju za iznos dokumentovane nenaplativosti, a indirektno po odluci rukovodstva u slučaju ne izvršenja naplate o roku dospeća.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Hartije od vrijednosti procenjuju se po fer</w:t>
      </w:r>
      <w:r w:rsidR="00924717">
        <w:rPr>
          <w:sz w:val="19"/>
          <w:szCs w:val="19"/>
          <w:lang w:val="sr-Latn-BA"/>
        </w:rPr>
        <w:t xml:space="preserve"> </w:t>
      </w:r>
      <w:r w:rsidRPr="00CF22FD">
        <w:rPr>
          <w:sz w:val="19"/>
          <w:szCs w:val="19"/>
          <w:lang w:val="sr-Latn-BA"/>
        </w:rPr>
        <w:t>vrijednosti kroz bilans uspjeha.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Kratkoročna potraživanja procenjuju se po nominalnoj vrijednosti</w:t>
      </w:r>
      <w:r w:rsidR="00924717">
        <w:rPr>
          <w:sz w:val="19"/>
          <w:szCs w:val="19"/>
          <w:lang w:val="sr-Latn-BA"/>
        </w:rPr>
        <w:t xml:space="preserve"> </w:t>
      </w:r>
      <w:r w:rsidRPr="00CF22FD">
        <w:rPr>
          <w:sz w:val="19"/>
          <w:szCs w:val="19"/>
          <w:lang w:val="sr-Latn-BA"/>
        </w:rPr>
        <w:t>umanjenoj za</w:t>
      </w:r>
      <w:r w:rsidR="00924717">
        <w:rPr>
          <w:sz w:val="19"/>
          <w:szCs w:val="19"/>
          <w:lang w:val="sr-Latn-BA"/>
        </w:rPr>
        <w:t xml:space="preserve"> </w:t>
      </w:r>
      <w:r w:rsidRPr="00CF22FD">
        <w:rPr>
          <w:sz w:val="19"/>
          <w:szCs w:val="19"/>
          <w:lang w:val="sr-Latn-BA"/>
        </w:rPr>
        <w:t>indirektni otpis, po odluci rukovodstva, verovatno nenaplativih potraživanja odnosno za direktni otpis ako je nenaplativost potraživanja dokumentovana.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Finansijski plasmani i potraživanja u stranoj valuti procenjuju se po srednjem kursu strane valute na dan bilansa.</w:t>
      </w:r>
    </w:p>
    <w:p w:rsidR="00B7362A" w:rsidRPr="00CF22FD" w:rsidRDefault="00B7362A" w:rsidP="00CF22FD">
      <w:pPr>
        <w:spacing w:after="0"/>
        <w:rPr>
          <w:sz w:val="19"/>
          <w:szCs w:val="19"/>
          <w:lang w:val="sr-Latn-BA"/>
        </w:rPr>
      </w:pPr>
    </w:p>
    <w:p w:rsidR="00B7362A" w:rsidRPr="00CF22FD" w:rsidRDefault="004E4FDF" w:rsidP="00CF22FD">
      <w:pPr>
        <w:spacing w:after="0"/>
        <w:rPr>
          <w:sz w:val="19"/>
          <w:szCs w:val="19"/>
          <w:lang w:val="sr-Latn-BA"/>
        </w:rPr>
      </w:pPr>
      <w:r w:rsidRPr="00CF22FD">
        <w:rPr>
          <w:sz w:val="19"/>
          <w:szCs w:val="19"/>
          <w:lang w:val="sr-Latn-BA"/>
        </w:rPr>
        <w:t>Društvo</w:t>
      </w:r>
      <w:r w:rsidR="00B7362A" w:rsidRPr="00CF22FD">
        <w:rPr>
          <w:sz w:val="19"/>
          <w:szCs w:val="19"/>
          <w:lang w:val="sr-Latn-BA"/>
        </w:rPr>
        <w:t xml:space="preserve"> opštim aktom utvrđuju indirektno otpisivanje plasmana i</w:t>
      </w:r>
      <w:r w:rsidR="00924717">
        <w:rPr>
          <w:sz w:val="19"/>
          <w:szCs w:val="19"/>
          <w:lang w:val="sr-Latn-BA"/>
        </w:rPr>
        <w:t xml:space="preserve"> </w:t>
      </w:r>
      <w:r w:rsidR="00B7362A" w:rsidRPr="00CF22FD">
        <w:rPr>
          <w:sz w:val="19"/>
          <w:szCs w:val="19"/>
          <w:lang w:val="sr-Latn-BA"/>
        </w:rPr>
        <w:t xml:space="preserve">potraživanja.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Zastarela potraživanja direktno se otpisuju na teret rashoda.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Porez na dodatu vrijednost obračunat od strane dobavljača i po osnovu uvoza iskazuje se u iznosu koji nije kompenziran sa obračunatim porezom na dodatu vrijednost kupcima.</w:t>
      </w:r>
    </w:p>
    <w:p w:rsidR="00F7429D" w:rsidRDefault="00F7429D" w:rsidP="00CF22FD">
      <w:pPr>
        <w:spacing w:after="0"/>
        <w:rPr>
          <w:sz w:val="19"/>
          <w:szCs w:val="19"/>
          <w:lang w:val="sr-Latn-BA"/>
        </w:rPr>
      </w:pPr>
    </w:p>
    <w:p w:rsidR="00CF22FD" w:rsidRPr="00CF22FD" w:rsidRDefault="00CF22FD"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ZALIHE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Zalihe materijala, rezervnih delova, inventara sa jednokratnim otpisom i robe procenjuju se po nabavnoj vrijednosti, koja obuhvata fakturnu vrijednost dobavljača i zavisne troškove nabavke.</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Obračun izlaza zaliha materijala i rezervnih delova, sitnog inventara i robe vrši se po prosečnoj nabavnoj c</w:t>
      </w:r>
      <w:r w:rsidR="00817EDE" w:rsidRPr="00CF22FD">
        <w:rPr>
          <w:sz w:val="19"/>
          <w:szCs w:val="19"/>
          <w:lang w:val="sr-Latn-BA"/>
        </w:rPr>
        <w:t>ij</w:t>
      </w:r>
      <w:r w:rsidRPr="00CF22FD">
        <w:rPr>
          <w:sz w:val="19"/>
          <w:szCs w:val="19"/>
          <w:lang w:val="sr-Latn-BA"/>
        </w:rPr>
        <w:t>eni.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Zalihe nedovršene proizvodnje i gotovih proizvoda proc</w:t>
      </w:r>
      <w:r w:rsidR="00817EDE" w:rsidRPr="00CF22FD">
        <w:rPr>
          <w:sz w:val="19"/>
          <w:szCs w:val="19"/>
          <w:lang w:val="sr-Latn-BA"/>
        </w:rPr>
        <w:t>j</w:t>
      </w:r>
      <w:r w:rsidRPr="00CF22FD">
        <w:rPr>
          <w:sz w:val="19"/>
          <w:szCs w:val="19"/>
          <w:lang w:val="sr-Latn-BA"/>
        </w:rPr>
        <w:t>enjuje se po c</w:t>
      </w:r>
      <w:r w:rsidR="00817EDE" w:rsidRPr="00CF22FD">
        <w:rPr>
          <w:sz w:val="19"/>
          <w:szCs w:val="19"/>
          <w:lang w:val="sr-Latn-BA"/>
        </w:rPr>
        <w:t>ij</w:t>
      </w:r>
      <w:r w:rsidRPr="00CF22FD">
        <w:rPr>
          <w:sz w:val="19"/>
          <w:szCs w:val="19"/>
          <w:lang w:val="sr-Latn-BA"/>
        </w:rPr>
        <w:t>eni koštanja ili neto prodajnoj c</w:t>
      </w:r>
      <w:r w:rsidR="00817EDE" w:rsidRPr="00CF22FD">
        <w:rPr>
          <w:sz w:val="19"/>
          <w:szCs w:val="19"/>
          <w:lang w:val="sr-Latn-BA"/>
        </w:rPr>
        <w:t>ij</w:t>
      </w:r>
      <w:r w:rsidRPr="00CF22FD">
        <w:rPr>
          <w:sz w:val="19"/>
          <w:szCs w:val="19"/>
          <w:lang w:val="sr-Latn-BA"/>
        </w:rPr>
        <w:t>eni ako je ona niža. C</w:t>
      </w:r>
      <w:r w:rsidR="00817EDE" w:rsidRPr="00CF22FD">
        <w:rPr>
          <w:sz w:val="19"/>
          <w:szCs w:val="19"/>
          <w:lang w:val="sr-Latn-BA"/>
        </w:rPr>
        <w:t>ij</w:t>
      </w:r>
      <w:r w:rsidRPr="00CF22FD">
        <w:rPr>
          <w:sz w:val="19"/>
          <w:szCs w:val="19"/>
          <w:lang w:val="sr-Latn-BA"/>
        </w:rPr>
        <w:t>ena koštanja obuhvata troškove proizvodnje i srazm</w:t>
      </w:r>
      <w:r w:rsidR="00817EDE" w:rsidRPr="00CF22FD">
        <w:rPr>
          <w:sz w:val="19"/>
          <w:szCs w:val="19"/>
          <w:lang w:val="sr-Latn-BA"/>
        </w:rPr>
        <w:t>j</w:t>
      </w:r>
      <w:r w:rsidRPr="00CF22FD">
        <w:rPr>
          <w:sz w:val="19"/>
          <w:szCs w:val="19"/>
          <w:lang w:val="sr-Latn-BA"/>
        </w:rPr>
        <w:t>erni d</w:t>
      </w:r>
      <w:r w:rsidR="00817EDE" w:rsidRPr="00CF22FD">
        <w:rPr>
          <w:sz w:val="19"/>
          <w:szCs w:val="19"/>
          <w:lang w:val="sr-Latn-BA"/>
        </w:rPr>
        <w:t>i</w:t>
      </w:r>
      <w:r w:rsidRPr="00CF22FD">
        <w:rPr>
          <w:sz w:val="19"/>
          <w:szCs w:val="19"/>
          <w:lang w:val="sr-Latn-BA"/>
        </w:rPr>
        <w:t>o opštih troškova proizvodnje, pri čemu se iz ovih troškova isključuju troškovi neiskorištenja kapaciteta i troškovi uprave i prodaje.</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Neto prodajna </w:t>
      </w:r>
      <w:r w:rsidR="00817EDE" w:rsidRPr="00CF22FD">
        <w:rPr>
          <w:sz w:val="19"/>
          <w:szCs w:val="19"/>
          <w:lang w:val="sr-Latn-BA"/>
        </w:rPr>
        <w:t>cijena</w:t>
      </w:r>
      <w:r w:rsidRPr="00CF22FD">
        <w:rPr>
          <w:sz w:val="19"/>
          <w:szCs w:val="19"/>
          <w:lang w:val="sr-Latn-BA"/>
        </w:rPr>
        <w:t xml:space="preserve"> je prodajna c</w:t>
      </w:r>
      <w:r w:rsidR="00817EDE" w:rsidRPr="00CF22FD">
        <w:rPr>
          <w:sz w:val="19"/>
          <w:szCs w:val="19"/>
          <w:lang w:val="sr-Latn-BA"/>
        </w:rPr>
        <w:t>ij</w:t>
      </w:r>
      <w:r w:rsidRPr="00CF22FD">
        <w:rPr>
          <w:sz w:val="19"/>
          <w:szCs w:val="19"/>
          <w:lang w:val="sr-Latn-BA"/>
        </w:rPr>
        <w:t>ena na dan proc</w:t>
      </w:r>
      <w:r w:rsidR="00817EDE" w:rsidRPr="00CF22FD">
        <w:rPr>
          <w:sz w:val="19"/>
          <w:szCs w:val="19"/>
          <w:lang w:val="sr-Latn-BA"/>
        </w:rPr>
        <w:t>j</w:t>
      </w:r>
      <w:r w:rsidRPr="00CF22FD">
        <w:rPr>
          <w:sz w:val="19"/>
          <w:szCs w:val="19"/>
          <w:lang w:val="sr-Latn-BA"/>
        </w:rPr>
        <w:t>ene umanjena za dažbine, troškove prodaje, kao i za troškove dovršavanja proizvoda u slučaju nedovršene proizvodnje. Neto prodajna c</w:t>
      </w:r>
      <w:r w:rsidR="00817EDE" w:rsidRPr="00CF22FD">
        <w:rPr>
          <w:sz w:val="19"/>
          <w:szCs w:val="19"/>
          <w:lang w:val="sr-Latn-BA"/>
        </w:rPr>
        <w:t>ij</w:t>
      </w:r>
      <w:r w:rsidRPr="00CF22FD">
        <w:rPr>
          <w:sz w:val="19"/>
          <w:szCs w:val="19"/>
          <w:lang w:val="sr-Latn-BA"/>
        </w:rPr>
        <w:t>ena utvrđuje se ovako: vladajuća prodajna c</w:t>
      </w:r>
      <w:r w:rsidR="00817EDE" w:rsidRPr="00CF22FD">
        <w:rPr>
          <w:sz w:val="19"/>
          <w:szCs w:val="19"/>
          <w:lang w:val="sr-Latn-BA"/>
        </w:rPr>
        <w:t>ij</w:t>
      </w:r>
      <w:r w:rsidRPr="00CF22FD">
        <w:rPr>
          <w:sz w:val="19"/>
          <w:szCs w:val="19"/>
          <w:lang w:val="sr-Latn-BA"/>
        </w:rPr>
        <w:t>ena na dan bilansa x (troškovi perioda/prihod od prodaje).</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U slučaju smanjenja upotrebne vrijednosti zaliha za iznos stvarno nastalog i dokumentovanog smanjenja vrijednosti vrši se otpis zaliha na teret rashoda.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CF22FD" w:rsidRDefault="00CF22FD">
      <w:pPr>
        <w:rPr>
          <w:b/>
          <w:bCs/>
          <w:sz w:val="19"/>
          <w:szCs w:val="19"/>
          <w:lang w:val="sr-Latn-BA"/>
        </w:rPr>
      </w:pPr>
      <w:r>
        <w:rPr>
          <w:b/>
          <w:bCs/>
          <w:sz w:val="19"/>
          <w:szCs w:val="19"/>
          <w:lang w:val="sr-Latn-BA"/>
        </w:rPr>
        <w:br w:type="page"/>
      </w: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lastRenderedPageBreak/>
        <w:t>GOTOVINSKI EKVIVALENTI I GOTOVINA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Hartije od vrijednosti koje su neposredno unovčljive i plemeniti metali smatraju se gotovinskim ekvivalentima. Plemeniti metali procenjuju se po vrijednosti izvedenoj iz </w:t>
      </w:r>
      <w:r w:rsidR="00817EDE" w:rsidRPr="00CF22FD">
        <w:rPr>
          <w:sz w:val="19"/>
          <w:szCs w:val="19"/>
          <w:lang w:val="sr-Latn-BA"/>
        </w:rPr>
        <w:t>cijena</w:t>
      </w:r>
      <w:r w:rsidRPr="00CF22FD">
        <w:rPr>
          <w:sz w:val="19"/>
          <w:szCs w:val="19"/>
          <w:lang w:val="sr-Latn-BA"/>
        </w:rPr>
        <w:t xml:space="preserve"> plemenitih metala na svetskom tržištu.</w:t>
      </w:r>
    </w:p>
    <w:p w:rsidR="004F2E88" w:rsidRPr="00CF22FD" w:rsidRDefault="004F2E88"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Depoziti po viđenju i gotovina u stranoj valuti procenjuju se po srednjem kursu strane valute na dan bilansa.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AKTIVNA VREMENSKA RAZGRANIČENJA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obuhvataju unapred plaćene odnosno fakturisane troškove i prihode tekućeg perioda koji nisu mogli biti fakturisani a za koje su nastali troškovi u tekućem periodu.</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KAPITAL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obuhvaća: </w:t>
      </w:r>
    </w:p>
    <w:p w:rsidR="00B7362A" w:rsidRPr="00CF22FD" w:rsidRDefault="00B7362A" w:rsidP="00CF22FD">
      <w:pPr>
        <w:pStyle w:val="ListParagraph"/>
        <w:numPr>
          <w:ilvl w:val="0"/>
          <w:numId w:val="19"/>
        </w:numPr>
        <w:spacing w:after="0"/>
        <w:contextualSpacing w:val="0"/>
        <w:rPr>
          <w:sz w:val="19"/>
          <w:szCs w:val="19"/>
          <w:lang w:val="sr-Latn-BA"/>
        </w:rPr>
      </w:pPr>
      <w:r w:rsidRPr="00CF22FD">
        <w:rPr>
          <w:sz w:val="19"/>
          <w:szCs w:val="19"/>
          <w:lang w:val="sr-Latn-BA"/>
        </w:rPr>
        <w:t xml:space="preserve">osnovni kapital, </w:t>
      </w:r>
    </w:p>
    <w:p w:rsidR="00B7362A" w:rsidRPr="00CF22FD" w:rsidRDefault="00B7362A" w:rsidP="00CF22FD">
      <w:pPr>
        <w:pStyle w:val="ListParagraph"/>
        <w:numPr>
          <w:ilvl w:val="0"/>
          <w:numId w:val="19"/>
        </w:numPr>
        <w:spacing w:after="0"/>
        <w:contextualSpacing w:val="0"/>
        <w:rPr>
          <w:sz w:val="19"/>
          <w:szCs w:val="19"/>
          <w:lang w:val="sr-Latn-BA"/>
        </w:rPr>
      </w:pPr>
      <w:r w:rsidRPr="00CF22FD">
        <w:rPr>
          <w:sz w:val="19"/>
          <w:szCs w:val="19"/>
          <w:lang w:val="sr-Latn-BA"/>
        </w:rPr>
        <w:t xml:space="preserve">rezervni kapital (zakonske i statutarne rezerve), </w:t>
      </w:r>
    </w:p>
    <w:p w:rsidR="00B7362A" w:rsidRPr="00CF22FD" w:rsidRDefault="00B7362A" w:rsidP="00CF22FD">
      <w:pPr>
        <w:pStyle w:val="ListParagraph"/>
        <w:numPr>
          <w:ilvl w:val="0"/>
          <w:numId w:val="19"/>
        </w:numPr>
        <w:spacing w:after="0"/>
        <w:contextualSpacing w:val="0"/>
        <w:rPr>
          <w:sz w:val="19"/>
          <w:szCs w:val="19"/>
          <w:lang w:val="sr-Latn-BA"/>
        </w:rPr>
      </w:pPr>
      <w:r w:rsidRPr="00CF22FD">
        <w:rPr>
          <w:sz w:val="19"/>
          <w:szCs w:val="19"/>
          <w:lang w:val="sr-Latn-BA"/>
        </w:rPr>
        <w:t xml:space="preserve">revalorizacione rezerve i </w:t>
      </w:r>
    </w:p>
    <w:p w:rsidR="00B7362A" w:rsidRPr="00CF22FD" w:rsidRDefault="00B7362A" w:rsidP="00CF22FD">
      <w:pPr>
        <w:pStyle w:val="ListParagraph"/>
        <w:numPr>
          <w:ilvl w:val="0"/>
          <w:numId w:val="19"/>
        </w:numPr>
        <w:spacing w:after="0"/>
        <w:contextualSpacing w:val="0"/>
        <w:rPr>
          <w:sz w:val="19"/>
          <w:szCs w:val="19"/>
          <w:lang w:val="sr-Latn-BA"/>
        </w:rPr>
      </w:pPr>
      <w:r w:rsidRPr="00CF22FD">
        <w:rPr>
          <w:sz w:val="19"/>
          <w:szCs w:val="19"/>
          <w:lang w:val="sr-Latn-BA"/>
        </w:rPr>
        <w:t>neraspoređeni neto dobitak ranijih ili tekuće godine.</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Gubitak iz ranijih godina i tekuće godine je ispravka vrijednosti kapitala.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Kapital i gubitak unose se u bilans u visini nominalne knjigovodstvene vrijednosti.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Revalorizaciona rezerva datog sredstva prenosi se na neraspoređeni dobitak kada se to sredstvo potpuno amortizuje ili proda.</w:t>
      </w:r>
    </w:p>
    <w:p w:rsidR="00B7362A" w:rsidRPr="00CF22FD" w:rsidRDefault="00B7362A" w:rsidP="00CF22FD">
      <w:pPr>
        <w:spacing w:after="0"/>
        <w:rPr>
          <w:sz w:val="19"/>
          <w:szCs w:val="19"/>
          <w:lang w:val="sr-Latn-BA"/>
        </w:rPr>
      </w:pPr>
    </w:p>
    <w:p w:rsidR="002F4D0C" w:rsidRPr="00CF22FD" w:rsidRDefault="002F4D0C" w:rsidP="00CF22FD">
      <w:pPr>
        <w:spacing w:after="0"/>
        <w:rPr>
          <w:sz w:val="19"/>
          <w:szCs w:val="19"/>
          <w:lang w:val="sr-Latn-BA"/>
        </w:rPr>
      </w:pPr>
    </w:p>
    <w:p w:rsidR="00B7362A" w:rsidRPr="00CF22FD" w:rsidRDefault="00B7362A" w:rsidP="00CF22FD">
      <w:pPr>
        <w:spacing w:after="0"/>
        <w:rPr>
          <w:b/>
          <w:sz w:val="19"/>
          <w:szCs w:val="19"/>
          <w:lang w:val="sr-Latn-BA"/>
        </w:rPr>
      </w:pPr>
      <w:r w:rsidRPr="00CF22FD">
        <w:rPr>
          <w:b/>
          <w:sz w:val="19"/>
          <w:szCs w:val="19"/>
          <w:lang w:val="sr-Latn-BA"/>
        </w:rPr>
        <w:t>OBAVEZE</w:t>
      </w:r>
    </w:p>
    <w:p w:rsidR="002F4D0C" w:rsidRPr="00CF22FD" w:rsidRDefault="002F4D0C"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Dugoročne i kratkoročne obaveze proistekle iz finansijskih i poslovnih transakcija procenjuju se po nominalnoj vrijednosti. Obaveze u stranoj valuti procenjuju se po srednjem kursu strane valute na dan bilansa.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Zastarjele obaveze ukidaju se u korist prihoda.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DUGOROČNA REZERVISANJA</w:t>
      </w:r>
      <w:r w:rsidR="00924717">
        <w:rPr>
          <w:b/>
          <w:bCs/>
          <w:sz w:val="19"/>
          <w:szCs w:val="19"/>
          <w:lang w:val="sr-Latn-BA"/>
        </w:rPr>
        <w:t xml:space="preserve">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predstavljaju obaveze za pokriće troškova i rizika proisteklih iz prethodnog poslovanja koji će se pojaviti u narednim godinama a odnose se na:</w:t>
      </w:r>
    </w:p>
    <w:p w:rsidR="00B7362A" w:rsidRPr="00CF22FD" w:rsidRDefault="00B7362A" w:rsidP="00CF22FD">
      <w:pPr>
        <w:spacing w:after="0"/>
        <w:rPr>
          <w:sz w:val="19"/>
          <w:szCs w:val="19"/>
          <w:lang w:val="sr-Latn-BA"/>
        </w:rPr>
      </w:pPr>
    </w:p>
    <w:p w:rsidR="00B7362A" w:rsidRPr="00CF22FD" w:rsidRDefault="00B7362A" w:rsidP="00CF22FD">
      <w:pPr>
        <w:numPr>
          <w:ilvl w:val="0"/>
          <w:numId w:val="16"/>
        </w:numPr>
        <w:spacing w:after="0"/>
        <w:rPr>
          <w:sz w:val="19"/>
          <w:szCs w:val="19"/>
          <w:lang w:val="sr-Latn-BA"/>
        </w:rPr>
      </w:pPr>
      <w:r w:rsidRPr="00CF22FD">
        <w:rPr>
          <w:sz w:val="19"/>
          <w:szCs w:val="19"/>
          <w:lang w:val="sr-Latn-BA"/>
        </w:rPr>
        <w:t>rezervisanja za troškove u garantnom roku po osnovu prodatih učinaka za koje je obračunat prihod u punom iznosu,</w:t>
      </w:r>
    </w:p>
    <w:p w:rsidR="00B7362A" w:rsidRPr="00CF22FD" w:rsidRDefault="00B7362A" w:rsidP="00CF22FD">
      <w:pPr>
        <w:numPr>
          <w:ilvl w:val="0"/>
          <w:numId w:val="16"/>
        </w:numPr>
        <w:spacing w:after="0"/>
        <w:rPr>
          <w:sz w:val="19"/>
          <w:szCs w:val="19"/>
          <w:lang w:val="sr-Latn-BA"/>
        </w:rPr>
      </w:pPr>
      <w:r w:rsidRPr="00CF22FD">
        <w:rPr>
          <w:sz w:val="19"/>
          <w:szCs w:val="19"/>
          <w:lang w:val="sr-Latn-BA"/>
        </w:rPr>
        <w:t>rezervisanja za troškove obnavljanja prirodnih bogatstva,</w:t>
      </w:r>
    </w:p>
    <w:p w:rsidR="00B7362A" w:rsidRPr="00CF22FD" w:rsidRDefault="00B7362A" w:rsidP="00CF22FD">
      <w:pPr>
        <w:numPr>
          <w:ilvl w:val="0"/>
          <w:numId w:val="16"/>
        </w:numPr>
        <w:spacing w:after="0"/>
        <w:rPr>
          <w:sz w:val="19"/>
          <w:szCs w:val="19"/>
          <w:lang w:val="sr-Latn-BA"/>
        </w:rPr>
      </w:pPr>
      <w:r w:rsidRPr="00CF22FD">
        <w:rPr>
          <w:sz w:val="19"/>
          <w:szCs w:val="19"/>
          <w:lang w:val="sr-Latn-BA"/>
        </w:rPr>
        <w:t>rezervisanja za zadržane kaucije i depozite,</w:t>
      </w:r>
    </w:p>
    <w:p w:rsidR="00B7362A" w:rsidRPr="00CF22FD" w:rsidRDefault="00B7362A" w:rsidP="00CF22FD">
      <w:pPr>
        <w:numPr>
          <w:ilvl w:val="0"/>
          <w:numId w:val="16"/>
        </w:numPr>
        <w:spacing w:after="0"/>
        <w:rPr>
          <w:sz w:val="19"/>
          <w:szCs w:val="19"/>
          <w:lang w:val="sr-Latn-BA"/>
        </w:rPr>
      </w:pPr>
      <w:r w:rsidRPr="00CF22FD">
        <w:rPr>
          <w:sz w:val="19"/>
          <w:szCs w:val="19"/>
          <w:lang w:val="sr-Latn-BA"/>
        </w:rPr>
        <w:t>rezervisanja za troškove restrukturiranja,</w:t>
      </w:r>
    </w:p>
    <w:p w:rsidR="00B7362A" w:rsidRPr="00CF22FD" w:rsidRDefault="00B7362A" w:rsidP="00CF22FD">
      <w:pPr>
        <w:numPr>
          <w:ilvl w:val="0"/>
          <w:numId w:val="16"/>
        </w:numPr>
        <w:spacing w:after="0"/>
        <w:rPr>
          <w:sz w:val="19"/>
          <w:szCs w:val="19"/>
          <w:lang w:val="sr-Latn-BA"/>
        </w:rPr>
      </w:pPr>
      <w:r w:rsidRPr="00CF22FD">
        <w:rPr>
          <w:sz w:val="19"/>
          <w:szCs w:val="19"/>
          <w:lang w:val="sr-Latn-BA"/>
        </w:rPr>
        <w:t>rezervisanja za naknade i druge beneficije zaposlenih, i</w:t>
      </w:r>
    </w:p>
    <w:p w:rsidR="00B7362A" w:rsidRPr="00CF22FD" w:rsidRDefault="00B7362A" w:rsidP="00CF22FD">
      <w:pPr>
        <w:numPr>
          <w:ilvl w:val="0"/>
          <w:numId w:val="16"/>
        </w:numPr>
        <w:spacing w:after="0"/>
        <w:rPr>
          <w:sz w:val="19"/>
          <w:szCs w:val="19"/>
          <w:lang w:val="sr-Latn-BA"/>
        </w:rPr>
      </w:pPr>
      <w:r w:rsidRPr="00CF22FD">
        <w:rPr>
          <w:sz w:val="19"/>
          <w:szCs w:val="19"/>
          <w:lang w:val="sr-Latn-BA"/>
        </w:rPr>
        <w:lastRenderedPageBreak/>
        <w:t>ostala rezervisanja za verovatne troškove.</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Ova rezervisanja </w:t>
      </w:r>
      <w:r w:rsidR="004E4FDF" w:rsidRPr="00CF22FD">
        <w:rPr>
          <w:sz w:val="19"/>
          <w:szCs w:val="19"/>
          <w:lang w:val="sr-Latn-BA"/>
        </w:rPr>
        <w:t>Društvo</w:t>
      </w:r>
      <w:r w:rsidRPr="00CF22FD">
        <w:rPr>
          <w:sz w:val="19"/>
          <w:szCs w:val="19"/>
          <w:lang w:val="sr-Latn-BA"/>
        </w:rPr>
        <w:t xml:space="preserve"> procenjuje na bazi stvarno očekivanih troškova, a ukida ih u momentu nastanka troškova koji tereti rezervisanje. Neiskorištena dugoročna rezervisanja za pokriće troškova ukidaju se u korist ostalih prihoda.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Prema MRS 37, rezervisanje se treba utvrditi: </w:t>
      </w:r>
    </w:p>
    <w:p w:rsidR="00B7362A" w:rsidRPr="00CF22FD" w:rsidRDefault="00B7362A" w:rsidP="00CF22FD">
      <w:pPr>
        <w:numPr>
          <w:ilvl w:val="0"/>
          <w:numId w:val="17"/>
        </w:numPr>
        <w:spacing w:after="0"/>
        <w:rPr>
          <w:sz w:val="19"/>
          <w:szCs w:val="19"/>
          <w:lang w:val="sr-Latn-BA"/>
        </w:rPr>
      </w:pPr>
      <w:r w:rsidRPr="00CF22FD">
        <w:rPr>
          <w:sz w:val="19"/>
          <w:szCs w:val="19"/>
          <w:lang w:val="sr-Latn-BA"/>
        </w:rPr>
        <w:t xml:space="preserve">kad pravno lice ima obavezu (pravnu ili stvarnu) kao rezultat prošlog događaja, </w:t>
      </w:r>
    </w:p>
    <w:p w:rsidR="00B7362A" w:rsidRPr="00CF22FD" w:rsidRDefault="00B7362A" w:rsidP="00CF22FD">
      <w:pPr>
        <w:numPr>
          <w:ilvl w:val="0"/>
          <w:numId w:val="17"/>
        </w:numPr>
        <w:spacing w:after="0"/>
        <w:rPr>
          <w:sz w:val="19"/>
          <w:szCs w:val="19"/>
          <w:lang w:val="sr-Latn-BA"/>
        </w:rPr>
      </w:pPr>
      <w:r w:rsidRPr="00CF22FD">
        <w:rPr>
          <w:sz w:val="19"/>
          <w:szCs w:val="19"/>
          <w:lang w:val="sr-Latn-BA"/>
        </w:rPr>
        <w:t xml:space="preserve">kada je vjerovatno da će odliv resursa koji stvaraju ekonomske koristi biti potreban da se izmiri obaveza i </w:t>
      </w:r>
    </w:p>
    <w:p w:rsidR="00B7362A" w:rsidRPr="00CF22FD" w:rsidRDefault="00B7362A" w:rsidP="00CF22FD">
      <w:pPr>
        <w:numPr>
          <w:ilvl w:val="0"/>
          <w:numId w:val="17"/>
        </w:numPr>
        <w:spacing w:after="0"/>
        <w:rPr>
          <w:sz w:val="19"/>
          <w:szCs w:val="19"/>
          <w:lang w:val="sr-Latn-BA"/>
        </w:rPr>
      </w:pPr>
      <w:r w:rsidRPr="00CF22FD">
        <w:rPr>
          <w:sz w:val="19"/>
          <w:szCs w:val="19"/>
          <w:lang w:val="sr-Latn-BA"/>
        </w:rPr>
        <w:t>kada se pouzdano može procijeniti iznos obaveze.</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Prema Kontnom okviru, rezervisanja se u bilansu stanja, kada su utvrđena, objelodanjuju kao izdvojene pozicije u okviru klase 4 </w:t>
      </w:r>
      <w:r w:rsidRPr="00CF22FD">
        <w:rPr>
          <w:sz w:val="19"/>
          <w:szCs w:val="19"/>
          <w:lang w:val="sr-Latn-BA"/>
        </w:rPr>
        <w:sym w:font="Symbol" w:char="F02D"/>
      </w:r>
      <w:r w:rsidRPr="00CF22FD">
        <w:rPr>
          <w:sz w:val="19"/>
          <w:szCs w:val="19"/>
          <w:lang w:val="sr-Latn-BA"/>
        </w:rPr>
        <w:t xml:space="preserve"> Rezervisanja i obaveze a istovremeno obično terete rashode poslovanja u bilansu uspjeha perioda u kom su utvrđena. Ukidanje neiskorištenih rezervisanja vrši se u korist (ostalih) prihoda.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Obaveze se u bilansu stanja priznaju kad je vjerovatno da će odliv resursa koji stvaraju ekonomske koristi proisteći iz podmirenja sadašnjih obaveza i kada se iznos obaveze koja će se podmiriti može pouzdano izmjeriti.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Potencijalne obaveze i potencijalna sredstva su moguće obaveze, odnosno moguća sredstva koji proističu iz prošlih događaja i čije će postojanje biti potvrđeno nastupanjem ili nenastupanjem jednog ili više neizvjesnih budućih događaja koji nisu u potpunosti pod kontrolom pravnog lica. Potencijalne obaveze su i sadašnje obaveze koje proističu iz prošlih događaja ali nisu utvrđene (u bilansu stanja) zbog toga što nije vjerovatno da će odliv resursa koji stvaraju ekonomske koristi biti potreban da se izmire ili se iznos obaveza ne može utvrditi sa zadovoljavajućom pouzdanošću. Potencijalne obaveze i potencijalna sredstava</w:t>
      </w:r>
      <w:r w:rsidR="00924717">
        <w:rPr>
          <w:sz w:val="19"/>
          <w:szCs w:val="19"/>
          <w:lang w:val="sr-Latn-BA"/>
        </w:rPr>
        <w:t xml:space="preserve"> </w:t>
      </w:r>
      <w:r w:rsidRPr="00CF22FD">
        <w:rPr>
          <w:sz w:val="19"/>
          <w:szCs w:val="19"/>
          <w:lang w:val="sr-Latn-BA"/>
        </w:rPr>
        <w:t xml:space="preserve">potrebno je objelodaniti u notama uz finansijske izvještaje. </w:t>
      </w:r>
    </w:p>
    <w:p w:rsidR="004F2E88" w:rsidRPr="00CF22FD" w:rsidRDefault="004F2E88"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sz w:val="19"/>
          <w:szCs w:val="19"/>
          <w:lang w:val="sr-Latn-BA"/>
        </w:rPr>
      </w:pPr>
      <w:r w:rsidRPr="00CF22FD">
        <w:rPr>
          <w:b/>
          <w:bCs/>
          <w:sz w:val="19"/>
          <w:szCs w:val="19"/>
          <w:lang w:val="sr-Latn-BA"/>
        </w:rPr>
        <w:t>PASIVNA VREMENSKA RAZGRANIČENJA</w:t>
      </w:r>
      <w:r w:rsidRPr="00CF22FD">
        <w:rPr>
          <w:sz w:val="19"/>
          <w:szCs w:val="19"/>
          <w:lang w:val="sr-Latn-BA"/>
        </w:rPr>
        <w:t xml:space="preserve"> obuhvataju:</w:t>
      </w:r>
    </w:p>
    <w:p w:rsidR="00B7362A" w:rsidRPr="00CF22FD" w:rsidRDefault="00B7362A" w:rsidP="00CF22FD">
      <w:pPr>
        <w:spacing w:after="0"/>
        <w:rPr>
          <w:sz w:val="19"/>
          <w:szCs w:val="19"/>
          <w:lang w:val="sr-Latn-BA"/>
        </w:rPr>
      </w:pPr>
    </w:p>
    <w:p w:rsidR="00B7362A" w:rsidRPr="00CF22FD" w:rsidRDefault="00B7362A" w:rsidP="00CF22FD">
      <w:pPr>
        <w:numPr>
          <w:ilvl w:val="0"/>
          <w:numId w:val="15"/>
        </w:numPr>
        <w:spacing w:after="0"/>
        <w:rPr>
          <w:sz w:val="19"/>
          <w:szCs w:val="19"/>
          <w:lang w:val="sr-Latn-BA"/>
        </w:rPr>
      </w:pPr>
      <w:r w:rsidRPr="00CF22FD">
        <w:rPr>
          <w:sz w:val="19"/>
          <w:szCs w:val="19"/>
          <w:lang w:val="sr-Latn-BA"/>
        </w:rPr>
        <w:t>unapred obračunati troškovi,</w:t>
      </w:r>
    </w:p>
    <w:p w:rsidR="00B7362A" w:rsidRPr="00CF22FD" w:rsidRDefault="00B7362A" w:rsidP="00CF22FD">
      <w:pPr>
        <w:numPr>
          <w:ilvl w:val="0"/>
          <w:numId w:val="15"/>
        </w:numPr>
        <w:spacing w:after="0"/>
        <w:rPr>
          <w:sz w:val="19"/>
          <w:szCs w:val="19"/>
          <w:lang w:val="sr-Latn-BA"/>
        </w:rPr>
      </w:pPr>
      <w:r w:rsidRPr="00CF22FD">
        <w:rPr>
          <w:sz w:val="19"/>
          <w:szCs w:val="19"/>
          <w:lang w:val="sr-Latn-BA"/>
        </w:rPr>
        <w:t>obračunati prihodi budućeg perioda,</w:t>
      </w:r>
    </w:p>
    <w:p w:rsidR="00B7362A" w:rsidRPr="00CF22FD" w:rsidRDefault="00B7362A" w:rsidP="00CF22FD">
      <w:pPr>
        <w:numPr>
          <w:ilvl w:val="0"/>
          <w:numId w:val="15"/>
        </w:numPr>
        <w:spacing w:after="0"/>
        <w:rPr>
          <w:sz w:val="19"/>
          <w:szCs w:val="19"/>
          <w:lang w:val="sr-Latn-BA"/>
        </w:rPr>
      </w:pPr>
      <w:r w:rsidRPr="00CF22FD">
        <w:rPr>
          <w:sz w:val="19"/>
          <w:szCs w:val="19"/>
          <w:lang w:val="sr-Latn-BA"/>
        </w:rPr>
        <w:t>odloženi prihodi po osnovu efekata ugovorene zaštite od rizika,</w:t>
      </w:r>
    </w:p>
    <w:p w:rsidR="00B7362A" w:rsidRPr="00CF22FD" w:rsidRDefault="00B7362A" w:rsidP="00CF22FD">
      <w:pPr>
        <w:numPr>
          <w:ilvl w:val="0"/>
          <w:numId w:val="15"/>
        </w:numPr>
        <w:spacing w:after="0"/>
        <w:rPr>
          <w:sz w:val="19"/>
          <w:szCs w:val="19"/>
          <w:lang w:val="sr-Latn-BA"/>
        </w:rPr>
      </w:pPr>
      <w:r w:rsidRPr="00CF22FD">
        <w:rPr>
          <w:sz w:val="19"/>
          <w:szCs w:val="19"/>
          <w:lang w:val="sr-Latn-BA"/>
        </w:rPr>
        <w:t>razgraničeni troškovi nabavke,</w:t>
      </w:r>
    </w:p>
    <w:p w:rsidR="00B7362A" w:rsidRPr="00CF22FD" w:rsidRDefault="00B7362A" w:rsidP="00CF22FD">
      <w:pPr>
        <w:numPr>
          <w:ilvl w:val="0"/>
          <w:numId w:val="15"/>
        </w:numPr>
        <w:spacing w:after="0"/>
        <w:rPr>
          <w:sz w:val="19"/>
          <w:szCs w:val="19"/>
          <w:lang w:val="sr-Latn-BA"/>
        </w:rPr>
      </w:pPr>
      <w:r w:rsidRPr="00CF22FD">
        <w:rPr>
          <w:sz w:val="19"/>
          <w:szCs w:val="19"/>
          <w:lang w:val="sr-Latn-BA"/>
        </w:rPr>
        <w:t>donacije.</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Donacije primljene za povećanje prihoda unose se u prihode do visine rashoda, a donacije primljene za nabavljene stvari unose se u prihode u visini troškova nastalih po osnovu utroška ili amortizacije primljenih stvari iz donacija.</w:t>
      </w:r>
    </w:p>
    <w:p w:rsidR="00B7362A" w:rsidRPr="00CF22FD" w:rsidRDefault="00B7362A" w:rsidP="00CF22FD">
      <w:pPr>
        <w:spacing w:after="0"/>
        <w:rPr>
          <w:sz w:val="19"/>
          <w:szCs w:val="19"/>
          <w:lang w:val="sr-Latn-BA"/>
        </w:rPr>
      </w:pPr>
    </w:p>
    <w:p w:rsidR="004F2E88" w:rsidRPr="00CF22FD" w:rsidRDefault="004F2E88"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 xml:space="preserve">OBAVEZE ZA POREZ NA DODATU VRIJEDNOST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Iskazuje se obračunat porez na dodatu vrijednost kupcima u iznosu koji nije kompenziran sa obračunatim porezom na dodatu vrijednost od strane dobavljača i po osnovu uvoza i nije plaćen fiskusu.</w:t>
      </w:r>
    </w:p>
    <w:p w:rsidR="00B7362A" w:rsidRPr="00CF22FD" w:rsidRDefault="00B7362A" w:rsidP="00CF22FD">
      <w:pPr>
        <w:spacing w:after="0"/>
        <w:rPr>
          <w:sz w:val="19"/>
          <w:szCs w:val="19"/>
          <w:lang w:val="sr-Latn-BA"/>
        </w:rPr>
      </w:pPr>
    </w:p>
    <w:p w:rsidR="004F2E88" w:rsidRPr="00CF22FD" w:rsidRDefault="004F2E88" w:rsidP="00CF22FD">
      <w:pPr>
        <w:spacing w:after="0"/>
        <w:rPr>
          <w:sz w:val="19"/>
          <w:szCs w:val="19"/>
          <w:lang w:val="sr-Latn-BA"/>
        </w:rPr>
      </w:pPr>
    </w:p>
    <w:p w:rsidR="00CF22FD" w:rsidRDefault="00CF22FD">
      <w:pPr>
        <w:rPr>
          <w:b/>
          <w:bCs/>
          <w:sz w:val="19"/>
          <w:szCs w:val="19"/>
          <w:lang w:val="sr-Latn-BA"/>
        </w:rPr>
      </w:pPr>
      <w:r>
        <w:rPr>
          <w:b/>
          <w:bCs/>
          <w:sz w:val="19"/>
          <w:szCs w:val="19"/>
          <w:lang w:val="sr-Latn-BA"/>
        </w:rPr>
        <w:br w:type="page"/>
      </w: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lastRenderedPageBreak/>
        <w:t>POSLOVNI PRIHODI I RASHODI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Prihodi se u bilansu uspjeha priznaju kada su zarađeni, odnosno kada je povećanje ekonomskih koristi povezano s povećanjem sredstava ili smanjenjem obaveza koje se može pouzdano izmjeriti. U skladu s tim, prihodi, poput prihoda od članarina, prihoda povezanih sa održavanjem seminara kontinuirane edukacije i sl. priznati su na gotovinskoj osnovi, odnosno uporedo s povećanjem gotovine, jer u slučaju prihoda od članarina ne postoji zadovoljavajući stepen izvjesnosti da će se povećanje ekonomskih koristi po osnovu nenaplaćenih članarina desiti u budućem periodu. </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Prihodi povezani sa održavanjem seminara priznaju se na gotovinskoj osnovi jer postoji potpuno razumno uvjerenje da se povećanje ekonomskih koristi u vezi s tim aktivnostima ne može desiti u periodu nakon održavanja seminara.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Ostali prihodi priznaju se na gotovinskoj ili obračunskoj osnovi, u zavisnosti od toga da li se vrijeme sticanja razumnog uvjerenja o povećanju budućih ekonomskih koristi povezanih s povećanjem sredstava ili smanjenjem obaveza podudara ili ne s vremenom priliva gotovine povezanim s tim prihodima.</w:t>
      </w:r>
    </w:p>
    <w:p w:rsidR="00B7362A" w:rsidRPr="00CF22FD" w:rsidRDefault="00B7362A" w:rsidP="00CF22FD">
      <w:pPr>
        <w:spacing w:after="0"/>
        <w:rPr>
          <w:b/>
          <w:bCs/>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Poslovne prihode čine:</w:t>
      </w:r>
    </w:p>
    <w:p w:rsidR="00B7362A" w:rsidRPr="00CF22FD" w:rsidRDefault="00B7362A" w:rsidP="00CF22FD">
      <w:pPr>
        <w:numPr>
          <w:ilvl w:val="0"/>
          <w:numId w:val="18"/>
        </w:numPr>
        <w:spacing w:after="0"/>
        <w:rPr>
          <w:sz w:val="19"/>
          <w:szCs w:val="19"/>
          <w:lang w:val="sr-Latn-BA"/>
        </w:rPr>
      </w:pPr>
      <w:r w:rsidRPr="00CF22FD">
        <w:rPr>
          <w:sz w:val="19"/>
          <w:szCs w:val="19"/>
          <w:lang w:val="sr-Latn-BA"/>
        </w:rPr>
        <w:t>prihodi od prodaje robe i učinaka umanjene za poreske dažbine i date popuste nezavisno od momenta naplate,</w:t>
      </w:r>
    </w:p>
    <w:p w:rsidR="00B7362A" w:rsidRPr="00CF22FD" w:rsidRDefault="00B7362A" w:rsidP="00CF22FD">
      <w:pPr>
        <w:numPr>
          <w:ilvl w:val="0"/>
          <w:numId w:val="18"/>
        </w:numPr>
        <w:spacing w:after="0"/>
        <w:rPr>
          <w:sz w:val="19"/>
          <w:szCs w:val="19"/>
          <w:lang w:val="sr-Latn-BA"/>
        </w:rPr>
      </w:pPr>
      <w:r w:rsidRPr="00CF22FD">
        <w:rPr>
          <w:sz w:val="19"/>
          <w:szCs w:val="19"/>
          <w:lang w:val="sr-Latn-BA"/>
        </w:rPr>
        <w:t xml:space="preserve">prihodi od aktiviranja i potrošnje učinaka priznaju po </w:t>
      </w:r>
      <w:r w:rsidR="00817EDE" w:rsidRPr="00CF22FD">
        <w:rPr>
          <w:sz w:val="19"/>
          <w:szCs w:val="19"/>
          <w:lang w:val="sr-Latn-BA"/>
        </w:rPr>
        <w:t>cijeni</w:t>
      </w:r>
      <w:r w:rsidRPr="00CF22FD">
        <w:rPr>
          <w:sz w:val="19"/>
          <w:szCs w:val="19"/>
          <w:lang w:val="sr-Latn-BA"/>
        </w:rPr>
        <w:t xml:space="preserve"> koštanja,</w:t>
      </w:r>
    </w:p>
    <w:p w:rsidR="00B7362A" w:rsidRPr="00CF22FD" w:rsidRDefault="00B7362A" w:rsidP="00CF22FD">
      <w:pPr>
        <w:numPr>
          <w:ilvl w:val="0"/>
          <w:numId w:val="18"/>
        </w:numPr>
        <w:spacing w:after="0"/>
        <w:rPr>
          <w:sz w:val="19"/>
          <w:szCs w:val="19"/>
          <w:lang w:val="sr-Latn-BA"/>
        </w:rPr>
      </w:pPr>
      <w:r w:rsidRPr="00CF22FD">
        <w:rPr>
          <w:sz w:val="19"/>
          <w:szCs w:val="19"/>
          <w:lang w:val="sr-Latn-BA"/>
        </w:rPr>
        <w:t xml:space="preserve">prihodi od aktiviranja i potrošnje robe priznaju se po nabavnoj </w:t>
      </w:r>
      <w:r w:rsidR="00817EDE" w:rsidRPr="00CF22FD">
        <w:rPr>
          <w:sz w:val="19"/>
          <w:szCs w:val="19"/>
          <w:lang w:val="sr-Latn-BA"/>
        </w:rPr>
        <w:t>cijeni</w:t>
      </w:r>
      <w:r w:rsidRPr="00CF22FD">
        <w:rPr>
          <w:sz w:val="19"/>
          <w:szCs w:val="19"/>
          <w:lang w:val="sr-Latn-BA"/>
        </w:rPr>
        <w:t xml:space="preserve">, a prihodi od prirasta osnovnog stada priznaju se po tržišnoj </w:t>
      </w:r>
      <w:r w:rsidR="00817EDE" w:rsidRPr="00CF22FD">
        <w:rPr>
          <w:sz w:val="19"/>
          <w:szCs w:val="19"/>
          <w:lang w:val="sr-Latn-BA"/>
        </w:rPr>
        <w:t>cijeni</w:t>
      </w:r>
      <w:r w:rsidRPr="00CF22FD">
        <w:rPr>
          <w:sz w:val="19"/>
          <w:szCs w:val="19"/>
          <w:lang w:val="sr-Latn-BA"/>
        </w:rPr>
        <w:t>,</w:t>
      </w:r>
    </w:p>
    <w:p w:rsidR="00B7362A" w:rsidRPr="00CF22FD" w:rsidRDefault="00B7362A" w:rsidP="00CF22FD">
      <w:pPr>
        <w:numPr>
          <w:ilvl w:val="0"/>
          <w:numId w:val="18"/>
        </w:numPr>
        <w:spacing w:after="0"/>
        <w:rPr>
          <w:sz w:val="19"/>
          <w:szCs w:val="19"/>
          <w:lang w:val="sr-Latn-BA"/>
        </w:rPr>
      </w:pPr>
      <w:r w:rsidRPr="00CF22FD">
        <w:rPr>
          <w:sz w:val="19"/>
          <w:szCs w:val="19"/>
          <w:lang w:val="sr-Latn-BA"/>
        </w:rPr>
        <w:t>promjena vrijednosti biološke imovine,</w:t>
      </w:r>
    </w:p>
    <w:p w:rsidR="00B7362A" w:rsidRPr="00CF22FD" w:rsidRDefault="00B7362A" w:rsidP="00CF22FD">
      <w:pPr>
        <w:numPr>
          <w:ilvl w:val="0"/>
          <w:numId w:val="18"/>
        </w:numPr>
        <w:spacing w:after="0"/>
        <w:rPr>
          <w:sz w:val="19"/>
          <w:szCs w:val="19"/>
          <w:lang w:val="sr-Latn-BA"/>
        </w:rPr>
      </w:pPr>
      <w:r w:rsidRPr="00CF22FD">
        <w:rPr>
          <w:sz w:val="19"/>
          <w:szCs w:val="19"/>
          <w:lang w:val="sr-Latn-BA"/>
        </w:rPr>
        <w:t>prihodi od premija, subvencija, dotacija, regresa, donacija, prihodi iz budžeta i drugih namenjenih izvora i drugi slični prihodi,</w:t>
      </w:r>
    </w:p>
    <w:p w:rsidR="00B7362A" w:rsidRPr="00CF22FD" w:rsidRDefault="00B7362A" w:rsidP="00CF22FD">
      <w:pPr>
        <w:numPr>
          <w:ilvl w:val="0"/>
          <w:numId w:val="18"/>
        </w:numPr>
        <w:spacing w:after="0"/>
        <w:rPr>
          <w:sz w:val="19"/>
          <w:szCs w:val="19"/>
          <w:lang w:val="sr-Latn-BA"/>
        </w:rPr>
      </w:pPr>
      <w:r w:rsidRPr="00CF22FD">
        <w:rPr>
          <w:sz w:val="19"/>
          <w:szCs w:val="19"/>
          <w:lang w:val="sr-Latn-BA"/>
        </w:rPr>
        <w:t>prihodi od zakupnina, članarina, tantijema, ukidanja rezervisanja i ostali poslovni prihodi.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Poslovni prihodi koriguju se na više za povećanje vrijednosti zaliha učinaka i na niže za smanjenje vrijednosti zaliha učinaka.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Poslovne rashode čine: nabavna vrijednost prodate robe, troškovi materijala za izradu, troškovi ostalog materijala, troškovi goriva i energije, troškovi bruto zarada i naknada zarada, troškovi proizvodnih usluga, troškovi amortizacije i rezervisanja, nematerijalni troškovi, porezi i</w:t>
      </w:r>
      <w:r w:rsidR="00924717">
        <w:rPr>
          <w:sz w:val="19"/>
          <w:szCs w:val="19"/>
          <w:lang w:val="sr-Latn-BA"/>
        </w:rPr>
        <w:t xml:space="preserve"> </w:t>
      </w:r>
      <w:r w:rsidRPr="00CF22FD">
        <w:rPr>
          <w:sz w:val="19"/>
          <w:szCs w:val="19"/>
          <w:lang w:val="sr-Latn-BA"/>
        </w:rPr>
        <w:t>doprinosi nezavisni od rezultata. Svi rashodi se priznaju nezavisno od plaćanja.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Rashodi se priznaju u izvještaju o dobiti kada smanjenje budućih ekonomskih koristi proizilazi iz smanjenja sredstava ili povećanja obaveza koja se mogu pouzdano izmjeriti, odnosno na osnovu direktne povezanosti između nastalih troškova i prihoda koji su povezani s tim troškovima.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Rashodi se u izvještaju o dobiti priznaju odmah kad nastanu, uvijek kad neki izdatak ne polučuje bilo kakve buduće ekonomske koristi.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U računovodstvu SRR RS se rijetko pojavljuju prilivi ili odlivi gotovine koji se odnose na prihode ili rashode koje treba priznavati tokom nekoliko obračunskih perioda. Ukoliko bi takve situacije ipak bile prepoznate, bilo koji iznos date ili primljene gotovine koji se odnosi na buduće prihode ili rashode objelodanio bi se u aktivi, odnosno pasivi bilansa stanja u okviru aktivnih, odnosno pasivnih vremenskih razgraničenja.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Troškovi amortizacije materijalne imovine priznaju se u izvještaju o dobiti na osnovu sistemske i racionalne alokacije, odnosno tokom korisnog vijeka svake pojedinačne imovinske pozicije.</w:t>
      </w:r>
    </w:p>
    <w:p w:rsidR="00B7362A" w:rsidRPr="00CF22FD" w:rsidRDefault="00B7362A" w:rsidP="00CF22FD">
      <w:pPr>
        <w:spacing w:after="0"/>
        <w:rPr>
          <w:b/>
          <w:bCs/>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lastRenderedPageBreak/>
        <w:t>FINANSIJSKI PRIHODI I RASHODI</w:t>
      </w:r>
    </w:p>
    <w:p w:rsidR="00B7362A" w:rsidRPr="00CF22FD" w:rsidRDefault="00B7362A" w:rsidP="00CF22FD">
      <w:pPr>
        <w:spacing w:after="0"/>
        <w:rPr>
          <w:b/>
          <w:bCs/>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Finansijske prihode čine: prihodi od kamata, od učešća u dobitku povezanih pravnih lica, od pozitivnih kursnih razlika, dobici po osnovu promjene fer vrijednosti ulaganja u nekretnine i ostali finansijskih prihodi.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Finansijske rashode čine: rashodi po osnovu kamata, negativnih kursnih razlika, otpisi dugoročnih finansijskih plasmana, gubici po osnovu promjene fer vrijednosti ulaganja u nekretnine, rashodi iz odnosa sa povezanim pravnim licima i ostali finansijski rashodi.</w:t>
      </w:r>
    </w:p>
    <w:p w:rsidR="00B7362A" w:rsidRPr="00CF22FD" w:rsidRDefault="00B7362A" w:rsidP="00CF22FD">
      <w:pPr>
        <w:spacing w:after="0"/>
        <w:rPr>
          <w:sz w:val="19"/>
          <w:szCs w:val="19"/>
          <w:lang w:val="sr-Latn-BA"/>
        </w:rPr>
      </w:pPr>
    </w:p>
    <w:p w:rsidR="004F2E88" w:rsidRPr="00CF22FD" w:rsidRDefault="004F2E88"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OSTALI PRIHODI I RASHODI</w:t>
      </w:r>
    </w:p>
    <w:p w:rsidR="00B7362A" w:rsidRPr="00CF22FD" w:rsidRDefault="00B7362A" w:rsidP="00CF22FD">
      <w:pPr>
        <w:spacing w:after="0"/>
        <w:rPr>
          <w:b/>
          <w:bCs/>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Ostale prihode čine: dobici od prodaje nematerijalnih ulaganja, nekretnina, postrojenja, opreme, bioloških sredstava, učešća u kapitalu, dugoročnih hartija od vrijednosti i materijala, dobici po osnovu ulaganja u nekretnine, viškovi osim viškova zaliha učinaka, prihodi od smanjenja obaveza, dobici po osnovu prodaje stalnih sredstava klasifikovanih kao stalna sredstva namijenjena otuđenju, naplaćena otpisana potraživanja i ostali nepomenuti prihodi..</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Ostale rashode čine: gubici po osnovu rashodovanja, otpisa i prodaje nematerijalnih ulaganja, nekretnina, postrojenja, opreme, bioloških sredstava, gubici po osnovu prodaje učešća u kapitalu, dugoročnih hartija od vrijednosti i materijala, manjkovi osim manjkova zaliha učinaka, otpisi obrtnih sredstava, gubici po osnovu prodaje stalnih sredstava klasifikovanih kao stalna sredstva namijenjena otuđenju, gubici po osnovu ulaganja u nekretnine i ostali nepomenuti rashodi.</w:t>
      </w:r>
    </w:p>
    <w:p w:rsidR="00B7362A" w:rsidRPr="00CF22FD" w:rsidRDefault="00B7362A" w:rsidP="00CF22FD">
      <w:pPr>
        <w:spacing w:after="0"/>
        <w:rPr>
          <w:b/>
          <w:bCs/>
          <w:sz w:val="19"/>
          <w:szCs w:val="19"/>
          <w:lang w:val="sr-Latn-BA"/>
        </w:rPr>
      </w:pPr>
    </w:p>
    <w:p w:rsidR="00B7362A" w:rsidRPr="00CF22FD" w:rsidRDefault="00B7362A" w:rsidP="00CF22FD">
      <w:pPr>
        <w:spacing w:after="0"/>
        <w:rPr>
          <w:b/>
          <w:bCs/>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PRIHODI I RASHODI OD USKLAĐIVANJA VRIJEDNOSTI STALNE IMOVINE</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Prihode od usklađivanja vrijednosti stalne imovine čine: prihodi od revalorizacije materijalnih i nematerijalnih sredstava i prihodi po osnovu poništavanja imparitetnih gubitaka.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Rashode po osnovu usklađivanja vrijednosti stalne imovine čine: rashodi po osnovu revalorizacije materijalnih i nematerijalnih sredstava i rashodi po osnovu priznavanja imparitetnih gubitaka.</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p>
    <w:p w:rsidR="00B7362A" w:rsidRPr="00CF22FD" w:rsidRDefault="00B7362A" w:rsidP="00CF22FD">
      <w:pPr>
        <w:pStyle w:val="ListParagraph"/>
        <w:spacing w:after="0"/>
        <w:ind w:left="0"/>
        <w:contextualSpacing w:val="0"/>
        <w:rPr>
          <w:b/>
          <w:bCs/>
          <w:sz w:val="19"/>
          <w:szCs w:val="19"/>
          <w:lang w:val="sr-Latn-BA"/>
        </w:rPr>
      </w:pPr>
      <w:r w:rsidRPr="00CF22FD">
        <w:rPr>
          <w:b/>
          <w:bCs/>
          <w:sz w:val="19"/>
          <w:szCs w:val="19"/>
          <w:lang w:val="sr-Latn-BA"/>
        </w:rPr>
        <w:t>POREZ NA DOBIT</w:t>
      </w:r>
    </w:p>
    <w:p w:rsidR="00B7362A" w:rsidRPr="00CF22FD" w:rsidRDefault="00B7362A" w:rsidP="00CF22FD">
      <w:pPr>
        <w:spacing w:after="0"/>
        <w:rPr>
          <w:b/>
          <w:bCs/>
          <w:sz w:val="19"/>
          <w:szCs w:val="19"/>
          <w:lang w:val="sr-Latn-BA"/>
        </w:rPr>
      </w:pPr>
    </w:p>
    <w:p w:rsidR="00B7362A" w:rsidRPr="00CF22FD" w:rsidRDefault="00B7362A" w:rsidP="00CF22FD">
      <w:pPr>
        <w:spacing w:after="0"/>
        <w:rPr>
          <w:sz w:val="19"/>
          <w:szCs w:val="19"/>
          <w:lang w:val="sr-Latn-BA"/>
        </w:rPr>
      </w:pPr>
      <w:r w:rsidRPr="00CF22FD">
        <w:rPr>
          <w:i/>
          <w:iCs/>
          <w:sz w:val="19"/>
          <w:szCs w:val="19"/>
          <w:lang w:val="sr-Latn-BA"/>
        </w:rPr>
        <w:t>Porez na dobit obračunava se u skladu sa Zakonom o porezu na dobit“ (Službeni glasnik RS</w:t>
      </w:r>
      <w:r w:rsidR="00924717">
        <w:rPr>
          <w:i/>
          <w:iCs/>
          <w:sz w:val="19"/>
          <w:szCs w:val="19"/>
          <w:lang w:val="sr-Latn-BA"/>
        </w:rPr>
        <w:t xml:space="preserve"> </w:t>
      </w:r>
      <w:r w:rsidRPr="00CF22FD">
        <w:rPr>
          <w:i/>
          <w:iCs/>
          <w:sz w:val="19"/>
          <w:szCs w:val="19"/>
          <w:lang w:val="sr-Latn-BA"/>
        </w:rPr>
        <w:t>br. 91/06 od</w:t>
      </w:r>
      <w:r w:rsidR="00924717">
        <w:rPr>
          <w:i/>
          <w:iCs/>
          <w:sz w:val="19"/>
          <w:szCs w:val="19"/>
          <w:lang w:val="sr-Latn-BA"/>
        </w:rPr>
        <w:t xml:space="preserve"> </w:t>
      </w:r>
      <w:r w:rsidRPr="00CF22FD">
        <w:rPr>
          <w:i/>
          <w:iCs/>
          <w:sz w:val="19"/>
          <w:szCs w:val="19"/>
          <w:lang w:val="sr-Latn-BA"/>
        </w:rPr>
        <w:t>20.09.2006. god.)</w:t>
      </w:r>
      <w:r w:rsidR="00924717">
        <w:rPr>
          <w:i/>
          <w:iCs/>
          <w:sz w:val="19"/>
          <w:szCs w:val="19"/>
          <w:lang w:val="sr-Latn-BA"/>
        </w:rPr>
        <w:t xml:space="preserve"> </w:t>
      </w:r>
      <w:r w:rsidRPr="00CF22FD">
        <w:rPr>
          <w:i/>
          <w:iCs/>
          <w:sz w:val="19"/>
          <w:szCs w:val="19"/>
          <w:lang w:val="sr-Latn-BA"/>
        </w:rPr>
        <w:t>a koji se primjenjuje</w:t>
      </w:r>
      <w:r w:rsidR="00924717">
        <w:rPr>
          <w:i/>
          <w:iCs/>
          <w:sz w:val="19"/>
          <w:szCs w:val="19"/>
          <w:lang w:val="sr-Latn-BA"/>
        </w:rPr>
        <w:t xml:space="preserve"> </w:t>
      </w:r>
      <w:r w:rsidRPr="00CF22FD">
        <w:rPr>
          <w:i/>
          <w:iCs/>
          <w:sz w:val="19"/>
          <w:szCs w:val="19"/>
          <w:lang w:val="sr-Latn-BA"/>
        </w:rPr>
        <w:t>od 01.01.2007. godine</w:t>
      </w:r>
      <w:r w:rsidRPr="00CF22FD">
        <w:rPr>
          <w:sz w:val="19"/>
          <w:szCs w:val="19"/>
          <w:lang w:val="sr-Latn-BA"/>
        </w:rPr>
        <w:t xml:space="preserve">, </w:t>
      </w:r>
      <w:r w:rsidR="004E4FDF" w:rsidRPr="00CF22FD">
        <w:rPr>
          <w:sz w:val="19"/>
          <w:szCs w:val="19"/>
          <w:lang w:val="sr-Latn-BA"/>
        </w:rPr>
        <w:t>Društvo</w:t>
      </w:r>
      <w:r w:rsidRPr="00CF22FD">
        <w:rPr>
          <w:sz w:val="19"/>
          <w:szCs w:val="19"/>
          <w:lang w:val="sr-Latn-BA"/>
        </w:rPr>
        <w:t xml:space="preserve"> ima obavezu plaćanja poreza na dobit.</w:t>
      </w:r>
    </w:p>
    <w:p w:rsidR="00B7362A" w:rsidRPr="00CF22FD" w:rsidRDefault="00B7362A" w:rsidP="00CF22FD">
      <w:pPr>
        <w:spacing w:after="0"/>
        <w:rPr>
          <w:sz w:val="19"/>
          <w:szCs w:val="19"/>
          <w:lang w:val="sr-Latn-BA"/>
        </w:rPr>
      </w:pPr>
    </w:p>
    <w:p w:rsidR="00B7362A" w:rsidRPr="00CF22FD" w:rsidRDefault="00B7362A" w:rsidP="00CF22FD">
      <w:pPr>
        <w:spacing w:after="0"/>
        <w:rPr>
          <w:sz w:val="19"/>
          <w:szCs w:val="19"/>
          <w:lang w:val="sr-Latn-BA"/>
        </w:rPr>
      </w:pPr>
      <w:r w:rsidRPr="00CF22FD">
        <w:rPr>
          <w:sz w:val="19"/>
          <w:szCs w:val="19"/>
          <w:lang w:val="sr-Latn-BA"/>
        </w:rPr>
        <w:t xml:space="preserve">Pojava odloženih poreskih sredstava ili odloženih poreskih obaveza po propisima važećim u 2007. godini moguća je u računovodstvu SRR RS, što označava pristup računovodstvenom tretmanu poreza na dobit koji je u skladu sa MRS 12 </w:t>
      </w:r>
      <w:r w:rsidRPr="00CF22FD">
        <w:rPr>
          <w:sz w:val="19"/>
          <w:szCs w:val="19"/>
          <w:lang w:val="sr-Latn-BA"/>
        </w:rPr>
        <w:sym w:font="Symbol" w:char="F02D"/>
      </w:r>
      <w:r w:rsidRPr="00CF22FD">
        <w:rPr>
          <w:sz w:val="19"/>
          <w:szCs w:val="19"/>
          <w:lang w:val="sr-Latn-BA"/>
        </w:rPr>
        <w:t xml:space="preserve"> Porez na dobit.</w:t>
      </w:r>
    </w:p>
    <w:p w:rsidR="00B7362A" w:rsidRPr="00CF22FD" w:rsidRDefault="00B7362A" w:rsidP="00CF22FD">
      <w:pPr>
        <w:spacing w:after="0"/>
        <w:rPr>
          <w:sz w:val="19"/>
          <w:szCs w:val="19"/>
          <w:lang w:val="sr-Latn-BA"/>
        </w:rPr>
      </w:pPr>
    </w:p>
    <w:p w:rsidR="00B07BBD" w:rsidRDefault="00B07BBD" w:rsidP="00BC0F71">
      <w:pPr>
        <w:pStyle w:val="ListParagraph"/>
        <w:spacing w:after="2"/>
        <w:ind w:left="0"/>
        <w:contextualSpacing w:val="0"/>
        <w:rPr>
          <w:sz w:val="19"/>
          <w:szCs w:val="19"/>
          <w:lang w:val="hr-BA"/>
        </w:rPr>
      </w:pPr>
    </w:p>
    <w:p w:rsidR="00B07BBD" w:rsidRDefault="00B07BBD" w:rsidP="00BC0F71">
      <w:pPr>
        <w:pStyle w:val="ListParagraph"/>
        <w:spacing w:after="2"/>
        <w:ind w:left="0"/>
        <w:contextualSpacing w:val="0"/>
        <w:rPr>
          <w:sz w:val="19"/>
          <w:szCs w:val="19"/>
          <w:lang w:val="hr-BA"/>
        </w:rPr>
      </w:pPr>
    </w:p>
    <w:p w:rsidR="00B07BBD" w:rsidRDefault="00B07BBD" w:rsidP="00BC0F71">
      <w:pPr>
        <w:pStyle w:val="ListParagraph"/>
        <w:spacing w:after="2"/>
        <w:ind w:left="0"/>
        <w:contextualSpacing w:val="0"/>
        <w:rPr>
          <w:sz w:val="19"/>
          <w:szCs w:val="19"/>
          <w:lang w:val="hr-BA"/>
        </w:rPr>
      </w:pPr>
    </w:p>
    <w:p w:rsidR="00C12D4B" w:rsidRPr="00592C95" w:rsidRDefault="00C12D4B" w:rsidP="00592C95">
      <w:pPr>
        <w:rPr>
          <w:b/>
          <w:sz w:val="19"/>
          <w:szCs w:val="19"/>
          <w:lang w:bidi="hr-HR"/>
        </w:rPr>
      </w:pPr>
    </w:p>
    <w:p w:rsidR="00592C95" w:rsidRDefault="00592C95">
      <w:pPr>
        <w:rPr>
          <w:b/>
          <w:sz w:val="19"/>
          <w:szCs w:val="19"/>
          <w:lang w:bidi="hr-HR"/>
        </w:rPr>
      </w:pPr>
      <w:r>
        <w:rPr>
          <w:b/>
          <w:sz w:val="19"/>
          <w:szCs w:val="19"/>
          <w:lang w:bidi="hr-HR"/>
        </w:rPr>
        <w:br w:type="page"/>
      </w:r>
    </w:p>
    <w:p w:rsidR="00C12D4B" w:rsidRDefault="00C12D4B" w:rsidP="00C12D4B">
      <w:pPr>
        <w:pStyle w:val="ListParagraph"/>
        <w:numPr>
          <w:ilvl w:val="0"/>
          <w:numId w:val="1"/>
        </w:numPr>
        <w:spacing w:after="0"/>
        <w:contextualSpacing w:val="0"/>
        <w:rPr>
          <w:b/>
          <w:sz w:val="19"/>
          <w:szCs w:val="19"/>
          <w:lang w:bidi="hr-HR"/>
        </w:rPr>
      </w:pPr>
      <w:r>
        <w:rPr>
          <w:b/>
          <w:sz w:val="19"/>
          <w:szCs w:val="19"/>
          <w:lang w:bidi="hr-HR"/>
        </w:rPr>
        <w:lastRenderedPageBreak/>
        <w:t>OSTALI POSLOVNI PRIHODI</w:t>
      </w:r>
    </w:p>
    <w:p w:rsidR="00C12D4B" w:rsidRDefault="00C12D4B" w:rsidP="00C12D4B">
      <w:pPr>
        <w:spacing w:after="0"/>
        <w:rPr>
          <w:sz w:val="19"/>
          <w:szCs w:val="19"/>
          <w:lang w:val="hr-BA"/>
        </w:rPr>
      </w:pPr>
    </w:p>
    <w:tbl>
      <w:tblPr>
        <w:tblW w:w="9176" w:type="dxa"/>
        <w:tblInd w:w="108" w:type="dxa"/>
        <w:tblLook w:val="04A0"/>
      </w:tblPr>
      <w:tblGrid>
        <w:gridCol w:w="6168"/>
        <w:gridCol w:w="1356"/>
        <w:gridCol w:w="296"/>
        <w:gridCol w:w="1356"/>
      </w:tblGrid>
      <w:tr w:rsidR="00347816" w:rsidRPr="00347816" w:rsidTr="00347816">
        <w:trPr>
          <w:trHeight w:val="300"/>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b/>
                <w:bCs/>
                <w:color w:val="000000"/>
                <w:sz w:val="19"/>
                <w:szCs w:val="19"/>
                <w:lang w:eastAsia="hr-HR"/>
              </w:rPr>
            </w:pPr>
            <w:r w:rsidRPr="00347816">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b/>
                <w:bCs/>
                <w:color w:val="000000"/>
                <w:sz w:val="19"/>
                <w:szCs w:val="19"/>
                <w:lang w:eastAsia="hr-HR"/>
              </w:rPr>
            </w:pPr>
            <w:r w:rsidRPr="00347816">
              <w:rPr>
                <w:rFonts w:eastAsia="Times New Roman"/>
                <w:b/>
                <w:bCs/>
                <w:color w:val="000000"/>
                <w:sz w:val="19"/>
                <w:szCs w:val="19"/>
                <w:lang w:eastAsia="hr-HR"/>
              </w:rPr>
              <w:t>2013</w:t>
            </w:r>
          </w:p>
        </w:tc>
      </w:tr>
      <w:tr w:rsidR="00347816" w:rsidRPr="00347816" w:rsidTr="00347816">
        <w:trPr>
          <w:trHeight w:val="300"/>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r>
      <w:tr w:rsidR="00347816" w:rsidRPr="00347816" w:rsidTr="00347816">
        <w:trPr>
          <w:trHeight w:val="300"/>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left"/>
              <w:rPr>
                <w:rFonts w:eastAsia="Times New Roman"/>
                <w:color w:val="000000"/>
                <w:sz w:val="19"/>
                <w:szCs w:val="19"/>
                <w:lang w:eastAsia="hr-HR"/>
              </w:rPr>
            </w:pPr>
            <w:r w:rsidRPr="00347816">
              <w:rPr>
                <w:rFonts w:eastAsia="Times New Roman"/>
                <w:color w:val="000000"/>
                <w:sz w:val="19"/>
                <w:szCs w:val="19"/>
                <w:lang w:eastAsia="hr-HR"/>
              </w:rPr>
              <w:t>Prihodi od zakupnina</w:t>
            </w: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r w:rsidRPr="00347816">
              <w:rPr>
                <w:rFonts w:eastAsia="Times New Roman"/>
                <w:sz w:val="19"/>
                <w:szCs w:val="19"/>
                <w:lang w:eastAsia="hr-HR"/>
              </w:rPr>
              <w:t>61.880</w:t>
            </w: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r w:rsidRPr="00347816">
              <w:rPr>
                <w:rFonts w:eastAsia="Times New Roman"/>
                <w:sz w:val="19"/>
                <w:szCs w:val="19"/>
                <w:lang w:eastAsia="hr-HR"/>
              </w:rPr>
              <w:t>41.453</w:t>
            </w:r>
          </w:p>
        </w:tc>
      </w:tr>
      <w:tr w:rsidR="00347816" w:rsidRPr="00347816" w:rsidTr="00347816">
        <w:trPr>
          <w:trHeight w:val="300"/>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left"/>
              <w:rPr>
                <w:rFonts w:eastAsia="Times New Roman"/>
                <w:color w:val="000000"/>
                <w:sz w:val="19"/>
                <w:szCs w:val="19"/>
                <w:lang w:eastAsia="hr-HR"/>
              </w:rPr>
            </w:pPr>
            <w:r w:rsidRPr="00347816">
              <w:rPr>
                <w:rFonts w:eastAsia="Times New Roman"/>
                <w:color w:val="000000"/>
                <w:sz w:val="19"/>
                <w:szCs w:val="19"/>
                <w:lang w:eastAsia="hr-HR"/>
              </w:rPr>
              <w:t>Ostali poslovni prihodi po drugim osnovama</w:t>
            </w: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r w:rsidRPr="00347816">
              <w:rPr>
                <w:rFonts w:eastAsia="Times New Roman"/>
                <w:sz w:val="19"/>
                <w:szCs w:val="19"/>
                <w:lang w:eastAsia="hr-HR"/>
              </w:rPr>
              <w:t>1.446</w:t>
            </w:r>
          </w:p>
        </w:tc>
      </w:tr>
      <w:tr w:rsidR="00347816" w:rsidRPr="00347816" w:rsidTr="00347816">
        <w:trPr>
          <w:trHeight w:val="102"/>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p>
        </w:tc>
      </w:tr>
      <w:tr w:rsidR="00347816" w:rsidRPr="00347816" w:rsidTr="00347816">
        <w:trPr>
          <w:trHeight w:val="300"/>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b/>
                <w:bCs/>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347816" w:rsidRPr="00347816" w:rsidRDefault="00347816" w:rsidP="00347816">
            <w:pPr>
              <w:spacing w:after="0" w:line="240" w:lineRule="auto"/>
              <w:jc w:val="right"/>
              <w:rPr>
                <w:rFonts w:eastAsia="Times New Roman"/>
                <w:b/>
                <w:bCs/>
                <w:sz w:val="19"/>
                <w:szCs w:val="19"/>
                <w:lang w:eastAsia="hr-HR"/>
              </w:rPr>
            </w:pPr>
            <w:r w:rsidRPr="00347816">
              <w:rPr>
                <w:rFonts w:eastAsia="Times New Roman"/>
                <w:b/>
                <w:bCs/>
                <w:sz w:val="19"/>
                <w:szCs w:val="19"/>
                <w:lang w:eastAsia="hr-HR"/>
              </w:rPr>
              <w:t>61.880</w:t>
            </w: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347816" w:rsidRPr="00347816" w:rsidRDefault="00347816" w:rsidP="00347816">
            <w:pPr>
              <w:spacing w:after="0" w:line="240" w:lineRule="auto"/>
              <w:jc w:val="right"/>
              <w:rPr>
                <w:rFonts w:eastAsia="Times New Roman"/>
                <w:b/>
                <w:bCs/>
                <w:sz w:val="19"/>
                <w:szCs w:val="19"/>
                <w:lang w:eastAsia="hr-HR"/>
              </w:rPr>
            </w:pPr>
            <w:r w:rsidRPr="00347816">
              <w:rPr>
                <w:rFonts w:eastAsia="Times New Roman"/>
                <w:b/>
                <w:bCs/>
                <w:sz w:val="19"/>
                <w:szCs w:val="19"/>
                <w:lang w:eastAsia="hr-HR"/>
              </w:rPr>
              <w:t>42.899</w:t>
            </w:r>
          </w:p>
        </w:tc>
      </w:tr>
    </w:tbl>
    <w:p w:rsidR="00C12D4B" w:rsidRDefault="00C12D4B" w:rsidP="00C12D4B">
      <w:pPr>
        <w:spacing w:after="0"/>
        <w:rPr>
          <w:sz w:val="19"/>
          <w:szCs w:val="19"/>
          <w:lang w:val="hr-BA"/>
        </w:rPr>
      </w:pPr>
    </w:p>
    <w:p w:rsidR="00F8492A" w:rsidRDefault="00F8492A" w:rsidP="00C12D4B">
      <w:pPr>
        <w:spacing w:after="0"/>
        <w:rPr>
          <w:sz w:val="19"/>
          <w:szCs w:val="19"/>
          <w:lang w:val="hr-BA"/>
        </w:rPr>
      </w:pPr>
    </w:p>
    <w:p w:rsidR="00C12D4B" w:rsidRDefault="00C12D4B" w:rsidP="00C12D4B">
      <w:pPr>
        <w:spacing w:after="0"/>
        <w:rPr>
          <w:sz w:val="19"/>
          <w:szCs w:val="19"/>
          <w:lang w:val="hr-BA"/>
        </w:rPr>
      </w:pPr>
    </w:p>
    <w:p w:rsidR="009D0CF4" w:rsidRDefault="0074536C" w:rsidP="00B316E2">
      <w:pPr>
        <w:pStyle w:val="ListParagraph"/>
        <w:numPr>
          <w:ilvl w:val="0"/>
          <w:numId w:val="1"/>
        </w:numPr>
        <w:spacing w:after="0"/>
        <w:contextualSpacing w:val="0"/>
        <w:rPr>
          <w:b/>
          <w:sz w:val="19"/>
          <w:szCs w:val="19"/>
          <w:lang w:bidi="hr-HR"/>
        </w:rPr>
      </w:pPr>
      <w:r w:rsidRPr="009D0CF4">
        <w:rPr>
          <w:b/>
          <w:sz w:val="19"/>
          <w:szCs w:val="19"/>
          <w:lang w:bidi="hr-HR"/>
        </w:rPr>
        <w:t xml:space="preserve">TROŠKOVI </w:t>
      </w:r>
      <w:r w:rsidRPr="0074536C">
        <w:rPr>
          <w:b/>
          <w:sz w:val="19"/>
          <w:szCs w:val="19"/>
          <w:lang w:bidi="hr-HR"/>
        </w:rPr>
        <w:t>ZARADA, NAKNADA ZARADA I OSTALIH LIČNIH RASHODA</w:t>
      </w:r>
    </w:p>
    <w:p w:rsidR="009D0CF4" w:rsidRDefault="009D0CF4" w:rsidP="00DD6A4C">
      <w:pPr>
        <w:spacing w:after="0"/>
        <w:rPr>
          <w:sz w:val="19"/>
          <w:szCs w:val="19"/>
          <w:lang w:val="hr-BA"/>
        </w:rPr>
      </w:pPr>
    </w:p>
    <w:tbl>
      <w:tblPr>
        <w:tblW w:w="9176" w:type="dxa"/>
        <w:tblInd w:w="108" w:type="dxa"/>
        <w:tblLook w:val="04A0"/>
      </w:tblPr>
      <w:tblGrid>
        <w:gridCol w:w="6168"/>
        <w:gridCol w:w="1356"/>
        <w:gridCol w:w="296"/>
        <w:gridCol w:w="1356"/>
      </w:tblGrid>
      <w:tr w:rsidR="00347816" w:rsidRPr="00347816" w:rsidTr="00347816">
        <w:trPr>
          <w:trHeight w:val="300"/>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b/>
                <w:bCs/>
                <w:color w:val="000000"/>
                <w:sz w:val="19"/>
                <w:szCs w:val="19"/>
                <w:lang w:eastAsia="hr-HR"/>
              </w:rPr>
            </w:pPr>
            <w:r w:rsidRPr="00347816">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b/>
                <w:bCs/>
                <w:color w:val="000000"/>
                <w:sz w:val="19"/>
                <w:szCs w:val="19"/>
                <w:lang w:eastAsia="hr-HR"/>
              </w:rPr>
            </w:pPr>
            <w:r w:rsidRPr="00347816">
              <w:rPr>
                <w:rFonts w:eastAsia="Times New Roman"/>
                <w:b/>
                <w:bCs/>
                <w:color w:val="000000"/>
                <w:sz w:val="19"/>
                <w:szCs w:val="19"/>
                <w:lang w:eastAsia="hr-HR"/>
              </w:rPr>
              <w:t>2013</w:t>
            </w:r>
          </w:p>
        </w:tc>
      </w:tr>
      <w:tr w:rsidR="00347816" w:rsidRPr="00347816" w:rsidTr="00347816">
        <w:trPr>
          <w:trHeight w:val="300"/>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r>
      <w:tr w:rsidR="00347816" w:rsidRPr="00347816" w:rsidTr="00347816">
        <w:trPr>
          <w:trHeight w:val="300"/>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left"/>
              <w:rPr>
                <w:rFonts w:eastAsia="Times New Roman"/>
                <w:color w:val="000000"/>
                <w:sz w:val="19"/>
                <w:szCs w:val="19"/>
                <w:lang w:eastAsia="hr-HR"/>
              </w:rPr>
            </w:pPr>
            <w:r w:rsidRPr="00347816">
              <w:rPr>
                <w:rFonts w:eastAsia="Times New Roman"/>
                <w:color w:val="000000"/>
                <w:sz w:val="19"/>
                <w:szCs w:val="19"/>
                <w:lang w:eastAsia="hr-HR"/>
              </w:rPr>
              <w:t>Troškovi bruto zarada</w:t>
            </w: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r w:rsidRPr="00347816">
              <w:rPr>
                <w:rFonts w:eastAsia="Times New Roman"/>
                <w:sz w:val="19"/>
                <w:szCs w:val="19"/>
                <w:lang w:eastAsia="hr-HR"/>
              </w:rPr>
              <w:t>28.569</w:t>
            </w: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r w:rsidRPr="00347816">
              <w:rPr>
                <w:rFonts w:eastAsia="Times New Roman"/>
                <w:sz w:val="19"/>
                <w:szCs w:val="19"/>
                <w:lang w:eastAsia="hr-HR"/>
              </w:rPr>
              <w:t>19.124</w:t>
            </w:r>
          </w:p>
        </w:tc>
      </w:tr>
      <w:tr w:rsidR="00347816" w:rsidRPr="00347816" w:rsidTr="00347816">
        <w:trPr>
          <w:trHeight w:val="102"/>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sz w:val="19"/>
                <w:szCs w:val="19"/>
                <w:lang w:eastAsia="hr-HR"/>
              </w:rPr>
            </w:pPr>
          </w:p>
        </w:tc>
      </w:tr>
      <w:tr w:rsidR="00347816" w:rsidRPr="00347816" w:rsidTr="00347816">
        <w:trPr>
          <w:trHeight w:val="300"/>
        </w:trPr>
        <w:tc>
          <w:tcPr>
            <w:tcW w:w="6168"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347816" w:rsidRPr="00347816" w:rsidRDefault="00347816" w:rsidP="00347816">
            <w:pPr>
              <w:spacing w:after="0" w:line="240" w:lineRule="auto"/>
              <w:jc w:val="right"/>
              <w:rPr>
                <w:rFonts w:eastAsia="Times New Roman"/>
                <w:b/>
                <w:bCs/>
                <w:sz w:val="19"/>
                <w:szCs w:val="19"/>
                <w:lang w:eastAsia="hr-HR"/>
              </w:rPr>
            </w:pPr>
            <w:r w:rsidRPr="00347816">
              <w:rPr>
                <w:rFonts w:eastAsia="Times New Roman"/>
                <w:b/>
                <w:bCs/>
                <w:sz w:val="19"/>
                <w:szCs w:val="19"/>
                <w:lang w:eastAsia="hr-HR"/>
              </w:rPr>
              <w:t>28.569</w:t>
            </w:r>
          </w:p>
        </w:tc>
        <w:tc>
          <w:tcPr>
            <w:tcW w:w="296" w:type="dxa"/>
            <w:tcBorders>
              <w:top w:val="nil"/>
              <w:left w:val="nil"/>
              <w:bottom w:val="nil"/>
              <w:right w:val="nil"/>
            </w:tcBorders>
            <w:shd w:val="clear" w:color="auto" w:fill="auto"/>
            <w:noWrap/>
            <w:vAlign w:val="center"/>
            <w:hideMark/>
          </w:tcPr>
          <w:p w:rsidR="00347816" w:rsidRPr="00347816" w:rsidRDefault="00347816" w:rsidP="00347816">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347816" w:rsidRPr="00347816" w:rsidRDefault="00347816" w:rsidP="00347816">
            <w:pPr>
              <w:spacing w:after="0" w:line="240" w:lineRule="auto"/>
              <w:jc w:val="right"/>
              <w:rPr>
                <w:rFonts w:eastAsia="Times New Roman"/>
                <w:b/>
                <w:bCs/>
                <w:sz w:val="19"/>
                <w:szCs w:val="19"/>
                <w:lang w:eastAsia="hr-HR"/>
              </w:rPr>
            </w:pPr>
            <w:r w:rsidRPr="00347816">
              <w:rPr>
                <w:rFonts w:eastAsia="Times New Roman"/>
                <w:b/>
                <w:bCs/>
                <w:sz w:val="19"/>
                <w:szCs w:val="19"/>
                <w:lang w:eastAsia="hr-HR"/>
              </w:rPr>
              <w:t>19.124</w:t>
            </w:r>
          </w:p>
        </w:tc>
      </w:tr>
    </w:tbl>
    <w:p w:rsidR="009D0CF4" w:rsidRDefault="009D0CF4" w:rsidP="00DD6A4C">
      <w:pPr>
        <w:spacing w:after="0"/>
        <w:rPr>
          <w:sz w:val="19"/>
          <w:szCs w:val="19"/>
          <w:lang w:val="hr-BA"/>
        </w:rPr>
      </w:pPr>
    </w:p>
    <w:p w:rsidR="009D0CF4" w:rsidRDefault="009D0CF4" w:rsidP="00DD6A4C">
      <w:pPr>
        <w:spacing w:after="0"/>
        <w:rPr>
          <w:sz w:val="19"/>
          <w:szCs w:val="19"/>
          <w:lang w:val="hr-BA"/>
        </w:rPr>
      </w:pPr>
    </w:p>
    <w:p w:rsidR="004F2E88" w:rsidRPr="008707F7" w:rsidRDefault="004F2E88">
      <w:pPr>
        <w:rPr>
          <w:sz w:val="19"/>
          <w:szCs w:val="19"/>
          <w:lang w:bidi="hr-HR"/>
        </w:rPr>
      </w:pPr>
    </w:p>
    <w:p w:rsidR="009D0CF4" w:rsidRDefault="009D0CF4" w:rsidP="00B316E2">
      <w:pPr>
        <w:pStyle w:val="ListParagraph"/>
        <w:numPr>
          <w:ilvl w:val="0"/>
          <w:numId w:val="1"/>
        </w:numPr>
        <w:spacing w:after="0"/>
        <w:contextualSpacing w:val="0"/>
        <w:rPr>
          <w:b/>
          <w:sz w:val="19"/>
          <w:szCs w:val="19"/>
          <w:lang w:bidi="hr-HR"/>
        </w:rPr>
      </w:pPr>
      <w:r w:rsidRPr="009D0CF4">
        <w:rPr>
          <w:b/>
          <w:sz w:val="19"/>
          <w:szCs w:val="19"/>
          <w:lang w:bidi="hr-HR"/>
        </w:rPr>
        <w:t>TROŠKOVI PROIZVODNIH USLUGA</w:t>
      </w:r>
    </w:p>
    <w:p w:rsidR="009D0CF4" w:rsidRDefault="009D0CF4" w:rsidP="00DD6A4C">
      <w:pPr>
        <w:spacing w:after="0"/>
        <w:rPr>
          <w:sz w:val="19"/>
          <w:szCs w:val="19"/>
          <w:lang w:val="hr-BA"/>
        </w:rPr>
      </w:pPr>
    </w:p>
    <w:tbl>
      <w:tblPr>
        <w:tblW w:w="9176" w:type="dxa"/>
        <w:tblInd w:w="108" w:type="dxa"/>
        <w:tblLook w:val="04A0"/>
      </w:tblPr>
      <w:tblGrid>
        <w:gridCol w:w="6168"/>
        <w:gridCol w:w="1356"/>
        <w:gridCol w:w="296"/>
        <w:gridCol w:w="1356"/>
      </w:tblGrid>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r w:rsidRPr="00F8492A">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r w:rsidRPr="00F8492A">
              <w:rPr>
                <w:rFonts w:eastAsia="Times New Roman"/>
                <w:b/>
                <w:bCs/>
                <w:color w:val="000000"/>
                <w:sz w:val="19"/>
                <w:szCs w:val="19"/>
                <w:lang w:eastAsia="hr-HR"/>
              </w:rPr>
              <w:t>2013</w:t>
            </w: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transportnih usluga</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98</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color w:val="000000"/>
                <w:sz w:val="19"/>
                <w:szCs w:val="19"/>
                <w:lang w:eastAsia="hr-HR"/>
              </w:rPr>
            </w:pPr>
            <w:r w:rsidRPr="00F8492A">
              <w:rPr>
                <w:rFonts w:eastAsia="Times New Roman"/>
                <w:color w:val="000000"/>
                <w:sz w:val="19"/>
                <w:szCs w:val="19"/>
                <w:lang w:eastAsia="hr-HR"/>
              </w:rPr>
              <w:t>96</w:t>
            </w: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usluga održavanja</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45</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color w:val="000000"/>
                <w:sz w:val="19"/>
                <w:szCs w:val="19"/>
                <w:lang w:eastAsia="hr-HR"/>
              </w:rPr>
            </w:pPr>
            <w:r w:rsidRPr="00F8492A">
              <w:rPr>
                <w:rFonts w:eastAsia="Times New Roman"/>
                <w:color w:val="000000"/>
                <w:sz w:val="19"/>
                <w:szCs w:val="19"/>
                <w:lang w:eastAsia="hr-HR"/>
              </w:rPr>
              <w:t>746</w:t>
            </w: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reklame i propagande</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263</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color w:val="000000"/>
                <w:sz w:val="19"/>
                <w:szCs w:val="19"/>
                <w:lang w:eastAsia="hr-HR"/>
              </w:rPr>
            </w:pPr>
            <w:r w:rsidRPr="00F8492A">
              <w:rPr>
                <w:rFonts w:eastAsia="Times New Roman"/>
                <w:color w:val="000000"/>
                <w:sz w:val="19"/>
                <w:szCs w:val="19"/>
                <w:lang w:eastAsia="hr-HR"/>
              </w:rPr>
              <w:t>375</w:t>
            </w: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ostalih usluga</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2.068</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color w:val="000000"/>
                <w:sz w:val="19"/>
                <w:szCs w:val="19"/>
                <w:lang w:eastAsia="hr-HR"/>
              </w:rPr>
            </w:pPr>
            <w:r w:rsidRPr="00F8492A">
              <w:rPr>
                <w:rFonts w:eastAsia="Times New Roman"/>
                <w:color w:val="000000"/>
                <w:sz w:val="19"/>
                <w:szCs w:val="19"/>
                <w:lang w:eastAsia="hr-HR"/>
              </w:rPr>
              <w:t>1.787</w:t>
            </w:r>
          </w:p>
        </w:tc>
      </w:tr>
      <w:tr w:rsidR="00F8492A" w:rsidRPr="00F8492A" w:rsidTr="00F8492A">
        <w:trPr>
          <w:trHeight w:val="102"/>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r w:rsidRPr="00F8492A">
              <w:rPr>
                <w:rFonts w:eastAsia="Times New Roman"/>
                <w:b/>
                <w:bCs/>
                <w:sz w:val="19"/>
                <w:szCs w:val="19"/>
                <w:lang w:eastAsia="hr-HR"/>
              </w:rPr>
              <w:t>2.474</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r w:rsidRPr="00F8492A">
              <w:rPr>
                <w:rFonts w:eastAsia="Times New Roman"/>
                <w:b/>
                <w:bCs/>
                <w:sz w:val="19"/>
                <w:szCs w:val="19"/>
                <w:lang w:eastAsia="hr-HR"/>
              </w:rPr>
              <w:t>3.004</w:t>
            </w:r>
          </w:p>
        </w:tc>
      </w:tr>
    </w:tbl>
    <w:p w:rsidR="009D0CF4" w:rsidRDefault="009D0CF4" w:rsidP="00DD6A4C">
      <w:pPr>
        <w:spacing w:after="0"/>
        <w:rPr>
          <w:sz w:val="19"/>
          <w:szCs w:val="19"/>
          <w:lang w:val="hr-BA"/>
        </w:rPr>
      </w:pPr>
    </w:p>
    <w:p w:rsidR="009D0CF4" w:rsidRDefault="009D0CF4" w:rsidP="00DD6A4C">
      <w:pPr>
        <w:spacing w:after="0"/>
        <w:rPr>
          <w:sz w:val="19"/>
          <w:szCs w:val="19"/>
          <w:lang w:val="hr-BA"/>
        </w:rPr>
      </w:pPr>
    </w:p>
    <w:p w:rsidR="009D0CF4" w:rsidRDefault="009D0CF4" w:rsidP="00DD6A4C">
      <w:pPr>
        <w:spacing w:after="0"/>
        <w:rPr>
          <w:sz w:val="19"/>
          <w:szCs w:val="19"/>
          <w:lang w:val="hr-BA"/>
        </w:rPr>
      </w:pPr>
    </w:p>
    <w:p w:rsidR="009D0CF4" w:rsidRDefault="009D0CF4" w:rsidP="00B316E2">
      <w:pPr>
        <w:pStyle w:val="ListParagraph"/>
        <w:numPr>
          <w:ilvl w:val="0"/>
          <w:numId w:val="1"/>
        </w:numPr>
        <w:spacing w:after="0"/>
        <w:contextualSpacing w:val="0"/>
        <w:rPr>
          <w:b/>
          <w:sz w:val="19"/>
          <w:szCs w:val="19"/>
          <w:lang w:bidi="hr-HR"/>
        </w:rPr>
      </w:pPr>
      <w:r w:rsidRPr="00DD6A4C">
        <w:rPr>
          <w:b/>
          <w:sz w:val="19"/>
          <w:szCs w:val="19"/>
          <w:lang w:bidi="hr-HR"/>
        </w:rPr>
        <w:t>A</w:t>
      </w:r>
      <w:r w:rsidR="001042EC">
        <w:rPr>
          <w:b/>
          <w:sz w:val="19"/>
          <w:szCs w:val="19"/>
          <w:lang w:bidi="hr-HR"/>
        </w:rPr>
        <w:t>MORTIZACIJA</w:t>
      </w:r>
    </w:p>
    <w:p w:rsidR="009D0CF4" w:rsidRDefault="009D0CF4" w:rsidP="00DD6A4C">
      <w:pPr>
        <w:spacing w:after="0"/>
        <w:rPr>
          <w:sz w:val="19"/>
          <w:szCs w:val="19"/>
          <w:lang w:val="hr-BA"/>
        </w:rPr>
      </w:pPr>
    </w:p>
    <w:tbl>
      <w:tblPr>
        <w:tblW w:w="9176" w:type="dxa"/>
        <w:tblInd w:w="108" w:type="dxa"/>
        <w:tblLook w:val="04A0"/>
      </w:tblPr>
      <w:tblGrid>
        <w:gridCol w:w="6168"/>
        <w:gridCol w:w="1356"/>
        <w:gridCol w:w="296"/>
        <w:gridCol w:w="1356"/>
      </w:tblGrid>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r w:rsidRPr="00F8492A">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r w:rsidRPr="00F8492A">
              <w:rPr>
                <w:rFonts w:eastAsia="Times New Roman"/>
                <w:b/>
                <w:bCs/>
                <w:color w:val="000000"/>
                <w:sz w:val="19"/>
                <w:szCs w:val="19"/>
                <w:lang w:eastAsia="hr-HR"/>
              </w:rPr>
              <w:t>2013</w:t>
            </w: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amortizacije</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7.145</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9.325</w:t>
            </w:r>
          </w:p>
        </w:tc>
      </w:tr>
      <w:tr w:rsidR="00F8492A" w:rsidRPr="00F8492A" w:rsidTr="00F8492A">
        <w:trPr>
          <w:trHeight w:val="102"/>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r w:rsidRPr="00F8492A">
              <w:rPr>
                <w:rFonts w:eastAsia="Times New Roman"/>
                <w:b/>
                <w:bCs/>
                <w:sz w:val="19"/>
                <w:szCs w:val="19"/>
                <w:lang w:eastAsia="hr-HR"/>
              </w:rPr>
              <w:t>7.145</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r w:rsidRPr="00F8492A">
              <w:rPr>
                <w:rFonts w:eastAsia="Times New Roman"/>
                <w:b/>
                <w:bCs/>
                <w:sz w:val="19"/>
                <w:szCs w:val="19"/>
                <w:lang w:eastAsia="hr-HR"/>
              </w:rPr>
              <w:t>9.325</w:t>
            </w:r>
          </w:p>
        </w:tc>
      </w:tr>
    </w:tbl>
    <w:p w:rsidR="009D0CF4" w:rsidRDefault="009D0CF4" w:rsidP="00DD6A4C">
      <w:pPr>
        <w:spacing w:after="0"/>
        <w:rPr>
          <w:sz w:val="19"/>
          <w:szCs w:val="19"/>
          <w:lang w:val="hr-BA"/>
        </w:rPr>
      </w:pPr>
    </w:p>
    <w:p w:rsidR="00E6694E" w:rsidRDefault="00E6694E" w:rsidP="00E6694E">
      <w:pPr>
        <w:spacing w:after="0"/>
        <w:rPr>
          <w:sz w:val="19"/>
          <w:szCs w:val="19"/>
          <w:lang w:val="hr-BA"/>
        </w:rPr>
      </w:pPr>
    </w:p>
    <w:p w:rsidR="00E6694E" w:rsidRDefault="00E6694E" w:rsidP="00E6694E">
      <w:pPr>
        <w:spacing w:after="0"/>
        <w:rPr>
          <w:sz w:val="19"/>
          <w:szCs w:val="19"/>
          <w:lang w:val="hr-BA"/>
        </w:rPr>
      </w:pPr>
    </w:p>
    <w:p w:rsidR="00F8492A" w:rsidRDefault="00F8492A">
      <w:pPr>
        <w:rPr>
          <w:b/>
          <w:sz w:val="19"/>
          <w:szCs w:val="19"/>
          <w:lang w:bidi="hr-HR"/>
        </w:rPr>
      </w:pPr>
      <w:r>
        <w:rPr>
          <w:b/>
          <w:sz w:val="19"/>
          <w:szCs w:val="19"/>
          <w:lang w:bidi="hr-HR"/>
        </w:rPr>
        <w:br w:type="page"/>
      </w:r>
    </w:p>
    <w:p w:rsidR="009D0CF4" w:rsidRDefault="009D0CF4" w:rsidP="00B316E2">
      <w:pPr>
        <w:pStyle w:val="ListParagraph"/>
        <w:numPr>
          <w:ilvl w:val="0"/>
          <w:numId w:val="1"/>
        </w:numPr>
        <w:spacing w:after="0"/>
        <w:contextualSpacing w:val="0"/>
        <w:rPr>
          <w:b/>
          <w:sz w:val="19"/>
          <w:szCs w:val="19"/>
          <w:lang w:bidi="hr-HR"/>
        </w:rPr>
      </w:pPr>
      <w:r>
        <w:rPr>
          <w:b/>
          <w:sz w:val="19"/>
          <w:szCs w:val="19"/>
          <w:lang w:bidi="hr-HR"/>
        </w:rPr>
        <w:lastRenderedPageBreak/>
        <w:t>NE</w:t>
      </w:r>
      <w:r w:rsidRPr="00DD6A4C">
        <w:rPr>
          <w:b/>
          <w:sz w:val="19"/>
          <w:szCs w:val="19"/>
          <w:lang w:bidi="hr-HR"/>
        </w:rPr>
        <w:t>MATERIJALNI TROŠKOVI</w:t>
      </w:r>
    </w:p>
    <w:p w:rsidR="009D0CF4" w:rsidRDefault="009D0CF4" w:rsidP="00DD6A4C">
      <w:pPr>
        <w:spacing w:after="0"/>
        <w:rPr>
          <w:sz w:val="19"/>
          <w:szCs w:val="19"/>
          <w:lang w:val="hr-BA"/>
        </w:rPr>
      </w:pPr>
    </w:p>
    <w:tbl>
      <w:tblPr>
        <w:tblW w:w="9176" w:type="dxa"/>
        <w:tblInd w:w="108" w:type="dxa"/>
        <w:tblLook w:val="04A0"/>
      </w:tblPr>
      <w:tblGrid>
        <w:gridCol w:w="6168"/>
        <w:gridCol w:w="1356"/>
        <w:gridCol w:w="296"/>
        <w:gridCol w:w="1356"/>
      </w:tblGrid>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r w:rsidRPr="00F8492A">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r w:rsidRPr="00F8492A">
              <w:rPr>
                <w:rFonts w:eastAsia="Times New Roman"/>
                <w:b/>
                <w:bCs/>
                <w:color w:val="000000"/>
                <w:sz w:val="19"/>
                <w:szCs w:val="19"/>
                <w:lang w:eastAsia="hr-HR"/>
              </w:rPr>
              <w:t>2013</w:t>
            </w: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neproizvodnih usluga</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1.700</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color w:val="000000"/>
                <w:sz w:val="19"/>
                <w:szCs w:val="19"/>
                <w:lang w:eastAsia="hr-HR"/>
              </w:rPr>
            </w:pPr>
            <w:r w:rsidRPr="00F8492A">
              <w:rPr>
                <w:rFonts w:eastAsia="Times New Roman"/>
                <w:color w:val="000000"/>
                <w:sz w:val="19"/>
                <w:szCs w:val="19"/>
                <w:lang w:eastAsia="hr-HR"/>
              </w:rPr>
              <w:t>2.000</w:t>
            </w: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reprezentacije</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150</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color w:val="000000"/>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premija osiguranja</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2.033</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color w:val="000000"/>
                <w:sz w:val="19"/>
                <w:szCs w:val="19"/>
                <w:lang w:eastAsia="hr-HR"/>
              </w:rPr>
            </w:pPr>
            <w:r w:rsidRPr="00F8492A">
              <w:rPr>
                <w:rFonts w:eastAsia="Times New Roman"/>
                <w:color w:val="000000"/>
                <w:sz w:val="19"/>
                <w:szCs w:val="19"/>
                <w:lang w:eastAsia="hr-HR"/>
              </w:rPr>
              <w:t>1.166</w:t>
            </w: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platnog prometa</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436</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color w:val="000000"/>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Ostali nematerijalni troškovi</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494</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color w:val="000000"/>
                <w:sz w:val="19"/>
                <w:szCs w:val="19"/>
                <w:lang w:eastAsia="hr-HR"/>
              </w:rPr>
            </w:pPr>
            <w:r w:rsidRPr="00F8492A">
              <w:rPr>
                <w:rFonts w:eastAsia="Times New Roman"/>
                <w:color w:val="000000"/>
                <w:sz w:val="19"/>
                <w:szCs w:val="19"/>
                <w:lang w:eastAsia="hr-HR"/>
              </w:rPr>
              <w:t>447</w:t>
            </w:r>
          </w:p>
        </w:tc>
      </w:tr>
      <w:tr w:rsidR="00F8492A" w:rsidRPr="00F8492A" w:rsidTr="00F8492A">
        <w:trPr>
          <w:trHeight w:val="102"/>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r w:rsidRPr="00F8492A">
              <w:rPr>
                <w:rFonts w:eastAsia="Times New Roman"/>
                <w:b/>
                <w:bCs/>
                <w:sz w:val="19"/>
                <w:szCs w:val="19"/>
                <w:lang w:eastAsia="hr-HR"/>
              </w:rPr>
              <w:t>4.813</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r w:rsidRPr="00F8492A">
              <w:rPr>
                <w:rFonts w:eastAsia="Times New Roman"/>
                <w:b/>
                <w:bCs/>
                <w:sz w:val="19"/>
                <w:szCs w:val="19"/>
                <w:lang w:eastAsia="hr-HR"/>
              </w:rPr>
              <w:t>3.613</w:t>
            </w:r>
          </w:p>
        </w:tc>
      </w:tr>
    </w:tbl>
    <w:p w:rsidR="009D0CF4" w:rsidRDefault="009D0CF4" w:rsidP="00DD6A4C">
      <w:pPr>
        <w:spacing w:after="0"/>
        <w:rPr>
          <w:sz w:val="19"/>
          <w:szCs w:val="19"/>
          <w:lang w:val="hr-BA"/>
        </w:rPr>
      </w:pPr>
    </w:p>
    <w:p w:rsidR="00E6694E" w:rsidRDefault="00E6694E" w:rsidP="00DD6A4C">
      <w:pPr>
        <w:spacing w:after="0"/>
        <w:rPr>
          <w:sz w:val="19"/>
          <w:szCs w:val="19"/>
          <w:lang w:val="hr-BA"/>
        </w:rPr>
      </w:pPr>
    </w:p>
    <w:p w:rsidR="00B64589" w:rsidRDefault="00B64589" w:rsidP="00B64589">
      <w:pPr>
        <w:spacing w:after="0"/>
        <w:rPr>
          <w:sz w:val="19"/>
          <w:szCs w:val="19"/>
          <w:lang w:val="hr-BA"/>
        </w:rPr>
      </w:pPr>
    </w:p>
    <w:p w:rsidR="00B64589" w:rsidRDefault="00BB312B" w:rsidP="00B316E2">
      <w:pPr>
        <w:pStyle w:val="ListParagraph"/>
        <w:numPr>
          <w:ilvl w:val="0"/>
          <w:numId w:val="1"/>
        </w:numPr>
        <w:spacing w:after="0"/>
        <w:contextualSpacing w:val="0"/>
        <w:rPr>
          <w:b/>
          <w:sz w:val="19"/>
          <w:szCs w:val="19"/>
          <w:lang w:bidi="hr-HR"/>
        </w:rPr>
      </w:pPr>
      <w:r>
        <w:rPr>
          <w:b/>
          <w:sz w:val="19"/>
          <w:szCs w:val="19"/>
          <w:lang w:bidi="hr-HR"/>
        </w:rPr>
        <w:t>TROŠKOVI POREZA</w:t>
      </w:r>
    </w:p>
    <w:p w:rsidR="00B64589" w:rsidRDefault="00B64589" w:rsidP="00B64589">
      <w:pPr>
        <w:spacing w:after="0"/>
        <w:rPr>
          <w:sz w:val="19"/>
          <w:szCs w:val="19"/>
          <w:lang w:val="hr-BA"/>
        </w:rPr>
      </w:pPr>
    </w:p>
    <w:tbl>
      <w:tblPr>
        <w:tblW w:w="9176" w:type="dxa"/>
        <w:tblInd w:w="108" w:type="dxa"/>
        <w:tblLook w:val="04A0"/>
      </w:tblPr>
      <w:tblGrid>
        <w:gridCol w:w="6168"/>
        <w:gridCol w:w="1356"/>
        <w:gridCol w:w="296"/>
        <w:gridCol w:w="1356"/>
      </w:tblGrid>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r w:rsidRPr="00F8492A">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r w:rsidRPr="00F8492A">
              <w:rPr>
                <w:rFonts w:eastAsia="Times New Roman"/>
                <w:b/>
                <w:bCs/>
                <w:color w:val="000000"/>
                <w:sz w:val="19"/>
                <w:szCs w:val="19"/>
                <w:lang w:eastAsia="hr-HR"/>
              </w:rPr>
              <w:t>2013</w:t>
            </w: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poreza</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16.820</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7.325</w:t>
            </w:r>
          </w:p>
        </w:tc>
      </w:tr>
      <w:tr w:rsidR="00F8492A" w:rsidRPr="00F8492A" w:rsidTr="00F8492A">
        <w:trPr>
          <w:trHeight w:val="102"/>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r w:rsidRPr="00F8492A">
              <w:rPr>
                <w:rFonts w:eastAsia="Times New Roman"/>
                <w:b/>
                <w:bCs/>
                <w:sz w:val="19"/>
                <w:szCs w:val="19"/>
                <w:lang w:eastAsia="hr-HR"/>
              </w:rPr>
              <w:t>16.820</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r w:rsidRPr="00F8492A">
              <w:rPr>
                <w:rFonts w:eastAsia="Times New Roman"/>
                <w:b/>
                <w:bCs/>
                <w:sz w:val="19"/>
                <w:szCs w:val="19"/>
                <w:lang w:eastAsia="hr-HR"/>
              </w:rPr>
              <w:t>7.325</w:t>
            </w:r>
          </w:p>
        </w:tc>
      </w:tr>
    </w:tbl>
    <w:p w:rsidR="00B64589" w:rsidRDefault="00B64589" w:rsidP="00B64589">
      <w:pPr>
        <w:spacing w:after="0"/>
        <w:rPr>
          <w:sz w:val="19"/>
          <w:szCs w:val="19"/>
          <w:lang w:val="hr-BA"/>
        </w:rPr>
      </w:pPr>
    </w:p>
    <w:p w:rsidR="00B64589" w:rsidRDefault="00B64589" w:rsidP="00DD6A4C">
      <w:pPr>
        <w:spacing w:after="0"/>
        <w:rPr>
          <w:sz w:val="19"/>
          <w:szCs w:val="19"/>
          <w:lang w:val="hr-BA"/>
        </w:rPr>
      </w:pPr>
    </w:p>
    <w:p w:rsidR="00B64589" w:rsidRDefault="00B64589" w:rsidP="00B64589">
      <w:pPr>
        <w:spacing w:after="0"/>
        <w:rPr>
          <w:sz w:val="19"/>
          <w:szCs w:val="19"/>
          <w:lang w:val="hr-BA"/>
        </w:rPr>
      </w:pPr>
    </w:p>
    <w:p w:rsidR="00B64589" w:rsidRDefault="00BB312B" w:rsidP="00B316E2">
      <w:pPr>
        <w:pStyle w:val="ListParagraph"/>
        <w:numPr>
          <w:ilvl w:val="0"/>
          <w:numId w:val="1"/>
        </w:numPr>
        <w:spacing w:after="0"/>
        <w:contextualSpacing w:val="0"/>
        <w:rPr>
          <w:b/>
          <w:sz w:val="19"/>
          <w:szCs w:val="19"/>
          <w:lang w:bidi="hr-HR"/>
        </w:rPr>
      </w:pPr>
      <w:r>
        <w:rPr>
          <w:b/>
          <w:sz w:val="19"/>
          <w:szCs w:val="19"/>
          <w:lang w:bidi="hr-HR"/>
        </w:rPr>
        <w:t>TROŠKOVI DOPRINOSA</w:t>
      </w:r>
    </w:p>
    <w:p w:rsidR="00B64589" w:rsidRDefault="00B64589" w:rsidP="00B64589">
      <w:pPr>
        <w:spacing w:after="0"/>
        <w:rPr>
          <w:sz w:val="19"/>
          <w:szCs w:val="19"/>
          <w:lang w:val="hr-BA"/>
        </w:rPr>
      </w:pPr>
    </w:p>
    <w:tbl>
      <w:tblPr>
        <w:tblW w:w="9176" w:type="dxa"/>
        <w:tblInd w:w="108" w:type="dxa"/>
        <w:tblLook w:val="04A0"/>
      </w:tblPr>
      <w:tblGrid>
        <w:gridCol w:w="6168"/>
        <w:gridCol w:w="1356"/>
        <w:gridCol w:w="296"/>
        <w:gridCol w:w="1356"/>
      </w:tblGrid>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r w:rsidRPr="00F8492A">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b/>
                <w:bCs/>
                <w:color w:val="000000"/>
                <w:sz w:val="19"/>
                <w:szCs w:val="19"/>
                <w:lang w:eastAsia="hr-HR"/>
              </w:rPr>
            </w:pPr>
            <w:r w:rsidRPr="00F8492A">
              <w:rPr>
                <w:rFonts w:eastAsia="Times New Roman"/>
                <w:b/>
                <w:bCs/>
                <w:color w:val="000000"/>
                <w:sz w:val="19"/>
                <w:szCs w:val="19"/>
                <w:lang w:eastAsia="hr-HR"/>
              </w:rPr>
              <w:t>2013</w:t>
            </w: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left"/>
              <w:rPr>
                <w:rFonts w:eastAsia="Times New Roman"/>
                <w:sz w:val="19"/>
                <w:szCs w:val="19"/>
                <w:lang w:eastAsia="hr-HR"/>
              </w:rPr>
            </w:pPr>
            <w:r w:rsidRPr="00F8492A">
              <w:rPr>
                <w:rFonts w:eastAsia="Times New Roman"/>
                <w:sz w:val="19"/>
                <w:szCs w:val="19"/>
                <w:lang w:eastAsia="hr-HR"/>
              </w:rPr>
              <w:t>Troškovi doprinosa</w:t>
            </w: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209</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r w:rsidRPr="00F8492A">
              <w:rPr>
                <w:rFonts w:eastAsia="Times New Roman"/>
                <w:sz w:val="19"/>
                <w:szCs w:val="19"/>
                <w:lang w:eastAsia="hr-HR"/>
              </w:rPr>
              <w:t>19</w:t>
            </w:r>
          </w:p>
        </w:tc>
      </w:tr>
      <w:tr w:rsidR="00F8492A" w:rsidRPr="00F8492A" w:rsidTr="00F8492A">
        <w:trPr>
          <w:trHeight w:val="102"/>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sz w:val="19"/>
                <w:szCs w:val="19"/>
                <w:lang w:eastAsia="hr-HR"/>
              </w:rPr>
            </w:pPr>
          </w:p>
        </w:tc>
      </w:tr>
      <w:tr w:rsidR="00F8492A" w:rsidRPr="00F8492A" w:rsidTr="00F8492A">
        <w:trPr>
          <w:trHeight w:val="300"/>
        </w:trPr>
        <w:tc>
          <w:tcPr>
            <w:tcW w:w="6168"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r w:rsidRPr="00F8492A">
              <w:rPr>
                <w:rFonts w:eastAsia="Times New Roman"/>
                <w:b/>
                <w:bCs/>
                <w:sz w:val="19"/>
                <w:szCs w:val="19"/>
                <w:lang w:eastAsia="hr-HR"/>
              </w:rPr>
              <w:t>209</w:t>
            </w:r>
          </w:p>
        </w:tc>
        <w:tc>
          <w:tcPr>
            <w:tcW w:w="296" w:type="dxa"/>
            <w:tcBorders>
              <w:top w:val="nil"/>
              <w:left w:val="nil"/>
              <w:bottom w:val="nil"/>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F8492A" w:rsidRPr="00F8492A" w:rsidRDefault="00F8492A" w:rsidP="00F8492A">
            <w:pPr>
              <w:spacing w:after="0" w:line="240" w:lineRule="auto"/>
              <w:jc w:val="right"/>
              <w:rPr>
                <w:rFonts w:eastAsia="Times New Roman"/>
                <w:b/>
                <w:bCs/>
                <w:sz w:val="19"/>
                <w:szCs w:val="19"/>
                <w:lang w:eastAsia="hr-HR"/>
              </w:rPr>
            </w:pPr>
            <w:r w:rsidRPr="00F8492A">
              <w:rPr>
                <w:rFonts w:eastAsia="Times New Roman"/>
                <w:b/>
                <w:bCs/>
                <w:sz w:val="19"/>
                <w:szCs w:val="19"/>
                <w:lang w:eastAsia="hr-HR"/>
              </w:rPr>
              <w:t>19</w:t>
            </w:r>
          </w:p>
        </w:tc>
      </w:tr>
    </w:tbl>
    <w:p w:rsidR="00B64589" w:rsidRDefault="00B64589" w:rsidP="00B64589">
      <w:pPr>
        <w:spacing w:after="0"/>
        <w:rPr>
          <w:sz w:val="19"/>
          <w:szCs w:val="19"/>
          <w:lang w:val="hr-BA"/>
        </w:rPr>
      </w:pPr>
    </w:p>
    <w:p w:rsidR="00B64589" w:rsidRDefault="00B64589" w:rsidP="00DD6A4C">
      <w:pPr>
        <w:spacing w:after="0"/>
        <w:rPr>
          <w:sz w:val="19"/>
          <w:szCs w:val="19"/>
          <w:lang w:val="hr-BA"/>
        </w:rPr>
      </w:pPr>
    </w:p>
    <w:p w:rsidR="00B64589" w:rsidRDefault="00B64589" w:rsidP="00DD6A4C">
      <w:pPr>
        <w:spacing w:after="0"/>
        <w:rPr>
          <w:sz w:val="19"/>
          <w:szCs w:val="19"/>
          <w:lang w:val="hr-BA"/>
        </w:rPr>
      </w:pPr>
    </w:p>
    <w:p w:rsidR="009D0CF4" w:rsidRDefault="009D0CF4" w:rsidP="00DD6A4C">
      <w:pPr>
        <w:spacing w:after="0"/>
        <w:rPr>
          <w:sz w:val="19"/>
          <w:szCs w:val="19"/>
          <w:lang w:val="hr-BA"/>
        </w:rPr>
      </w:pPr>
    </w:p>
    <w:p w:rsidR="00033768" w:rsidRDefault="00033768" w:rsidP="009F4F6A">
      <w:pPr>
        <w:spacing w:after="0"/>
        <w:rPr>
          <w:sz w:val="19"/>
          <w:szCs w:val="19"/>
          <w:lang w:val="hr-BA"/>
        </w:rPr>
        <w:sectPr w:rsidR="00033768" w:rsidSect="00BB44FE">
          <w:headerReference w:type="default" r:id="rId16"/>
          <w:pgSz w:w="11906" w:h="16838"/>
          <w:pgMar w:top="1417" w:right="1417" w:bottom="1417" w:left="1417" w:header="708" w:footer="708" w:gutter="0"/>
          <w:cols w:space="708"/>
          <w:docGrid w:linePitch="360"/>
        </w:sectPr>
      </w:pPr>
    </w:p>
    <w:p w:rsidR="00033768" w:rsidRPr="00C0548C" w:rsidRDefault="00033768" w:rsidP="00033768">
      <w:pPr>
        <w:pStyle w:val="ListParagraph"/>
        <w:numPr>
          <w:ilvl w:val="0"/>
          <w:numId w:val="1"/>
        </w:numPr>
        <w:spacing w:after="0"/>
        <w:contextualSpacing w:val="0"/>
        <w:rPr>
          <w:b/>
          <w:sz w:val="19"/>
          <w:szCs w:val="19"/>
          <w:lang w:val="hr-BA"/>
        </w:rPr>
      </w:pPr>
      <w:r>
        <w:rPr>
          <w:b/>
          <w:sz w:val="19"/>
          <w:szCs w:val="19"/>
          <w:lang w:val="hr-BA"/>
        </w:rPr>
        <w:lastRenderedPageBreak/>
        <w:t>N</w:t>
      </w:r>
      <w:r w:rsidRPr="00671CE4">
        <w:rPr>
          <w:b/>
          <w:sz w:val="19"/>
          <w:szCs w:val="19"/>
          <w:lang w:val="hr-BA"/>
        </w:rPr>
        <w:t>EKRETNINE, POSTROJENJA I OPREMA</w:t>
      </w:r>
    </w:p>
    <w:tbl>
      <w:tblPr>
        <w:tblW w:w="13775" w:type="dxa"/>
        <w:tblInd w:w="108" w:type="dxa"/>
        <w:tblLook w:val="04A0"/>
      </w:tblPr>
      <w:tblGrid>
        <w:gridCol w:w="5159"/>
        <w:gridCol w:w="2154"/>
        <w:gridCol w:w="2154"/>
        <w:gridCol w:w="2154"/>
        <w:gridCol w:w="2154"/>
      </w:tblGrid>
      <w:tr w:rsidR="00050445" w:rsidRPr="00E6617C" w:rsidTr="00050445">
        <w:trPr>
          <w:trHeight w:val="799"/>
        </w:trPr>
        <w:tc>
          <w:tcPr>
            <w:tcW w:w="5159" w:type="dxa"/>
            <w:tcBorders>
              <w:top w:val="nil"/>
              <w:left w:val="nil"/>
              <w:bottom w:val="nil"/>
              <w:right w:val="nil"/>
            </w:tcBorders>
            <w:shd w:val="clear" w:color="auto" w:fill="auto"/>
            <w:vAlign w:val="center"/>
            <w:hideMark/>
          </w:tcPr>
          <w:p w:rsidR="00E6617C" w:rsidRPr="00E6617C" w:rsidRDefault="00E6617C" w:rsidP="00E6617C">
            <w:pPr>
              <w:spacing w:after="0" w:line="240" w:lineRule="auto"/>
              <w:jc w:val="center"/>
              <w:rPr>
                <w:rFonts w:eastAsia="Times New Roman"/>
                <w:b/>
                <w:bCs/>
                <w:color w:val="000000"/>
                <w:sz w:val="19"/>
                <w:szCs w:val="19"/>
                <w:lang w:eastAsia="hr-HR"/>
              </w:rPr>
            </w:pPr>
          </w:p>
        </w:tc>
        <w:tc>
          <w:tcPr>
            <w:tcW w:w="2154" w:type="dxa"/>
            <w:tcBorders>
              <w:top w:val="nil"/>
              <w:left w:val="nil"/>
              <w:bottom w:val="nil"/>
              <w:right w:val="nil"/>
            </w:tcBorders>
            <w:shd w:val="clear" w:color="auto" w:fill="auto"/>
            <w:vAlign w:val="center"/>
            <w:hideMark/>
          </w:tcPr>
          <w:p w:rsidR="00E6617C" w:rsidRPr="00E6617C" w:rsidRDefault="00E6617C" w:rsidP="00E6617C">
            <w:pPr>
              <w:spacing w:after="0" w:line="240" w:lineRule="auto"/>
              <w:jc w:val="center"/>
              <w:rPr>
                <w:rFonts w:eastAsia="Times New Roman"/>
                <w:b/>
                <w:bCs/>
                <w:sz w:val="19"/>
                <w:szCs w:val="19"/>
                <w:lang w:eastAsia="hr-HR"/>
              </w:rPr>
            </w:pPr>
            <w:r w:rsidRPr="00E6617C">
              <w:rPr>
                <w:rFonts w:eastAsia="Times New Roman"/>
                <w:b/>
                <w:bCs/>
                <w:sz w:val="19"/>
                <w:szCs w:val="19"/>
                <w:lang w:eastAsia="hr-HR"/>
              </w:rPr>
              <w:t>Zemljište</w:t>
            </w:r>
          </w:p>
        </w:tc>
        <w:tc>
          <w:tcPr>
            <w:tcW w:w="2154" w:type="dxa"/>
            <w:tcBorders>
              <w:top w:val="nil"/>
              <w:left w:val="nil"/>
              <w:bottom w:val="nil"/>
              <w:right w:val="nil"/>
            </w:tcBorders>
            <w:shd w:val="clear" w:color="auto" w:fill="auto"/>
            <w:vAlign w:val="center"/>
            <w:hideMark/>
          </w:tcPr>
          <w:p w:rsidR="00E6617C" w:rsidRPr="00E6617C" w:rsidRDefault="00E6617C" w:rsidP="00E6617C">
            <w:pPr>
              <w:spacing w:after="0" w:line="240" w:lineRule="auto"/>
              <w:jc w:val="center"/>
              <w:rPr>
                <w:rFonts w:eastAsia="Times New Roman"/>
                <w:b/>
                <w:bCs/>
                <w:sz w:val="19"/>
                <w:szCs w:val="19"/>
                <w:lang w:eastAsia="hr-HR"/>
              </w:rPr>
            </w:pPr>
            <w:r w:rsidRPr="00E6617C">
              <w:rPr>
                <w:rFonts w:eastAsia="Times New Roman"/>
                <w:b/>
                <w:bCs/>
                <w:sz w:val="19"/>
                <w:szCs w:val="19"/>
                <w:lang w:eastAsia="hr-HR"/>
              </w:rPr>
              <w:t>Građevinski objekti</w:t>
            </w:r>
          </w:p>
        </w:tc>
        <w:tc>
          <w:tcPr>
            <w:tcW w:w="2154" w:type="dxa"/>
            <w:tcBorders>
              <w:top w:val="nil"/>
              <w:left w:val="nil"/>
              <w:bottom w:val="nil"/>
              <w:right w:val="nil"/>
            </w:tcBorders>
            <w:shd w:val="clear" w:color="auto" w:fill="auto"/>
            <w:vAlign w:val="center"/>
            <w:hideMark/>
          </w:tcPr>
          <w:p w:rsidR="00E6617C" w:rsidRPr="00E6617C" w:rsidRDefault="00E6617C" w:rsidP="00E6617C">
            <w:pPr>
              <w:spacing w:after="0" w:line="240" w:lineRule="auto"/>
              <w:jc w:val="center"/>
              <w:rPr>
                <w:rFonts w:eastAsia="Times New Roman"/>
                <w:b/>
                <w:bCs/>
                <w:sz w:val="19"/>
                <w:szCs w:val="19"/>
                <w:lang w:eastAsia="hr-HR"/>
              </w:rPr>
            </w:pPr>
            <w:r w:rsidRPr="00E6617C">
              <w:rPr>
                <w:rFonts w:eastAsia="Times New Roman"/>
                <w:b/>
                <w:bCs/>
                <w:sz w:val="19"/>
                <w:szCs w:val="19"/>
                <w:lang w:eastAsia="hr-HR"/>
              </w:rPr>
              <w:t>Postrojenja i oprema</w:t>
            </w:r>
          </w:p>
        </w:tc>
        <w:tc>
          <w:tcPr>
            <w:tcW w:w="2154" w:type="dxa"/>
            <w:tcBorders>
              <w:top w:val="nil"/>
              <w:left w:val="nil"/>
              <w:bottom w:val="nil"/>
              <w:right w:val="nil"/>
            </w:tcBorders>
            <w:shd w:val="clear" w:color="auto" w:fill="auto"/>
            <w:vAlign w:val="center"/>
            <w:hideMark/>
          </w:tcPr>
          <w:p w:rsidR="00E6617C" w:rsidRPr="00E6617C" w:rsidRDefault="00E6617C" w:rsidP="00E6617C">
            <w:pPr>
              <w:spacing w:after="0" w:line="240" w:lineRule="auto"/>
              <w:jc w:val="center"/>
              <w:rPr>
                <w:rFonts w:eastAsia="Times New Roman"/>
                <w:b/>
                <w:bCs/>
                <w:color w:val="000000"/>
                <w:sz w:val="19"/>
                <w:szCs w:val="19"/>
                <w:lang w:eastAsia="hr-HR"/>
              </w:rPr>
            </w:pPr>
            <w:r w:rsidRPr="00E6617C">
              <w:rPr>
                <w:rFonts w:eastAsia="Times New Roman"/>
                <w:b/>
                <w:bCs/>
                <w:color w:val="000000"/>
                <w:sz w:val="19"/>
                <w:szCs w:val="19"/>
                <w:lang w:eastAsia="hr-HR"/>
              </w:rPr>
              <w:t>UKUPNO</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b/>
                <w:bCs/>
                <w:i/>
                <w:iCs/>
                <w:color w:val="000000"/>
                <w:sz w:val="19"/>
                <w:szCs w:val="19"/>
                <w:lang w:eastAsia="hr-HR"/>
              </w:rPr>
            </w:pPr>
            <w:r w:rsidRPr="00E6617C">
              <w:rPr>
                <w:rFonts w:eastAsia="Times New Roman"/>
                <w:b/>
                <w:bCs/>
                <w:i/>
                <w:iCs/>
                <w:color w:val="000000"/>
                <w:sz w:val="19"/>
                <w:szCs w:val="19"/>
                <w:lang w:eastAsia="hr-HR"/>
              </w:rPr>
              <w:t>Nabavna vrijednost</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color w:val="000000"/>
                <w:sz w:val="19"/>
                <w:szCs w:val="19"/>
                <w:lang w:eastAsia="hr-HR"/>
              </w:rPr>
            </w:pPr>
          </w:p>
        </w:tc>
      </w:tr>
      <w:tr w:rsidR="00050445" w:rsidRPr="00E6617C" w:rsidTr="00050445">
        <w:trPr>
          <w:trHeight w:val="102"/>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color w:val="000000"/>
                <w:sz w:val="19"/>
                <w:szCs w:val="19"/>
                <w:lang w:eastAsia="hr-HR"/>
              </w:rPr>
            </w:pP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Na dan 1. januara 2013</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4.586.557</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126.093</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4.712.650</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Povećanja</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18.165</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18.165</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Smanjenja</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6.198</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6.198</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Na dan 31. decembra 2013</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4.604.722</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119.895</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4.724.617</w:t>
            </w:r>
          </w:p>
        </w:tc>
      </w:tr>
      <w:tr w:rsidR="00050445" w:rsidRPr="00E6617C" w:rsidTr="00050445">
        <w:trPr>
          <w:trHeight w:val="102"/>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Povećanja</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166.421</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6.168</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172.589</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Smanjenja</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Na dan 31. decembra 2014</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166.421</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4.610.890</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119.895</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4.897.206</w:t>
            </w:r>
          </w:p>
        </w:tc>
      </w:tr>
      <w:tr w:rsidR="00050445" w:rsidRPr="00E6617C" w:rsidTr="00050445">
        <w:trPr>
          <w:trHeight w:val="102"/>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b/>
                <w:bCs/>
                <w:i/>
                <w:iCs/>
                <w:color w:val="000000"/>
                <w:sz w:val="19"/>
                <w:szCs w:val="19"/>
                <w:lang w:eastAsia="hr-HR"/>
              </w:rPr>
            </w:pPr>
            <w:r w:rsidRPr="00E6617C">
              <w:rPr>
                <w:rFonts w:eastAsia="Times New Roman"/>
                <w:b/>
                <w:bCs/>
                <w:i/>
                <w:iCs/>
                <w:color w:val="000000"/>
                <w:sz w:val="19"/>
                <w:szCs w:val="19"/>
                <w:lang w:eastAsia="hr-HR"/>
              </w:rPr>
              <w:t>Ispravka vrijednosti</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r>
      <w:tr w:rsidR="00050445" w:rsidRPr="00E6617C" w:rsidTr="00050445">
        <w:trPr>
          <w:trHeight w:val="102"/>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Na dan 1. januara 2013</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254.111</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37.713</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291.824</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Amortizacija za godinu</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9.000</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325</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9.325</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Smanjenja</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6.198</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6.198</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Na dan 31. decembra 2013</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263.111</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31.840</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294.951</w:t>
            </w:r>
          </w:p>
        </w:tc>
      </w:tr>
      <w:tr w:rsidR="00050445" w:rsidRPr="00E6617C" w:rsidTr="00050445">
        <w:trPr>
          <w:trHeight w:val="102"/>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b/>
                <w:bCs/>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Amortizacija za godinu</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7.000</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145</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7.145</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Smanjenja</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Na dan 31. decembra 2014</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270.111</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31.985</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302.096</w:t>
            </w:r>
          </w:p>
        </w:tc>
      </w:tr>
      <w:tr w:rsidR="00050445" w:rsidRPr="00E6617C" w:rsidTr="00050445">
        <w:trPr>
          <w:trHeight w:val="102"/>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b/>
                <w:bCs/>
                <w:i/>
                <w:iCs/>
                <w:color w:val="000000"/>
                <w:sz w:val="19"/>
                <w:szCs w:val="19"/>
                <w:lang w:eastAsia="hr-HR"/>
              </w:rPr>
            </w:pPr>
            <w:r w:rsidRPr="00E6617C">
              <w:rPr>
                <w:rFonts w:eastAsia="Times New Roman"/>
                <w:b/>
                <w:bCs/>
                <w:i/>
                <w:iCs/>
                <w:color w:val="000000"/>
                <w:sz w:val="19"/>
                <w:szCs w:val="19"/>
                <w:lang w:eastAsia="hr-HR"/>
              </w:rPr>
              <w:t>Neto knjigovodstvena vrijednost</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w:t>
            </w:r>
          </w:p>
        </w:tc>
      </w:tr>
      <w:tr w:rsidR="00050445" w:rsidRPr="00E6617C" w:rsidTr="00050445">
        <w:trPr>
          <w:trHeight w:val="102"/>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b/>
                <w:bCs/>
                <w:i/>
                <w:iCs/>
                <w:color w:val="000000"/>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color w:val="000000"/>
                <w:sz w:val="19"/>
                <w:szCs w:val="19"/>
                <w:lang w:eastAsia="hr-HR"/>
              </w:rPr>
            </w:pPr>
            <w:r w:rsidRPr="00E6617C">
              <w:rPr>
                <w:rFonts w:eastAsia="Times New Roman"/>
                <w:color w:val="000000"/>
                <w:sz w:val="19"/>
                <w:szCs w:val="19"/>
                <w:lang w:eastAsia="hr-HR"/>
              </w:rPr>
              <w:t>Na dan 31. decembra 2013</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4.341.611</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88.055</w:t>
            </w:r>
          </w:p>
        </w:tc>
        <w:tc>
          <w:tcPr>
            <w:tcW w:w="2154"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right"/>
              <w:rPr>
                <w:rFonts w:eastAsia="Times New Roman"/>
                <w:sz w:val="19"/>
                <w:szCs w:val="19"/>
                <w:lang w:eastAsia="hr-HR"/>
              </w:rPr>
            </w:pPr>
            <w:r w:rsidRPr="00E6617C">
              <w:rPr>
                <w:rFonts w:eastAsia="Times New Roman"/>
                <w:sz w:val="19"/>
                <w:szCs w:val="19"/>
                <w:lang w:eastAsia="hr-HR"/>
              </w:rPr>
              <w:t>4.429.666</w:t>
            </w:r>
          </w:p>
        </w:tc>
      </w:tr>
      <w:tr w:rsidR="00050445" w:rsidRPr="00E6617C" w:rsidTr="00050445">
        <w:trPr>
          <w:trHeight w:val="300"/>
        </w:trPr>
        <w:tc>
          <w:tcPr>
            <w:tcW w:w="5159" w:type="dxa"/>
            <w:tcBorders>
              <w:top w:val="nil"/>
              <w:left w:val="nil"/>
              <w:bottom w:val="nil"/>
              <w:right w:val="nil"/>
            </w:tcBorders>
            <w:shd w:val="clear" w:color="auto" w:fill="auto"/>
            <w:noWrap/>
            <w:vAlign w:val="center"/>
            <w:hideMark/>
          </w:tcPr>
          <w:p w:rsidR="00E6617C" w:rsidRPr="00E6617C" w:rsidRDefault="00E6617C" w:rsidP="00E6617C">
            <w:pPr>
              <w:spacing w:after="0" w:line="240" w:lineRule="auto"/>
              <w:jc w:val="left"/>
              <w:rPr>
                <w:rFonts w:eastAsia="Times New Roman"/>
                <w:b/>
                <w:bCs/>
                <w:color w:val="000000"/>
                <w:sz w:val="19"/>
                <w:szCs w:val="19"/>
                <w:lang w:eastAsia="hr-HR"/>
              </w:rPr>
            </w:pPr>
            <w:r w:rsidRPr="00E6617C">
              <w:rPr>
                <w:rFonts w:eastAsia="Times New Roman"/>
                <w:b/>
                <w:bCs/>
                <w:color w:val="000000"/>
                <w:sz w:val="19"/>
                <w:szCs w:val="19"/>
                <w:lang w:eastAsia="hr-HR"/>
              </w:rPr>
              <w:t>Na dan 31. decembra 2014</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166.421</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4.340.779</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87.910</w:t>
            </w:r>
          </w:p>
        </w:tc>
        <w:tc>
          <w:tcPr>
            <w:tcW w:w="2154" w:type="dxa"/>
            <w:tcBorders>
              <w:top w:val="nil"/>
              <w:left w:val="nil"/>
              <w:bottom w:val="single" w:sz="4" w:space="0" w:color="auto"/>
              <w:right w:val="nil"/>
            </w:tcBorders>
            <w:shd w:val="clear" w:color="auto" w:fill="auto"/>
            <w:noWrap/>
            <w:vAlign w:val="center"/>
            <w:hideMark/>
          </w:tcPr>
          <w:p w:rsidR="00E6617C" w:rsidRPr="00E6617C" w:rsidRDefault="00E6617C" w:rsidP="00E6617C">
            <w:pPr>
              <w:spacing w:after="0" w:line="240" w:lineRule="auto"/>
              <w:jc w:val="right"/>
              <w:rPr>
                <w:rFonts w:eastAsia="Times New Roman"/>
                <w:b/>
                <w:bCs/>
                <w:sz w:val="19"/>
                <w:szCs w:val="19"/>
                <w:lang w:eastAsia="hr-HR"/>
              </w:rPr>
            </w:pPr>
            <w:r w:rsidRPr="00E6617C">
              <w:rPr>
                <w:rFonts w:eastAsia="Times New Roman"/>
                <w:b/>
                <w:bCs/>
                <w:sz w:val="19"/>
                <w:szCs w:val="19"/>
                <w:lang w:eastAsia="hr-HR"/>
              </w:rPr>
              <w:t>4.595.110</w:t>
            </w:r>
          </w:p>
        </w:tc>
      </w:tr>
    </w:tbl>
    <w:p w:rsidR="00E6617C" w:rsidRDefault="00E6617C" w:rsidP="009F4F6A">
      <w:pPr>
        <w:spacing w:after="0"/>
        <w:rPr>
          <w:sz w:val="19"/>
          <w:szCs w:val="19"/>
          <w:lang w:val="hr-BA"/>
        </w:rPr>
      </w:pPr>
    </w:p>
    <w:p w:rsidR="00033768" w:rsidRDefault="00033768" w:rsidP="00A70EA5">
      <w:pPr>
        <w:tabs>
          <w:tab w:val="left" w:pos="2010"/>
        </w:tabs>
        <w:spacing w:after="0"/>
        <w:rPr>
          <w:sz w:val="19"/>
          <w:szCs w:val="19"/>
          <w:lang w:val="hr-BA"/>
        </w:rPr>
        <w:sectPr w:rsidR="00033768" w:rsidSect="00033768">
          <w:pgSz w:w="16838" w:h="11906" w:orient="landscape"/>
          <w:pgMar w:top="1417" w:right="1417" w:bottom="1417" w:left="1417" w:header="708" w:footer="708" w:gutter="0"/>
          <w:cols w:space="708"/>
          <w:docGrid w:linePitch="360"/>
        </w:sectPr>
      </w:pPr>
    </w:p>
    <w:p w:rsidR="00E6617C" w:rsidRDefault="00E6617C" w:rsidP="00E6617C">
      <w:pPr>
        <w:pStyle w:val="ListParagraph"/>
        <w:numPr>
          <w:ilvl w:val="0"/>
          <w:numId w:val="1"/>
        </w:numPr>
        <w:spacing w:after="0"/>
        <w:contextualSpacing w:val="0"/>
        <w:rPr>
          <w:b/>
          <w:sz w:val="19"/>
          <w:szCs w:val="19"/>
          <w:lang w:bidi="hr-HR"/>
        </w:rPr>
      </w:pPr>
      <w:r>
        <w:rPr>
          <w:b/>
          <w:sz w:val="19"/>
          <w:szCs w:val="19"/>
          <w:lang w:bidi="hr-HR"/>
        </w:rPr>
        <w:lastRenderedPageBreak/>
        <w:t>DUGOROČNI FINANSIJSKI PLASMANI</w:t>
      </w:r>
    </w:p>
    <w:p w:rsidR="00E6617C" w:rsidRDefault="00E6617C" w:rsidP="00E6617C">
      <w:pPr>
        <w:spacing w:after="0"/>
        <w:rPr>
          <w:sz w:val="19"/>
          <w:szCs w:val="19"/>
          <w:lang w:val="hr-BA"/>
        </w:rPr>
      </w:pPr>
    </w:p>
    <w:tbl>
      <w:tblPr>
        <w:tblW w:w="9184" w:type="dxa"/>
        <w:tblInd w:w="108" w:type="dxa"/>
        <w:tblLook w:val="04A0"/>
      </w:tblPr>
      <w:tblGrid>
        <w:gridCol w:w="6176"/>
        <w:gridCol w:w="1356"/>
        <w:gridCol w:w="296"/>
        <w:gridCol w:w="1356"/>
      </w:tblGrid>
      <w:tr w:rsidR="00E6617C" w:rsidRPr="00E6617C" w:rsidTr="008162AC">
        <w:trPr>
          <w:trHeight w:val="300"/>
        </w:trPr>
        <w:tc>
          <w:tcPr>
            <w:tcW w:w="617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b/>
                <w:bCs/>
                <w:color w:val="000000"/>
                <w:sz w:val="19"/>
                <w:szCs w:val="19"/>
                <w:lang w:eastAsia="hr-HR"/>
              </w:rPr>
            </w:pPr>
            <w:r w:rsidRPr="00E6617C">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b/>
                <w:bCs/>
                <w:color w:val="000000"/>
                <w:sz w:val="19"/>
                <w:szCs w:val="19"/>
                <w:lang w:eastAsia="hr-HR"/>
              </w:rPr>
            </w:pPr>
            <w:r w:rsidRPr="00E6617C">
              <w:rPr>
                <w:rFonts w:eastAsia="Times New Roman"/>
                <w:b/>
                <w:bCs/>
                <w:color w:val="000000"/>
                <w:sz w:val="19"/>
                <w:szCs w:val="19"/>
                <w:lang w:eastAsia="hr-HR"/>
              </w:rPr>
              <w:t>2013</w:t>
            </w:r>
          </w:p>
        </w:tc>
      </w:tr>
      <w:tr w:rsidR="00E6617C" w:rsidRPr="00E6617C" w:rsidTr="008162AC">
        <w:trPr>
          <w:trHeight w:val="300"/>
        </w:trPr>
        <w:tc>
          <w:tcPr>
            <w:tcW w:w="617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color w:val="000000"/>
                <w:sz w:val="19"/>
                <w:szCs w:val="19"/>
                <w:lang w:eastAsia="hr-HR"/>
              </w:rPr>
            </w:pPr>
          </w:p>
        </w:tc>
      </w:tr>
      <w:tr w:rsidR="00E6617C" w:rsidRPr="00E6617C" w:rsidTr="008162AC">
        <w:trPr>
          <w:trHeight w:val="300"/>
        </w:trPr>
        <w:tc>
          <w:tcPr>
            <w:tcW w:w="617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left"/>
              <w:rPr>
                <w:rFonts w:eastAsia="Times New Roman"/>
                <w:sz w:val="19"/>
                <w:szCs w:val="19"/>
                <w:lang w:eastAsia="hr-HR"/>
              </w:rPr>
            </w:pPr>
            <w:r w:rsidRPr="00E6617C">
              <w:rPr>
                <w:rFonts w:eastAsia="Times New Roman"/>
                <w:sz w:val="19"/>
                <w:szCs w:val="19"/>
                <w:lang w:eastAsia="hr-HR"/>
              </w:rPr>
              <w:t>Dugoročni krediti da</w:t>
            </w:r>
            <w:r>
              <w:rPr>
                <w:rFonts w:eastAsia="Times New Roman"/>
                <w:sz w:val="19"/>
                <w:szCs w:val="19"/>
                <w:lang w:eastAsia="hr-HR"/>
              </w:rPr>
              <w:t>t</w:t>
            </w:r>
            <w:r w:rsidRPr="00E6617C">
              <w:rPr>
                <w:rFonts w:eastAsia="Times New Roman"/>
                <w:sz w:val="19"/>
                <w:szCs w:val="19"/>
                <w:lang w:eastAsia="hr-HR"/>
              </w:rPr>
              <w:t>i u zemlji</w:t>
            </w:r>
          </w:p>
        </w:tc>
        <w:tc>
          <w:tcPr>
            <w:tcW w:w="135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sz w:val="19"/>
                <w:szCs w:val="19"/>
                <w:lang w:eastAsia="hr-HR"/>
              </w:rPr>
            </w:pPr>
            <w:r w:rsidRPr="00E6617C">
              <w:rPr>
                <w:rFonts w:eastAsia="Times New Roman"/>
                <w:sz w:val="19"/>
                <w:szCs w:val="19"/>
                <w:lang w:eastAsia="hr-HR"/>
              </w:rPr>
              <w:t>14.390</w:t>
            </w:r>
          </w:p>
        </w:tc>
        <w:tc>
          <w:tcPr>
            <w:tcW w:w="29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sz w:val="19"/>
                <w:szCs w:val="19"/>
                <w:lang w:eastAsia="hr-HR"/>
              </w:rPr>
            </w:pPr>
            <w:r w:rsidRPr="00E6617C">
              <w:rPr>
                <w:rFonts w:eastAsia="Times New Roman"/>
                <w:sz w:val="19"/>
                <w:szCs w:val="19"/>
                <w:lang w:eastAsia="hr-HR"/>
              </w:rPr>
              <w:t>14.940</w:t>
            </w:r>
          </w:p>
        </w:tc>
      </w:tr>
      <w:tr w:rsidR="00E6617C" w:rsidRPr="00E6617C" w:rsidTr="008162AC">
        <w:trPr>
          <w:trHeight w:val="102"/>
        </w:trPr>
        <w:tc>
          <w:tcPr>
            <w:tcW w:w="617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sz w:val="19"/>
                <w:szCs w:val="19"/>
                <w:lang w:eastAsia="hr-HR"/>
              </w:rPr>
            </w:pPr>
          </w:p>
        </w:tc>
      </w:tr>
      <w:tr w:rsidR="00E6617C" w:rsidRPr="00E6617C" w:rsidTr="008162AC">
        <w:trPr>
          <w:trHeight w:val="300"/>
        </w:trPr>
        <w:tc>
          <w:tcPr>
            <w:tcW w:w="617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E6617C" w:rsidRPr="00E6617C" w:rsidRDefault="00E6617C" w:rsidP="008162AC">
            <w:pPr>
              <w:spacing w:after="0" w:line="240" w:lineRule="auto"/>
              <w:jc w:val="center"/>
              <w:rPr>
                <w:rFonts w:eastAsia="Times New Roman"/>
                <w:b/>
                <w:bCs/>
                <w:sz w:val="19"/>
                <w:szCs w:val="19"/>
                <w:lang w:eastAsia="hr-HR"/>
              </w:rPr>
            </w:pPr>
            <w:r w:rsidRPr="00E6617C">
              <w:rPr>
                <w:rFonts w:eastAsia="Times New Roman"/>
                <w:b/>
                <w:bCs/>
                <w:sz w:val="19"/>
                <w:szCs w:val="19"/>
                <w:lang w:eastAsia="hr-HR"/>
              </w:rPr>
              <w:t>14.390</w:t>
            </w:r>
          </w:p>
        </w:tc>
        <w:tc>
          <w:tcPr>
            <w:tcW w:w="296" w:type="dxa"/>
            <w:tcBorders>
              <w:top w:val="nil"/>
              <w:left w:val="nil"/>
              <w:bottom w:val="nil"/>
              <w:right w:val="nil"/>
            </w:tcBorders>
            <w:shd w:val="clear" w:color="auto" w:fill="auto"/>
            <w:noWrap/>
            <w:vAlign w:val="center"/>
            <w:hideMark/>
          </w:tcPr>
          <w:p w:rsidR="00E6617C" w:rsidRPr="00E6617C" w:rsidRDefault="00E6617C" w:rsidP="008162AC">
            <w:pPr>
              <w:spacing w:after="0" w:line="240" w:lineRule="auto"/>
              <w:jc w:val="center"/>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E6617C" w:rsidRPr="00E6617C" w:rsidRDefault="00E6617C" w:rsidP="008162AC">
            <w:pPr>
              <w:spacing w:after="0" w:line="240" w:lineRule="auto"/>
              <w:jc w:val="center"/>
              <w:rPr>
                <w:rFonts w:eastAsia="Times New Roman"/>
                <w:b/>
                <w:bCs/>
                <w:sz w:val="19"/>
                <w:szCs w:val="19"/>
                <w:lang w:eastAsia="hr-HR"/>
              </w:rPr>
            </w:pPr>
            <w:r w:rsidRPr="00E6617C">
              <w:rPr>
                <w:rFonts w:eastAsia="Times New Roman"/>
                <w:b/>
                <w:bCs/>
                <w:sz w:val="19"/>
                <w:szCs w:val="19"/>
                <w:lang w:eastAsia="hr-HR"/>
              </w:rPr>
              <w:t>14.940</w:t>
            </w:r>
          </w:p>
        </w:tc>
      </w:tr>
    </w:tbl>
    <w:p w:rsidR="00E6617C" w:rsidRDefault="00E6617C" w:rsidP="00E6617C">
      <w:pPr>
        <w:spacing w:after="0"/>
        <w:rPr>
          <w:sz w:val="19"/>
          <w:szCs w:val="19"/>
          <w:lang w:val="hr-BA"/>
        </w:rPr>
      </w:pPr>
    </w:p>
    <w:p w:rsidR="00202969" w:rsidRDefault="00202969" w:rsidP="0081469D">
      <w:pPr>
        <w:tabs>
          <w:tab w:val="left" w:pos="945"/>
        </w:tabs>
        <w:spacing w:after="0"/>
        <w:rPr>
          <w:sz w:val="19"/>
          <w:szCs w:val="19"/>
          <w:lang w:val="hr-BA"/>
        </w:rPr>
      </w:pPr>
    </w:p>
    <w:p w:rsidR="0060114B" w:rsidRDefault="0060114B" w:rsidP="0060114B">
      <w:pPr>
        <w:tabs>
          <w:tab w:val="left" w:pos="1110"/>
        </w:tabs>
        <w:spacing w:after="0"/>
        <w:rPr>
          <w:bCs/>
          <w:iCs/>
          <w:sz w:val="19"/>
          <w:szCs w:val="19"/>
          <w:lang w:val="hr-BA"/>
        </w:rPr>
      </w:pPr>
    </w:p>
    <w:p w:rsidR="0060114B" w:rsidRDefault="0060114B" w:rsidP="00033768">
      <w:pPr>
        <w:pStyle w:val="ListParagraph"/>
        <w:numPr>
          <w:ilvl w:val="0"/>
          <w:numId w:val="1"/>
        </w:numPr>
        <w:spacing w:after="0"/>
        <w:contextualSpacing w:val="0"/>
        <w:rPr>
          <w:b/>
          <w:sz w:val="19"/>
          <w:szCs w:val="19"/>
          <w:lang w:bidi="hr-HR"/>
        </w:rPr>
      </w:pPr>
      <w:r w:rsidRPr="00E80E5C">
        <w:rPr>
          <w:b/>
          <w:sz w:val="19"/>
          <w:szCs w:val="19"/>
          <w:lang w:bidi="hr-HR"/>
        </w:rPr>
        <w:t>NOVAC I NOVČANI EKVIVALENTI</w:t>
      </w:r>
    </w:p>
    <w:p w:rsidR="0060114B" w:rsidRDefault="0060114B" w:rsidP="0060114B">
      <w:pPr>
        <w:spacing w:after="0"/>
        <w:rPr>
          <w:sz w:val="19"/>
          <w:szCs w:val="19"/>
          <w:lang w:val="hr-BA"/>
        </w:rPr>
      </w:pPr>
    </w:p>
    <w:tbl>
      <w:tblPr>
        <w:tblW w:w="9184" w:type="dxa"/>
        <w:tblInd w:w="108" w:type="dxa"/>
        <w:tblLook w:val="04A0"/>
      </w:tblPr>
      <w:tblGrid>
        <w:gridCol w:w="6176"/>
        <w:gridCol w:w="1356"/>
        <w:gridCol w:w="296"/>
        <w:gridCol w:w="1356"/>
      </w:tblGrid>
      <w:tr w:rsidR="00050445" w:rsidRPr="00050445" w:rsidTr="00050445">
        <w:trPr>
          <w:trHeight w:val="300"/>
        </w:trPr>
        <w:tc>
          <w:tcPr>
            <w:tcW w:w="617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center"/>
              <w:rPr>
                <w:rFonts w:eastAsia="Times New Roman"/>
                <w:b/>
                <w:bCs/>
                <w:color w:val="000000"/>
                <w:sz w:val="19"/>
                <w:szCs w:val="19"/>
                <w:lang w:eastAsia="hr-HR"/>
              </w:rPr>
            </w:pPr>
            <w:r w:rsidRPr="00050445">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center"/>
              <w:rPr>
                <w:rFonts w:eastAsia="Times New Roman"/>
                <w:b/>
                <w:bCs/>
                <w:color w:val="000000"/>
                <w:sz w:val="19"/>
                <w:szCs w:val="19"/>
                <w:lang w:eastAsia="hr-HR"/>
              </w:rPr>
            </w:pPr>
            <w:r w:rsidRPr="00050445">
              <w:rPr>
                <w:rFonts w:eastAsia="Times New Roman"/>
                <w:b/>
                <w:bCs/>
                <w:color w:val="000000"/>
                <w:sz w:val="19"/>
                <w:szCs w:val="19"/>
                <w:lang w:eastAsia="hr-HR"/>
              </w:rPr>
              <w:t>2013</w:t>
            </w:r>
          </w:p>
        </w:tc>
      </w:tr>
      <w:tr w:rsidR="00050445" w:rsidRPr="00050445" w:rsidTr="00050445">
        <w:trPr>
          <w:trHeight w:val="300"/>
        </w:trPr>
        <w:tc>
          <w:tcPr>
            <w:tcW w:w="617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center"/>
              <w:rPr>
                <w:rFonts w:eastAsia="Times New Roman"/>
                <w:color w:val="000000"/>
                <w:sz w:val="19"/>
                <w:szCs w:val="19"/>
                <w:lang w:eastAsia="hr-HR"/>
              </w:rPr>
            </w:pPr>
          </w:p>
        </w:tc>
      </w:tr>
      <w:tr w:rsidR="00050445" w:rsidRPr="00050445" w:rsidTr="00050445">
        <w:trPr>
          <w:trHeight w:val="300"/>
        </w:trPr>
        <w:tc>
          <w:tcPr>
            <w:tcW w:w="617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left"/>
              <w:rPr>
                <w:rFonts w:eastAsia="Times New Roman"/>
                <w:sz w:val="19"/>
                <w:szCs w:val="19"/>
                <w:lang w:eastAsia="hr-HR"/>
              </w:rPr>
            </w:pPr>
            <w:r w:rsidRPr="00050445">
              <w:rPr>
                <w:rFonts w:eastAsia="Times New Roman"/>
                <w:sz w:val="19"/>
                <w:szCs w:val="19"/>
                <w:lang w:eastAsia="hr-HR"/>
              </w:rPr>
              <w:t>Transakcijski računi domaća valuta</w:t>
            </w:r>
          </w:p>
        </w:tc>
        <w:tc>
          <w:tcPr>
            <w:tcW w:w="135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right"/>
              <w:rPr>
                <w:rFonts w:eastAsia="Times New Roman"/>
                <w:sz w:val="19"/>
                <w:szCs w:val="19"/>
                <w:lang w:eastAsia="hr-HR"/>
              </w:rPr>
            </w:pPr>
            <w:r w:rsidRPr="00050445">
              <w:rPr>
                <w:rFonts w:eastAsia="Times New Roman"/>
                <w:sz w:val="19"/>
                <w:szCs w:val="19"/>
                <w:lang w:eastAsia="hr-HR"/>
              </w:rPr>
              <w:t>981</w:t>
            </w:r>
          </w:p>
        </w:tc>
        <w:tc>
          <w:tcPr>
            <w:tcW w:w="29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right"/>
              <w:rPr>
                <w:rFonts w:eastAsia="Times New Roman"/>
                <w:color w:val="000000"/>
                <w:sz w:val="19"/>
                <w:szCs w:val="19"/>
                <w:lang w:eastAsia="hr-HR"/>
              </w:rPr>
            </w:pPr>
            <w:r w:rsidRPr="00050445">
              <w:rPr>
                <w:rFonts w:eastAsia="Times New Roman"/>
                <w:color w:val="000000"/>
                <w:sz w:val="19"/>
                <w:szCs w:val="19"/>
                <w:lang w:eastAsia="hr-HR"/>
              </w:rPr>
              <w:t>36</w:t>
            </w:r>
          </w:p>
        </w:tc>
      </w:tr>
      <w:tr w:rsidR="00050445" w:rsidRPr="00050445" w:rsidTr="00050445">
        <w:trPr>
          <w:trHeight w:val="102"/>
        </w:trPr>
        <w:tc>
          <w:tcPr>
            <w:tcW w:w="617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050445" w:rsidRPr="00050445" w:rsidRDefault="00050445" w:rsidP="00050445">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050445" w:rsidRPr="00050445" w:rsidRDefault="00050445" w:rsidP="00050445">
            <w:pPr>
              <w:spacing w:after="0" w:line="240" w:lineRule="auto"/>
              <w:jc w:val="right"/>
              <w:rPr>
                <w:rFonts w:eastAsia="Times New Roman"/>
                <w:sz w:val="19"/>
                <w:szCs w:val="19"/>
                <w:lang w:eastAsia="hr-HR"/>
              </w:rPr>
            </w:pPr>
          </w:p>
        </w:tc>
      </w:tr>
      <w:tr w:rsidR="00050445" w:rsidRPr="00050445" w:rsidTr="00050445">
        <w:trPr>
          <w:trHeight w:val="300"/>
        </w:trPr>
        <w:tc>
          <w:tcPr>
            <w:tcW w:w="617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050445" w:rsidRPr="00050445" w:rsidRDefault="00050445" w:rsidP="00050445">
            <w:pPr>
              <w:spacing w:after="0" w:line="240" w:lineRule="auto"/>
              <w:jc w:val="right"/>
              <w:rPr>
                <w:rFonts w:eastAsia="Times New Roman"/>
                <w:b/>
                <w:bCs/>
                <w:sz w:val="19"/>
                <w:szCs w:val="19"/>
                <w:lang w:eastAsia="hr-HR"/>
              </w:rPr>
            </w:pPr>
            <w:r w:rsidRPr="00050445">
              <w:rPr>
                <w:rFonts w:eastAsia="Times New Roman"/>
                <w:b/>
                <w:bCs/>
                <w:sz w:val="19"/>
                <w:szCs w:val="19"/>
                <w:lang w:eastAsia="hr-HR"/>
              </w:rPr>
              <w:t>981</w:t>
            </w:r>
          </w:p>
        </w:tc>
        <w:tc>
          <w:tcPr>
            <w:tcW w:w="296" w:type="dxa"/>
            <w:tcBorders>
              <w:top w:val="nil"/>
              <w:left w:val="nil"/>
              <w:bottom w:val="nil"/>
              <w:right w:val="nil"/>
            </w:tcBorders>
            <w:shd w:val="clear" w:color="auto" w:fill="auto"/>
            <w:noWrap/>
            <w:vAlign w:val="center"/>
            <w:hideMark/>
          </w:tcPr>
          <w:p w:rsidR="00050445" w:rsidRPr="00050445" w:rsidRDefault="00050445" w:rsidP="00050445">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050445" w:rsidRPr="00050445" w:rsidRDefault="00050445" w:rsidP="00050445">
            <w:pPr>
              <w:spacing w:after="0" w:line="240" w:lineRule="auto"/>
              <w:jc w:val="right"/>
              <w:rPr>
                <w:rFonts w:eastAsia="Times New Roman"/>
                <w:b/>
                <w:bCs/>
                <w:sz w:val="19"/>
                <w:szCs w:val="19"/>
                <w:lang w:eastAsia="hr-HR"/>
              </w:rPr>
            </w:pPr>
            <w:r w:rsidRPr="00050445">
              <w:rPr>
                <w:rFonts w:eastAsia="Times New Roman"/>
                <w:b/>
                <w:bCs/>
                <w:sz w:val="19"/>
                <w:szCs w:val="19"/>
                <w:lang w:eastAsia="hr-HR"/>
              </w:rPr>
              <w:t>36</w:t>
            </w:r>
          </w:p>
        </w:tc>
      </w:tr>
    </w:tbl>
    <w:p w:rsidR="0060114B" w:rsidRDefault="0060114B" w:rsidP="0081469D">
      <w:pPr>
        <w:tabs>
          <w:tab w:val="left" w:pos="945"/>
        </w:tabs>
        <w:spacing w:after="0"/>
        <w:rPr>
          <w:sz w:val="19"/>
          <w:szCs w:val="19"/>
          <w:lang w:val="hr-BA"/>
        </w:rPr>
      </w:pPr>
    </w:p>
    <w:p w:rsidR="000A30EA" w:rsidRDefault="000A30EA" w:rsidP="0081469D">
      <w:pPr>
        <w:tabs>
          <w:tab w:val="left" w:pos="945"/>
        </w:tabs>
        <w:spacing w:after="0"/>
        <w:rPr>
          <w:sz w:val="19"/>
          <w:szCs w:val="19"/>
          <w:lang w:val="hr-BA"/>
        </w:rPr>
      </w:pPr>
    </w:p>
    <w:p w:rsidR="00CB7A73" w:rsidRDefault="00CB7A73" w:rsidP="00CB7A73">
      <w:pPr>
        <w:tabs>
          <w:tab w:val="left" w:pos="1110"/>
        </w:tabs>
        <w:spacing w:after="0"/>
        <w:rPr>
          <w:bCs/>
          <w:iCs/>
          <w:sz w:val="19"/>
          <w:szCs w:val="19"/>
          <w:lang w:val="hr-BA"/>
        </w:rPr>
      </w:pPr>
    </w:p>
    <w:p w:rsidR="00CB7A73" w:rsidRDefault="00CB7A73" w:rsidP="00CB7A73">
      <w:pPr>
        <w:pStyle w:val="ListParagraph"/>
        <w:numPr>
          <w:ilvl w:val="0"/>
          <w:numId w:val="1"/>
        </w:numPr>
        <w:spacing w:after="0"/>
        <w:contextualSpacing w:val="0"/>
        <w:rPr>
          <w:b/>
          <w:sz w:val="19"/>
          <w:szCs w:val="19"/>
          <w:lang w:bidi="hr-HR"/>
        </w:rPr>
      </w:pPr>
      <w:r>
        <w:rPr>
          <w:b/>
          <w:sz w:val="19"/>
          <w:szCs w:val="19"/>
          <w:lang w:bidi="hr-HR"/>
        </w:rPr>
        <w:t>POTRAŽIVANJA OD KUPACA</w:t>
      </w:r>
    </w:p>
    <w:p w:rsidR="00CB7A73" w:rsidRDefault="00CB7A73" w:rsidP="0081469D">
      <w:pPr>
        <w:tabs>
          <w:tab w:val="left" w:pos="945"/>
        </w:tabs>
        <w:spacing w:after="0"/>
        <w:rPr>
          <w:sz w:val="19"/>
          <w:szCs w:val="19"/>
          <w:lang w:val="hr-BA"/>
        </w:rPr>
      </w:pPr>
    </w:p>
    <w:tbl>
      <w:tblPr>
        <w:tblW w:w="9184" w:type="dxa"/>
        <w:tblInd w:w="108" w:type="dxa"/>
        <w:tblLook w:val="04A0"/>
      </w:tblPr>
      <w:tblGrid>
        <w:gridCol w:w="6176"/>
        <w:gridCol w:w="1356"/>
        <w:gridCol w:w="296"/>
        <w:gridCol w:w="1356"/>
      </w:tblGrid>
      <w:tr w:rsidR="00C772E1" w:rsidRPr="00C772E1" w:rsidTr="00C772E1">
        <w:trPr>
          <w:trHeight w:val="300"/>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b/>
                <w:bCs/>
                <w:color w:val="000000"/>
                <w:sz w:val="19"/>
                <w:szCs w:val="19"/>
                <w:lang w:eastAsia="hr-HR"/>
              </w:rPr>
            </w:pPr>
            <w:r w:rsidRPr="00C772E1">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b/>
                <w:bCs/>
                <w:color w:val="000000"/>
                <w:sz w:val="19"/>
                <w:szCs w:val="19"/>
                <w:lang w:eastAsia="hr-HR"/>
              </w:rPr>
            </w:pPr>
            <w:r w:rsidRPr="00C772E1">
              <w:rPr>
                <w:rFonts w:eastAsia="Times New Roman"/>
                <w:b/>
                <w:bCs/>
                <w:color w:val="000000"/>
                <w:sz w:val="19"/>
                <w:szCs w:val="19"/>
                <w:lang w:eastAsia="hr-HR"/>
              </w:rPr>
              <w:t>2013</w:t>
            </w:r>
          </w:p>
        </w:tc>
      </w:tr>
      <w:tr w:rsidR="00C772E1" w:rsidRPr="00C772E1" w:rsidTr="00C772E1">
        <w:trPr>
          <w:trHeight w:val="300"/>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r>
      <w:tr w:rsidR="00C772E1" w:rsidRPr="00C772E1" w:rsidTr="00C772E1">
        <w:trPr>
          <w:trHeight w:val="300"/>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left"/>
              <w:rPr>
                <w:rFonts w:eastAsia="Times New Roman"/>
                <w:sz w:val="19"/>
                <w:szCs w:val="19"/>
                <w:lang w:eastAsia="hr-HR"/>
              </w:rPr>
            </w:pPr>
            <w:r w:rsidRPr="00C772E1">
              <w:rPr>
                <w:rFonts w:eastAsia="Times New Roman"/>
                <w:sz w:val="19"/>
                <w:szCs w:val="19"/>
                <w:lang w:eastAsia="hr-HR"/>
              </w:rPr>
              <w:t>Kupci u zemlji</w:t>
            </w: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r w:rsidRPr="00C772E1">
              <w:rPr>
                <w:rFonts w:eastAsia="Times New Roman"/>
                <w:sz w:val="19"/>
                <w:szCs w:val="19"/>
                <w:lang w:eastAsia="hr-HR"/>
              </w:rPr>
              <w:t>3.434</w:t>
            </w: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r w:rsidRPr="00C772E1">
              <w:rPr>
                <w:rFonts w:eastAsia="Times New Roman"/>
                <w:sz w:val="19"/>
                <w:szCs w:val="19"/>
                <w:lang w:eastAsia="hr-HR"/>
              </w:rPr>
              <w:t>10.766</w:t>
            </w:r>
          </w:p>
        </w:tc>
      </w:tr>
      <w:tr w:rsidR="00C772E1" w:rsidRPr="00C772E1" w:rsidTr="00C772E1">
        <w:trPr>
          <w:trHeight w:val="102"/>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r>
      <w:tr w:rsidR="00C772E1" w:rsidRPr="00C772E1" w:rsidTr="00C772E1">
        <w:trPr>
          <w:trHeight w:val="300"/>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C772E1" w:rsidRPr="00C772E1" w:rsidRDefault="00C772E1" w:rsidP="00C772E1">
            <w:pPr>
              <w:spacing w:after="0" w:line="240" w:lineRule="auto"/>
              <w:jc w:val="right"/>
              <w:rPr>
                <w:rFonts w:eastAsia="Times New Roman"/>
                <w:b/>
                <w:bCs/>
                <w:sz w:val="19"/>
                <w:szCs w:val="19"/>
                <w:lang w:eastAsia="hr-HR"/>
              </w:rPr>
            </w:pPr>
            <w:r w:rsidRPr="00C772E1">
              <w:rPr>
                <w:rFonts w:eastAsia="Times New Roman"/>
                <w:b/>
                <w:bCs/>
                <w:sz w:val="19"/>
                <w:szCs w:val="19"/>
                <w:lang w:eastAsia="hr-HR"/>
              </w:rPr>
              <w:t>3.434</w:t>
            </w: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C772E1" w:rsidRPr="00C772E1" w:rsidRDefault="00C772E1" w:rsidP="00C772E1">
            <w:pPr>
              <w:spacing w:after="0" w:line="240" w:lineRule="auto"/>
              <w:jc w:val="right"/>
              <w:rPr>
                <w:rFonts w:eastAsia="Times New Roman"/>
                <w:b/>
                <w:bCs/>
                <w:sz w:val="19"/>
                <w:szCs w:val="19"/>
                <w:lang w:eastAsia="hr-HR"/>
              </w:rPr>
            </w:pPr>
            <w:r w:rsidRPr="00C772E1">
              <w:rPr>
                <w:rFonts w:eastAsia="Times New Roman"/>
                <w:b/>
                <w:bCs/>
                <w:sz w:val="19"/>
                <w:szCs w:val="19"/>
                <w:lang w:eastAsia="hr-HR"/>
              </w:rPr>
              <w:t>10.766</w:t>
            </w:r>
          </w:p>
        </w:tc>
      </w:tr>
    </w:tbl>
    <w:p w:rsidR="00CB7A73" w:rsidRDefault="00CB7A73" w:rsidP="0081469D">
      <w:pPr>
        <w:tabs>
          <w:tab w:val="left" w:pos="945"/>
        </w:tabs>
        <w:spacing w:after="0"/>
        <w:rPr>
          <w:sz w:val="19"/>
          <w:szCs w:val="19"/>
          <w:lang w:val="hr-BA"/>
        </w:rPr>
      </w:pPr>
    </w:p>
    <w:p w:rsidR="00CB7A73" w:rsidRDefault="00CB7A73" w:rsidP="0081469D">
      <w:pPr>
        <w:tabs>
          <w:tab w:val="left" w:pos="945"/>
        </w:tabs>
        <w:spacing w:after="0"/>
        <w:rPr>
          <w:sz w:val="19"/>
          <w:szCs w:val="19"/>
          <w:lang w:val="hr-BA"/>
        </w:rPr>
      </w:pPr>
    </w:p>
    <w:p w:rsidR="000A30EA" w:rsidRDefault="000A30EA" w:rsidP="000A30EA">
      <w:pPr>
        <w:spacing w:after="0"/>
        <w:rPr>
          <w:sz w:val="19"/>
          <w:szCs w:val="19"/>
          <w:lang w:val="hr-BA"/>
        </w:rPr>
      </w:pPr>
    </w:p>
    <w:p w:rsidR="000A30EA" w:rsidRPr="000A30EA" w:rsidRDefault="000A30EA" w:rsidP="00CB7A73">
      <w:pPr>
        <w:pStyle w:val="ListParagraph"/>
        <w:numPr>
          <w:ilvl w:val="0"/>
          <w:numId w:val="1"/>
        </w:numPr>
        <w:spacing w:after="0"/>
        <w:contextualSpacing w:val="0"/>
        <w:rPr>
          <w:sz w:val="19"/>
          <w:szCs w:val="19"/>
          <w:lang w:val="hr-BA"/>
        </w:rPr>
      </w:pPr>
      <w:r w:rsidRPr="000A30EA">
        <w:rPr>
          <w:b/>
          <w:sz w:val="19"/>
          <w:szCs w:val="19"/>
          <w:lang w:bidi="hr-HR"/>
        </w:rPr>
        <w:t>OSTALA KRATKOROČNA POTRAŽIVANJA</w:t>
      </w:r>
    </w:p>
    <w:p w:rsidR="000A30EA" w:rsidRDefault="000A30EA" w:rsidP="0081469D">
      <w:pPr>
        <w:tabs>
          <w:tab w:val="left" w:pos="945"/>
        </w:tabs>
        <w:spacing w:after="0"/>
        <w:rPr>
          <w:sz w:val="19"/>
          <w:szCs w:val="19"/>
          <w:lang w:val="hr-BA"/>
        </w:rPr>
      </w:pPr>
    </w:p>
    <w:tbl>
      <w:tblPr>
        <w:tblW w:w="9184" w:type="dxa"/>
        <w:tblInd w:w="108" w:type="dxa"/>
        <w:tblLook w:val="04A0"/>
      </w:tblPr>
      <w:tblGrid>
        <w:gridCol w:w="6176"/>
        <w:gridCol w:w="1356"/>
        <w:gridCol w:w="296"/>
        <w:gridCol w:w="1356"/>
      </w:tblGrid>
      <w:tr w:rsidR="00C772E1" w:rsidRPr="00C772E1" w:rsidTr="00C772E1">
        <w:trPr>
          <w:trHeight w:val="300"/>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b/>
                <w:bCs/>
                <w:color w:val="000000"/>
                <w:sz w:val="19"/>
                <w:szCs w:val="19"/>
                <w:lang w:eastAsia="hr-HR"/>
              </w:rPr>
            </w:pPr>
            <w:r w:rsidRPr="00C772E1">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b/>
                <w:bCs/>
                <w:color w:val="000000"/>
                <w:sz w:val="19"/>
                <w:szCs w:val="19"/>
                <w:lang w:eastAsia="hr-HR"/>
              </w:rPr>
            </w:pPr>
            <w:r w:rsidRPr="00C772E1">
              <w:rPr>
                <w:rFonts w:eastAsia="Times New Roman"/>
                <w:b/>
                <w:bCs/>
                <w:color w:val="000000"/>
                <w:sz w:val="19"/>
                <w:szCs w:val="19"/>
                <w:lang w:eastAsia="hr-HR"/>
              </w:rPr>
              <w:t>2013</w:t>
            </w:r>
          </w:p>
        </w:tc>
      </w:tr>
      <w:tr w:rsidR="00C772E1" w:rsidRPr="00C772E1" w:rsidTr="00C772E1">
        <w:trPr>
          <w:trHeight w:val="300"/>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r>
      <w:tr w:rsidR="00C772E1" w:rsidRPr="00C772E1" w:rsidTr="00C772E1">
        <w:trPr>
          <w:trHeight w:val="300"/>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left"/>
              <w:rPr>
                <w:rFonts w:eastAsia="Times New Roman"/>
                <w:sz w:val="19"/>
                <w:szCs w:val="19"/>
                <w:lang w:eastAsia="hr-HR"/>
              </w:rPr>
            </w:pPr>
            <w:r w:rsidRPr="00C772E1">
              <w:rPr>
                <w:rFonts w:eastAsia="Times New Roman"/>
                <w:sz w:val="19"/>
                <w:szCs w:val="19"/>
                <w:lang w:eastAsia="hr-HR"/>
              </w:rPr>
              <w:t>Potraživanja za više plaćeni porez na dobit</w:t>
            </w: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r w:rsidRPr="00C772E1">
              <w:rPr>
                <w:rFonts w:eastAsia="Times New Roman"/>
                <w:sz w:val="19"/>
                <w:szCs w:val="19"/>
                <w:lang w:eastAsia="hr-HR"/>
              </w:rPr>
              <w:t>198</w:t>
            </w: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r>
      <w:tr w:rsidR="00C772E1" w:rsidRPr="00C772E1" w:rsidTr="00C772E1">
        <w:trPr>
          <w:trHeight w:val="300"/>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left"/>
              <w:rPr>
                <w:rFonts w:eastAsia="Times New Roman"/>
                <w:sz w:val="19"/>
                <w:szCs w:val="19"/>
                <w:lang w:eastAsia="hr-HR"/>
              </w:rPr>
            </w:pPr>
            <w:r w:rsidRPr="00C772E1">
              <w:rPr>
                <w:rFonts w:eastAsia="Times New Roman"/>
                <w:sz w:val="19"/>
                <w:szCs w:val="19"/>
                <w:lang w:eastAsia="hr-HR"/>
              </w:rPr>
              <w:t>Potraživanja od državnih organa i institucija</w:t>
            </w: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r w:rsidRPr="00C772E1">
              <w:rPr>
                <w:rFonts w:eastAsia="Times New Roman"/>
                <w:sz w:val="19"/>
                <w:szCs w:val="19"/>
                <w:lang w:eastAsia="hr-HR"/>
              </w:rPr>
              <w:t>240</w:t>
            </w:r>
          </w:p>
        </w:tc>
      </w:tr>
      <w:tr w:rsidR="00C772E1" w:rsidRPr="00C772E1" w:rsidTr="00C772E1">
        <w:trPr>
          <w:trHeight w:val="102"/>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sz w:val="19"/>
                <w:szCs w:val="19"/>
                <w:lang w:eastAsia="hr-HR"/>
              </w:rPr>
            </w:pPr>
          </w:p>
        </w:tc>
      </w:tr>
      <w:tr w:rsidR="00C772E1" w:rsidRPr="00C772E1" w:rsidTr="00C772E1">
        <w:trPr>
          <w:trHeight w:val="300"/>
        </w:trPr>
        <w:tc>
          <w:tcPr>
            <w:tcW w:w="617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C772E1" w:rsidRPr="00C772E1" w:rsidRDefault="00C772E1" w:rsidP="00C772E1">
            <w:pPr>
              <w:spacing w:after="0" w:line="240" w:lineRule="auto"/>
              <w:jc w:val="right"/>
              <w:rPr>
                <w:rFonts w:eastAsia="Times New Roman"/>
                <w:b/>
                <w:bCs/>
                <w:sz w:val="19"/>
                <w:szCs w:val="19"/>
                <w:lang w:eastAsia="hr-HR"/>
              </w:rPr>
            </w:pPr>
            <w:r w:rsidRPr="00C772E1">
              <w:rPr>
                <w:rFonts w:eastAsia="Times New Roman"/>
                <w:b/>
                <w:bCs/>
                <w:sz w:val="19"/>
                <w:szCs w:val="19"/>
                <w:lang w:eastAsia="hr-HR"/>
              </w:rPr>
              <w:t>198</w:t>
            </w:r>
          </w:p>
        </w:tc>
        <w:tc>
          <w:tcPr>
            <w:tcW w:w="296" w:type="dxa"/>
            <w:tcBorders>
              <w:top w:val="nil"/>
              <w:left w:val="nil"/>
              <w:bottom w:val="nil"/>
              <w:right w:val="nil"/>
            </w:tcBorders>
            <w:shd w:val="clear" w:color="auto" w:fill="auto"/>
            <w:noWrap/>
            <w:vAlign w:val="center"/>
            <w:hideMark/>
          </w:tcPr>
          <w:p w:rsidR="00C772E1" w:rsidRPr="00C772E1" w:rsidRDefault="00C772E1" w:rsidP="00C772E1">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C772E1" w:rsidRPr="00C772E1" w:rsidRDefault="00C772E1" w:rsidP="00C772E1">
            <w:pPr>
              <w:spacing w:after="0" w:line="240" w:lineRule="auto"/>
              <w:jc w:val="right"/>
              <w:rPr>
                <w:rFonts w:eastAsia="Times New Roman"/>
                <w:b/>
                <w:bCs/>
                <w:sz w:val="19"/>
                <w:szCs w:val="19"/>
                <w:lang w:eastAsia="hr-HR"/>
              </w:rPr>
            </w:pPr>
            <w:r w:rsidRPr="00C772E1">
              <w:rPr>
                <w:rFonts w:eastAsia="Times New Roman"/>
                <w:b/>
                <w:bCs/>
                <w:sz w:val="19"/>
                <w:szCs w:val="19"/>
                <w:lang w:eastAsia="hr-HR"/>
              </w:rPr>
              <w:t>240</w:t>
            </w:r>
          </w:p>
        </w:tc>
      </w:tr>
    </w:tbl>
    <w:p w:rsidR="000A30EA" w:rsidRDefault="000A30EA" w:rsidP="0081469D">
      <w:pPr>
        <w:tabs>
          <w:tab w:val="left" w:pos="945"/>
        </w:tabs>
        <w:spacing w:after="0"/>
        <w:rPr>
          <w:sz w:val="19"/>
          <w:szCs w:val="19"/>
          <w:lang w:val="hr-BA"/>
        </w:rPr>
      </w:pPr>
    </w:p>
    <w:p w:rsidR="000A30EA" w:rsidRDefault="000A30EA" w:rsidP="0081469D">
      <w:pPr>
        <w:tabs>
          <w:tab w:val="left" w:pos="945"/>
        </w:tabs>
        <w:spacing w:after="0"/>
        <w:rPr>
          <w:sz w:val="19"/>
          <w:szCs w:val="19"/>
          <w:lang w:val="hr-BA"/>
        </w:rPr>
      </w:pPr>
    </w:p>
    <w:p w:rsidR="000A30EA" w:rsidRDefault="000A30EA" w:rsidP="0081469D">
      <w:pPr>
        <w:tabs>
          <w:tab w:val="left" w:pos="945"/>
        </w:tabs>
        <w:spacing w:after="0"/>
        <w:rPr>
          <w:sz w:val="19"/>
          <w:szCs w:val="19"/>
          <w:lang w:val="hr-BA"/>
        </w:rPr>
      </w:pPr>
    </w:p>
    <w:p w:rsidR="0081469D" w:rsidRDefault="0081469D" w:rsidP="0081469D">
      <w:pPr>
        <w:spacing w:after="0"/>
        <w:rPr>
          <w:sz w:val="19"/>
          <w:szCs w:val="19"/>
          <w:lang w:val="hr-BA"/>
        </w:rPr>
      </w:pPr>
    </w:p>
    <w:p w:rsidR="00F149FD" w:rsidRDefault="00F149FD">
      <w:pPr>
        <w:rPr>
          <w:b/>
          <w:sz w:val="19"/>
          <w:szCs w:val="19"/>
          <w:lang w:bidi="hr-HR"/>
        </w:rPr>
      </w:pPr>
      <w:r>
        <w:rPr>
          <w:b/>
          <w:sz w:val="19"/>
          <w:szCs w:val="19"/>
          <w:lang w:bidi="hr-HR"/>
        </w:rPr>
        <w:br w:type="page"/>
      </w:r>
    </w:p>
    <w:p w:rsidR="009D6997" w:rsidRDefault="009D6997" w:rsidP="00CB7A73">
      <w:pPr>
        <w:pStyle w:val="ListParagraph"/>
        <w:numPr>
          <w:ilvl w:val="0"/>
          <w:numId w:val="1"/>
        </w:numPr>
        <w:spacing w:after="0"/>
        <w:contextualSpacing w:val="0"/>
        <w:rPr>
          <w:b/>
          <w:sz w:val="19"/>
          <w:szCs w:val="19"/>
          <w:lang w:bidi="hr-HR"/>
        </w:rPr>
      </w:pPr>
      <w:r>
        <w:rPr>
          <w:b/>
          <w:sz w:val="19"/>
          <w:szCs w:val="19"/>
          <w:lang w:bidi="hr-HR"/>
        </w:rPr>
        <w:lastRenderedPageBreak/>
        <w:t>KAPITAL</w:t>
      </w:r>
    </w:p>
    <w:p w:rsidR="009D6997" w:rsidRDefault="009D6997" w:rsidP="0081469D">
      <w:pPr>
        <w:spacing w:after="0"/>
        <w:rPr>
          <w:sz w:val="19"/>
          <w:szCs w:val="19"/>
          <w:lang w:val="hr-BA"/>
        </w:rPr>
      </w:pPr>
    </w:p>
    <w:tbl>
      <w:tblPr>
        <w:tblW w:w="9184" w:type="dxa"/>
        <w:tblInd w:w="108" w:type="dxa"/>
        <w:tblLook w:val="04A0"/>
      </w:tblPr>
      <w:tblGrid>
        <w:gridCol w:w="6176"/>
        <w:gridCol w:w="1356"/>
        <w:gridCol w:w="296"/>
        <w:gridCol w:w="1356"/>
      </w:tblGrid>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2013</w:t>
            </w: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Akcijski kapital</w:t>
            </w: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color w:val="000000"/>
                <w:sz w:val="19"/>
                <w:szCs w:val="19"/>
                <w:lang w:eastAsia="hr-HR"/>
              </w:rPr>
            </w:pPr>
            <w:r w:rsidRPr="008162AC">
              <w:rPr>
                <w:rFonts w:eastAsia="Times New Roman"/>
                <w:color w:val="000000"/>
                <w:sz w:val="19"/>
                <w:szCs w:val="19"/>
                <w:lang w:eastAsia="hr-HR"/>
              </w:rPr>
              <w:t>4.691.609</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color w:val="000000"/>
                <w:sz w:val="19"/>
                <w:szCs w:val="19"/>
                <w:lang w:eastAsia="hr-HR"/>
              </w:rPr>
            </w:pPr>
            <w:r w:rsidRPr="008162AC">
              <w:rPr>
                <w:rFonts w:eastAsia="Times New Roman"/>
                <w:color w:val="000000"/>
                <w:sz w:val="19"/>
                <w:szCs w:val="19"/>
                <w:lang w:eastAsia="hr-HR"/>
              </w:rPr>
              <w:t>4.691.609</w:t>
            </w: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Neraspoređeni dobitak tekuće godine</w:t>
            </w: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1.665</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color w:val="000000"/>
                <w:sz w:val="19"/>
                <w:szCs w:val="19"/>
                <w:lang w:eastAsia="hr-HR"/>
              </w:rPr>
            </w:pPr>
            <w:r w:rsidRPr="008162AC">
              <w:rPr>
                <w:rFonts w:eastAsia="Times New Roman"/>
                <w:color w:val="000000"/>
                <w:sz w:val="19"/>
                <w:szCs w:val="19"/>
                <w:lang w:eastAsia="hr-HR"/>
              </w:rPr>
              <w:t>984</w:t>
            </w: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color w:val="000000"/>
                <w:sz w:val="19"/>
                <w:szCs w:val="19"/>
                <w:lang w:eastAsia="hr-HR"/>
              </w:rPr>
            </w:pPr>
            <w:r w:rsidRPr="008162AC">
              <w:rPr>
                <w:rFonts w:eastAsia="Times New Roman"/>
                <w:color w:val="000000"/>
                <w:sz w:val="19"/>
                <w:szCs w:val="19"/>
                <w:lang w:eastAsia="hr-HR"/>
              </w:rPr>
              <w:t>Gubitak ranijih godina</w:t>
            </w: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(86.762)</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(87.746)</w:t>
            </w:r>
          </w:p>
        </w:tc>
      </w:tr>
      <w:tr w:rsidR="008162AC" w:rsidRPr="008162AC" w:rsidTr="008162AC">
        <w:trPr>
          <w:trHeight w:val="102"/>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4.606.512</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4.604.847</w:t>
            </w:r>
          </w:p>
        </w:tc>
      </w:tr>
    </w:tbl>
    <w:p w:rsidR="009D6997" w:rsidRDefault="009D6997" w:rsidP="0081469D">
      <w:pPr>
        <w:spacing w:after="0"/>
        <w:rPr>
          <w:sz w:val="19"/>
          <w:szCs w:val="19"/>
          <w:lang w:val="hr-BA"/>
        </w:rPr>
      </w:pPr>
    </w:p>
    <w:p w:rsidR="003272BB" w:rsidRDefault="003272BB" w:rsidP="0081469D">
      <w:pPr>
        <w:spacing w:after="0"/>
        <w:rPr>
          <w:sz w:val="19"/>
          <w:szCs w:val="19"/>
          <w:lang w:val="hr-BA"/>
        </w:rPr>
      </w:pPr>
    </w:p>
    <w:p w:rsidR="00DC7841" w:rsidRDefault="00DC7841" w:rsidP="00DC7841">
      <w:pPr>
        <w:spacing w:after="0"/>
        <w:rPr>
          <w:sz w:val="19"/>
          <w:szCs w:val="19"/>
          <w:lang w:val="hr-BA"/>
        </w:rPr>
      </w:pPr>
    </w:p>
    <w:p w:rsidR="0081469D" w:rsidRDefault="00411DBF" w:rsidP="00DC7841">
      <w:pPr>
        <w:pStyle w:val="ListParagraph"/>
        <w:numPr>
          <w:ilvl w:val="0"/>
          <w:numId w:val="1"/>
        </w:numPr>
        <w:spacing w:after="0"/>
        <w:contextualSpacing w:val="0"/>
        <w:rPr>
          <w:b/>
          <w:sz w:val="19"/>
          <w:szCs w:val="19"/>
          <w:lang w:bidi="hr-HR"/>
        </w:rPr>
      </w:pPr>
      <w:r>
        <w:rPr>
          <w:b/>
          <w:sz w:val="19"/>
          <w:szCs w:val="19"/>
          <w:lang w:bidi="hr-HR"/>
        </w:rPr>
        <w:t>OBAVEZE IZ POSLOVANJA</w:t>
      </w:r>
    </w:p>
    <w:p w:rsidR="0081469D" w:rsidRDefault="0081469D" w:rsidP="0081469D">
      <w:pPr>
        <w:spacing w:after="0"/>
        <w:rPr>
          <w:sz w:val="19"/>
          <w:szCs w:val="19"/>
          <w:lang w:val="hr-BA"/>
        </w:rPr>
      </w:pPr>
    </w:p>
    <w:tbl>
      <w:tblPr>
        <w:tblW w:w="9184" w:type="dxa"/>
        <w:tblInd w:w="108" w:type="dxa"/>
        <w:tblLook w:val="04A0"/>
      </w:tblPr>
      <w:tblGrid>
        <w:gridCol w:w="6176"/>
        <w:gridCol w:w="1356"/>
        <w:gridCol w:w="296"/>
        <w:gridCol w:w="1356"/>
      </w:tblGrid>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2013</w:t>
            </w: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sz w:val="19"/>
                <w:szCs w:val="19"/>
                <w:lang w:eastAsia="hr-HR"/>
              </w:rPr>
            </w:pPr>
            <w:r w:rsidRPr="008162AC">
              <w:rPr>
                <w:rFonts w:eastAsia="Times New Roman"/>
                <w:sz w:val="19"/>
                <w:szCs w:val="19"/>
                <w:lang w:eastAsia="hr-HR"/>
              </w:rPr>
              <w:t>Dobavljači u zemlji</w:t>
            </w: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2.678</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14.340</w:t>
            </w:r>
          </w:p>
        </w:tc>
      </w:tr>
      <w:tr w:rsidR="008162AC" w:rsidRPr="008162AC" w:rsidTr="008162AC">
        <w:trPr>
          <w:trHeight w:val="102"/>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2.678</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14.340</w:t>
            </w:r>
          </w:p>
        </w:tc>
      </w:tr>
    </w:tbl>
    <w:p w:rsidR="0081469D" w:rsidRDefault="0081469D" w:rsidP="0081469D">
      <w:pPr>
        <w:tabs>
          <w:tab w:val="left" w:pos="945"/>
        </w:tabs>
        <w:spacing w:after="0"/>
        <w:rPr>
          <w:sz w:val="19"/>
          <w:szCs w:val="19"/>
          <w:lang w:val="hr-BA"/>
        </w:rPr>
      </w:pPr>
    </w:p>
    <w:p w:rsidR="0081469D" w:rsidRDefault="0081469D" w:rsidP="0081469D">
      <w:pPr>
        <w:tabs>
          <w:tab w:val="left" w:pos="945"/>
        </w:tabs>
        <w:spacing w:after="0"/>
        <w:rPr>
          <w:sz w:val="19"/>
          <w:szCs w:val="19"/>
          <w:lang w:val="hr-BA"/>
        </w:rPr>
      </w:pPr>
    </w:p>
    <w:p w:rsidR="00321AB8" w:rsidRDefault="00321AB8" w:rsidP="00321AB8">
      <w:pPr>
        <w:spacing w:after="0"/>
        <w:rPr>
          <w:sz w:val="19"/>
          <w:szCs w:val="19"/>
          <w:lang w:val="hr-BA"/>
        </w:rPr>
      </w:pPr>
    </w:p>
    <w:p w:rsidR="00321AB8" w:rsidRPr="00321AB8" w:rsidRDefault="00321AB8" w:rsidP="00DC7841">
      <w:pPr>
        <w:pStyle w:val="ListParagraph"/>
        <w:numPr>
          <w:ilvl w:val="0"/>
          <w:numId w:val="1"/>
        </w:numPr>
        <w:spacing w:after="0"/>
        <w:contextualSpacing w:val="0"/>
        <w:rPr>
          <w:b/>
          <w:sz w:val="19"/>
          <w:szCs w:val="19"/>
          <w:lang w:val="hr-BA"/>
        </w:rPr>
      </w:pPr>
      <w:r w:rsidRPr="00321AB8">
        <w:rPr>
          <w:b/>
          <w:sz w:val="19"/>
          <w:szCs w:val="19"/>
          <w:lang w:val="hr-BA"/>
        </w:rPr>
        <w:t>OBAVEZE ZA ZARADE I NAKNADE ZARADA</w:t>
      </w:r>
    </w:p>
    <w:p w:rsidR="00321AB8" w:rsidRDefault="00321AB8" w:rsidP="0081469D">
      <w:pPr>
        <w:tabs>
          <w:tab w:val="left" w:pos="945"/>
        </w:tabs>
        <w:spacing w:after="0"/>
        <w:rPr>
          <w:sz w:val="19"/>
          <w:szCs w:val="19"/>
          <w:lang w:val="hr-BA"/>
        </w:rPr>
      </w:pPr>
    </w:p>
    <w:tbl>
      <w:tblPr>
        <w:tblW w:w="9184" w:type="dxa"/>
        <w:tblInd w:w="108" w:type="dxa"/>
        <w:tblLook w:val="04A0"/>
      </w:tblPr>
      <w:tblGrid>
        <w:gridCol w:w="6176"/>
        <w:gridCol w:w="1356"/>
        <w:gridCol w:w="296"/>
        <w:gridCol w:w="1356"/>
      </w:tblGrid>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2013</w:t>
            </w: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sz w:val="19"/>
                <w:szCs w:val="19"/>
                <w:lang w:eastAsia="hr-HR"/>
              </w:rPr>
            </w:pPr>
            <w:r w:rsidRPr="008162AC">
              <w:rPr>
                <w:rFonts w:eastAsia="Times New Roman"/>
                <w:sz w:val="19"/>
                <w:szCs w:val="19"/>
                <w:lang w:eastAsia="hr-HR"/>
              </w:rPr>
              <w:t>Obaveze za neto zarade i naknade</w:t>
            </w: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1.796</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1.011</w:t>
            </w: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sz w:val="19"/>
                <w:szCs w:val="19"/>
                <w:lang w:eastAsia="hr-HR"/>
              </w:rPr>
            </w:pPr>
            <w:r w:rsidRPr="008162AC">
              <w:rPr>
                <w:rFonts w:eastAsia="Times New Roman"/>
                <w:sz w:val="19"/>
                <w:szCs w:val="19"/>
                <w:lang w:eastAsia="hr-HR"/>
              </w:rPr>
              <w:t>Obaveze za porez na zarade i naknade</w:t>
            </w: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117</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121</w:t>
            </w: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sz w:val="19"/>
                <w:szCs w:val="19"/>
                <w:lang w:eastAsia="hr-HR"/>
              </w:rPr>
            </w:pPr>
            <w:r w:rsidRPr="008162AC">
              <w:rPr>
                <w:rFonts w:eastAsia="Times New Roman"/>
                <w:sz w:val="19"/>
                <w:szCs w:val="19"/>
                <w:lang w:eastAsia="hr-HR"/>
              </w:rPr>
              <w:t>Obaveze za doprinose</w:t>
            </w: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950</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523</w:t>
            </w:r>
          </w:p>
        </w:tc>
      </w:tr>
      <w:tr w:rsidR="008162AC" w:rsidRPr="008162AC" w:rsidTr="008162AC">
        <w:trPr>
          <w:trHeight w:val="102"/>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2.863</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1.655</w:t>
            </w:r>
          </w:p>
        </w:tc>
      </w:tr>
    </w:tbl>
    <w:p w:rsidR="00321AB8" w:rsidRDefault="00321AB8" w:rsidP="0081469D">
      <w:pPr>
        <w:tabs>
          <w:tab w:val="left" w:pos="945"/>
        </w:tabs>
        <w:spacing w:after="0"/>
        <w:rPr>
          <w:sz w:val="19"/>
          <w:szCs w:val="19"/>
          <w:lang w:val="hr-BA"/>
        </w:rPr>
      </w:pPr>
    </w:p>
    <w:p w:rsidR="00321AB8" w:rsidRDefault="00321AB8" w:rsidP="0081469D">
      <w:pPr>
        <w:tabs>
          <w:tab w:val="left" w:pos="945"/>
        </w:tabs>
        <w:spacing w:after="0"/>
        <w:rPr>
          <w:sz w:val="19"/>
          <w:szCs w:val="19"/>
          <w:lang w:val="hr-BA"/>
        </w:rPr>
      </w:pPr>
    </w:p>
    <w:p w:rsidR="00321AB8" w:rsidRDefault="00321AB8" w:rsidP="0081469D">
      <w:pPr>
        <w:tabs>
          <w:tab w:val="left" w:pos="945"/>
        </w:tabs>
        <w:spacing w:after="0"/>
        <w:rPr>
          <w:sz w:val="19"/>
          <w:szCs w:val="19"/>
          <w:lang w:val="hr-BA"/>
        </w:rPr>
      </w:pPr>
    </w:p>
    <w:p w:rsidR="00346BD5" w:rsidRPr="00F23921" w:rsidRDefault="00346BD5" w:rsidP="00DC7841">
      <w:pPr>
        <w:pStyle w:val="ListParagraph"/>
        <w:numPr>
          <w:ilvl w:val="0"/>
          <w:numId w:val="1"/>
        </w:numPr>
        <w:spacing w:after="0"/>
        <w:contextualSpacing w:val="0"/>
        <w:rPr>
          <w:sz w:val="19"/>
          <w:szCs w:val="19"/>
          <w:lang w:val="hr-BA"/>
        </w:rPr>
      </w:pPr>
      <w:r w:rsidRPr="00F23921">
        <w:rPr>
          <w:b/>
          <w:sz w:val="19"/>
          <w:szCs w:val="19"/>
          <w:lang w:bidi="hr-HR"/>
        </w:rPr>
        <w:t>OB</w:t>
      </w:r>
      <w:r w:rsidR="008162AC">
        <w:rPr>
          <w:b/>
          <w:sz w:val="19"/>
          <w:szCs w:val="19"/>
          <w:lang w:bidi="hr-HR"/>
        </w:rPr>
        <w:t>A</w:t>
      </w:r>
      <w:r w:rsidRPr="00F23921">
        <w:rPr>
          <w:b/>
          <w:sz w:val="19"/>
          <w:szCs w:val="19"/>
          <w:lang w:bidi="hr-HR"/>
        </w:rPr>
        <w:t xml:space="preserve">VEZE ZA </w:t>
      </w:r>
      <w:r w:rsidR="00857F9F">
        <w:rPr>
          <w:b/>
          <w:sz w:val="19"/>
          <w:szCs w:val="19"/>
          <w:lang w:bidi="hr-HR"/>
        </w:rPr>
        <w:t>PDV</w:t>
      </w:r>
    </w:p>
    <w:p w:rsidR="00346BD5" w:rsidRDefault="00346BD5" w:rsidP="00346BD5">
      <w:pPr>
        <w:tabs>
          <w:tab w:val="left" w:pos="945"/>
        </w:tabs>
        <w:spacing w:after="0"/>
        <w:rPr>
          <w:sz w:val="19"/>
          <w:szCs w:val="19"/>
          <w:lang w:val="hr-BA"/>
        </w:rPr>
      </w:pPr>
    </w:p>
    <w:tbl>
      <w:tblPr>
        <w:tblW w:w="9184" w:type="dxa"/>
        <w:tblInd w:w="108" w:type="dxa"/>
        <w:tblLook w:val="04A0"/>
      </w:tblPr>
      <w:tblGrid>
        <w:gridCol w:w="6176"/>
        <w:gridCol w:w="1356"/>
        <w:gridCol w:w="296"/>
        <w:gridCol w:w="1356"/>
      </w:tblGrid>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2013</w:t>
            </w: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sz w:val="19"/>
                <w:szCs w:val="19"/>
                <w:lang w:eastAsia="hr-HR"/>
              </w:rPr>
            </w:pP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sz w:val="19"/>
                <w:szCs w:val="19"/>
                <w:lang w:eastAsia="hr-HR"/>
              </w:rPr>
            </w:pPr>
            <w:r w:rsidRPr="008162AC">
              <w:rPr>
                <w:rFonts w:eastAsia="Times New Roman"/>
                <w:sz w:val="19"/>
                <w:szCs w:val="19"/>
                <w:lang w:eastAsia="hr-HR"/>
              </w:rPr>
              <w:t>Obaveze za PDV</w:t>
            </w: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1.140</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102"/>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1.140</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w:t>
            </w:r>
          </w:p>
        </w:tc>
      </w:tr>
    </w:tbl>
    <w:p w:rsidR="00346BD5" w:rsidRDefault="00346BD5" w:rsidP="00FA29FA">
      <w:pPr>
        <w:spacing w:after="0"/>
        <w:rPr>
          <w:sz w:val="19"/>
          <w:szCs w:val="19"/>
          <w:lang w:val="hr-BA"/>
        </w:rPr>
      </w:pPr>
    </w:p>
    <w:p w:rsidR="00857F9F" w:rsidRDefault="00857F9F" w:rsidP="00FA29FA">
      <w:pPr>
        <w:spacing w:after="0"/>
        <w:rPr>
          <w:sz w:val="19"/>
          <w:szCs w:val="19"/>
          <w:lang w:val="hr-BA"/>
        </w:rPr>
      </w:pPr>
    </w:p>
    <w:p w:rsidR="00DC7841" w:rsidRDefault="00DC7841" w:rsidP="00DC7841">
      <w:pPr>
        <w:tabs>
          <w:tab w:val="left" w:pos="945"/>
        </w:tabs>
        <w:spacing w:after="0"/>
        <w:rPr>
          <w:sz w:val="19"/>
          <w:szCs w:val="19"/>
          <w:lang w:val="hr-BA"/>
        </w:rPr>
      </w:pPr>
    </w:p>
    <w:p w:rsidR="003272BB" w:rsidRDefault="003272BB">
      <w:pPr>
        <w:rPr>
          <w:b/>
          <w:sz w:val="19"/>
          <w:szCs w:val="19"/>
          <w:lang w:bidi="hr-HR"/>
        </w:rPr>
      </w:pPr>
      <w:r>
        <w:rPr>
          <w:b/>
          <w:sz w:val="19"/>
          <w:szCs w:val="19"/>
          <w:lang w:bidi="hr-HR"/>
        </w:rPr>
        <w:br w:type="page"/>
      </w:r>
    </w:p>
    <w:p w:rsidR="00DC7841" w:rsidRPr="00F23921" w:rsidRDefault="00DC7841" w:rsidP="00DC7841">
      <w:pPr>
        <w:pStyle w:val="ListParagraph"/>
        <w:numPr>
          <w:ilvl w:val="0"/>
          <w:numId w:val="1"/>
        </w:numPr>
        <w:spacing w:after="0"/>
        <w:contextualSpacing w:val="0"/>
        <w:rPr>
          <w:sz w:val="19"/>
          <w:szCs w:val="19"/>
          <w:lang w:val="hr-BA"/>
        </w:rPr>
      </w:pPr>
      <w:r w:rsidRPr="00F23921">
        <w:rPr>
          <w:b/>
          <w:sz w:val="19"/>
          <w:szCs w:val="19"/>
          <w:lang w:bidi="hr-HR"/>
        </w:rPr>
        <w:lastRenderedPageBreak/>
        <w:t xml:space="preserve">OBVEZE ZA </w:t>
      </w:r>
      <w:r>
        <w:rPr>
          <w:b/>
          <w:sz w:val="19"/>
          <w:szCs w:val="19"/>
          <w:lang w:bidi="hr-HR"/>
        </w:rPr>
        <w:t>OSTALE POREZE, DOPRINOSE I DRUGE DAŽBINE</w:t>
      </w:r>
    </w:p>
    <w:p w:rsidR="00DC7841" w:rsidRDefault="00DC7841" w:rsidP="00DC7841">
      <w:pPr>
        <w:tabs>
          <w:tab w:val="left" w:pos="945"/>
        </w:tabs>
        <w:spacing w:after="0"/>
        <w:rPr>
          <w:sz w:val="19"/>
          <w:szCs w:val="19"/>
          <w:lang w:val="hr-BA"/>
        </w:rPr>
      </w:pPr>
    </w:p>
    <w:tbl>
      <w:tblPr>
        <w:tblW w:w="9184" w:type="dxa"/>
        <w:tblInd w:w="108" w:type="dxa"/>
        <w:tblLook w:val="04A0"/>
      </w:tblPr>
      <w:tblGrid>
        <w:gridCol w:w="6176"/>
        <w:gridCol w:w="1356"/>
        <w:gridCol w:w="296"/>
        <w:gridCol w:w="1356"/>
      </w:tblGrid>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2014</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b/>
                <w:bCs/>
                <w:color w:val="000000"/>
                <w:sz w:val="19"/>
                <w:szCs w:val="19"/>
                <w:lang w:eastAsia="hr-HR"/>
              </w:rPr>
            </w:pPr>
            <w:r w:rsidRPr="008162AC">
              <w:rPr>
                <w:rFonts w:eastAsia="Times New Roman"/>
                <w:b/>
                <w:bCs/>
                <w:color w:val="000000"/>
                <w:sz w:val="19"/>
                <w:szCs w:val="19"/>
                <w:lang w:eastAsia="hr-HR"/>
              </w:rPr>
              <w:t>2013</w:t>
            </w: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sz w:val="19"/>
                <w:szCs w:val="19"/>
                <w:lang w:eastAsia="hr-HR"/>
              </w:rPr>
            </w:pP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left"/>
              <w:rPr>
                <w:rFonts w:eastAsia="Times New Roman"/>
                <w:sz w:val="19"/>
                <w:szCs w:val="19"/>
                <w:lang w:eastAsia="hr-HR"/>
              </w:rPr>
            </w:pPr>
            <w:r w:rsidRPr="008162AC">
              <w:rPr>
                <w:rFonts w:eastAsia="Times New Roman"/>
                <w:sz w:val="19"/>
                <w:szCs w:val="19"/>
                <w:lang w:eastAsia="hr-HR"/>
              </w:rPr>
              <w:t>Obaveze za poreze, carine i druge dažbine</w:t>
            </w: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114</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r w:rsidRPr="008162AC">
              <w:rPr>
                <w:rFonts w:eastAsia="Times New Roman"/>
                <w:sz w:val="19"/>
                <w:szCs w:val="19"/>
                <w:lang w:eastAsia="hr-HR"/>
              </w:rPr>
              <w:t>56</w:t>
            </w:r>
          </w:p>
        </w:tc>
      </w:tr>
      <w:tr w:rsidR="008162AC" w:rsidRPr="008162AC" w:rsidTr="008162AC">
        <w:trPr>
          <w:trHeight w:val="102"/>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c>
          <w:tcPr>
            <w:tcW w:w="1356" w:type="dxa"/>
            <w:tcBorders>
              <w:top w:val="single" w:sz="4" w:space="0" w:color="auto"/>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sz w:val="19"/>
                <w:szCs w:val="19"/>
                <w:lang w:eastAsia="hr-HR"/>
              </w:rPr>
            </w:pPr>
          </w:p>
        </w:tc>
      </w:tr>
      <w:tr w:rsidR="008162AC" w:rsidRPr="008162AC" w:rsidTr="008162AC">
        <w:trPr>
          <w:trHeight w:val="300"/>
        </w:trPr>
        <w:tc>
          <w:tcPr>
            <w:tcW w:w="617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center"/>
              <w:rPr>
                <w:rFonts w:eastAsia="Times New Roman"/>
                <w:color w:val="000000"/>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114</w:t>
            </w:r>
          </w:p>
        </w:tc>
        <w:tc>
          <w:tcPr>
            <w:tcW w:w="296" w:type="dxa"/>
            <w:tcBorders>
              <w:top w:val="nil"/>
              <w:left w:val="nil"/>
              <w:bottom w:val="nil"/>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p>
        </w:tc>
        <w:tc>
          <w:tcPr>
            <w:tcW w:w="1356" w:type="dxa"/>
            <w:tcBorders>
              <w:top w:val="nil"/>
              <w:left w:val="nil"/>
              <w:bottom w:val="single" w:sz="4" w:space="0" w:color="auto"/>
              <w:right w:val="nil"/>
            </w:tcBorders>
            <w:shd w:val="clear" w:color="auto" w:fill="auto"/>
            <w:noWrap/>
            <w:vAlign w:val="center"/>
            <w:hideMark/>
          </w:tcPr>
          <w:p w:rsidR="008162AC" w:rsidRPr="008162AC" w:rsidRDefault="008162AC" w:rsidP="008162AC">
            <w:pPr>
              <w:spacing w:after="0" w:line="240" w:lineRule="auto"/>
              <w:jc w:val="right"/>
              <w:rPr>
                <w:rFonts w:eastAsia="Times New Roman"/>
                <w:b/>
                <w:bCs/>
                <w:sz w:val="19"/>
                <w:szCs w:val="19"/>
                <w:lang w:eastAsia="hr-HR"/>
              </w:rPr>
            </w:pPr>
            <w:r w:rsidRPr="008162AC">
              <w:rPr>
                <w:rFonts w:eastAsia="Times New Roman"/>
                <w:b/>
                <w:bCs/>
                <w:sz w:val="19"/>
                <w:szCs w:val="19"/>
                <w:lang w:eastAsia="hr-HR"/>
              </w:rPr>
              <w:t>56</w:t>
            </w:r>
          </w:p>
        </w:tc>
      </w:tr>
    </w:tbl>
    <w:p w:rsidR="00321AB8" w:rsidRDefault="00321AB8" w:rsidP="00FA29FA">
      <w:pPr>
        <w:spacing w:after="0"/>
        <w:rPr>
          <w:sz w:val="19"/>
          <w:szCs w:val="19"/>
          <w:lang w:val="hr-BA"/>
        </w:rPr>
      </w:pPr>
    </w:p>
    <w:p w:rsidR="00321AB8" w:rsidRDefault="00321AB8" w:rsidP="00FA29FA">
      <w:pPr>
        <w:spacing w:after="0"/>
        <w:rPr>
          <w:sz w:val="19"/>
          <w:szCs w:val="19"/>
          <w:lang w:val="hr-BA"/>
        </w:rPr>
      </w:pPr>
    </w:p>
    <w:p w:rsidR="00346BD5" w:rsidRDefault="00346BD5" w:rsidP="00FA29FA">
      <w:pPr>
        <w:spacing w:after="0"/>
        <w:rPr>
          <w:sz w:val="19"/>
          <w:szCs w:val="19"/>
          <w:lang w:val="hr-BA"/>
        </w:rPr>
      </w:pPr>
    </w:p>
    <w:p w:rsidR="004F2E88" w:rsidRPr="00F23921" w:rsidRDefault="004F2E88" w:rsidP="002C0F78">
      <w:pPr>
        <w:pStyle w:val="ListParagraph"/>
        <w:numPr>
          <w:ilvl w:val="0"/>
          <w:numId w:val="1"/>
        </w:numPr>
        <w:spacing w:after="0"/>
        <w:contextualSpacing w:val="0"/>
        <w:rPr>
          <w:sz w:val="19"/>
          <w:szCs w:val="19"/>
          <w:lang w:val="hr-BA"/>
        </w:rPr>
      </w:pPr>
      <w:r w:rsidRPr="004F2E88">
        <w:rPr>
          <w:b/>
          <w:sz w:val="19"/>
          <w:szCs w:val="19"/>
          <w:lang w:bidi="hr-HR"/>
        </w:rPr>
        <w:t>NAKNADNI DOGAĐAJI</w:t>
      </w:r>
    </w:p>
    <w:p w:rsidR="004F2E88" w:rsidRPr="004F2E88" w:rsidRDefault="004F2E88" w:rsidP="004F2E88">
      <w:pPr>
        <w:spacing w:after="0"/>
        <w:rPr>
          <w:b/>
          <w:bCs/>
          <w:sz w:val="19"/>
          <w:szCs w:val="19"/>
          <w:lang w:val="sr-Latn-BA"/>
        </w:rPr>
      </w:pPr>
    </w:p>
    <w:p w:rsidR="004F2E88" w:rsidRDefault="004F2E88" w:rsidP="004F2E88">
      <w:pPr>
        <w:spacing w:after="0"/>
        <w:rPr>
          <w:sz w:val="19"/>
          <w:szCs w:val="19"/>
          <w:lang w:val="sr-Latn-BA"/>
        </w:rPr>
      </w:pPr>
      <w:r w:rsidRPr="004F2E88">
        <w:rPr>
          <w:sz w:val="19"/>
          <w:szCs w:val="19"/>
          <w:lang w:val="sr-Latn-BA"/>
        </w:rPr>
        <w:t>Nije bilo događaja nakon datuma sastavljanja bilansa koji bi mogli imati utjecaja na prezentirana finansijska izvješća. Izjašnjenje revizora o naknadnim događajima koji su mogli eventualno utjecati na izvršene iskaze u finansijskim izvještajima</w:t>
      </w:r>
      <w:r w:rsidR="00924717">
        <w:rPr>
          <w:sz w:val="19"/>
          <w:szCs w:val="19"/>
          <w:lang w:val="sr-Latn-BA"/>
        </w:rPr>
        <w:t xml:space="preserve"> </w:t>
      </w:r>
      <w:r w:rsidRPr="004F2E88">
        <w:rPr>
          <w:sz w:val="19"/>
          <w:szCs w:val="19"/>
          <w:lang w:val="sr-Latn-BA"/>
        </w:rPr>
        <w:t>saveza za revidirani period poslovanja nije neophodno niti može utjecati na revizorsko mišljenje. Angažman na obavljanju revizije dogovoren je nakon što su finansijski izvještaji već usvojeni od strane uprave saveza i dostavljeni nadležnoj državnoj instituciji. U tom smislu, bilo kakve izmjene</w:t>
      </w:r>
      <w:r w:rsidR="00924717">
        <w:rPr>
          <w:sz w:val="19"/>
          <w:szCs w:val="19"/>
          <w:lang w:val="sr-Latn-BA"/>
        </w:rPr>
        <w:t xml:space="preserve"> </w:t>
      </w:r>
      <w:r w:rsidRPr="004F2E88">
        <w:rPr>
          <w:sz w:val="19"/>
          <w:szCs w:val="19"/>
          <w:lang w:val="sr-Latn-BA"/>
        </w:rPr>
        <w:t>podataka u finansijskim izvještajima prouzrokovane eventualnim naknadnim događajima moraju se provesti u tekućem obračunskom periodu, na jedan od načina propisanih MRS br. 8.</w:t>
      </w:r>
    </w:p>
    <w:p w:rsidR="004F2E88" w:rsidRDefault="004F2E88" w:rsidP="004F2E88">
      <w:pPr>
        <w:spacing w:after="0"/>
        <w:rPr>
          <w:sz w:val="19"/>
          <w:szCs w:val="19"/>
          <w:lang w:val="sr-Latn-BA"/>
        </w:rPr>
      </w:pPr>
    </w:p>
    <w:p w:rsidR="004F2E88" w:rsidRPr="004F2E88" w:rsidRDefault="004F2E88" w:rsidP="004F2E88">
      <w:pPr>
        <w:spacing w:after="0"/>
        <w:rPr>
          <w:b/>
          <w:bCs/>
          <w:sz w:val="19"/>
          <w:szCs w:val="19"/>
          <w:lang w:val="sr-Latn-BA"/>
        </w:rPr>
      </w:pPr>
    </w:p>
    <w:p w:rsidR="004F2E88" w:rsidRPr="004F2E88" w:rsidRDefault="004F2E88" w:rsidP="004F2E88">
      <w:pPr>
        <w:spacing w:after="0"/>
        <w:rPr>
          <w:sz w:val="19"/>
          <w:szCs w:val="19"/>
          <w:lang w:val="sr-Latn-BA"/>
        </w:rPr>
      </w:pPr>
    </w:p>
    <w:p w:rsidR="004F2E88" w:rsidRPr="004F2E88" w:rsidRDefault="004F2E88" w:rsidP="002C0F78">
      <w:pPr>
        <w:pStyle w:val="ListParagraph"/>
        <w:numPr>
          <w:ilvl w:val="0"/>
          <w:numId w:val="1"/>
        </w:numPr>
        <w:spacing w:after="0"/>
        <w:contextualSpacing w:val="0"/>
        <w:rPr>
          <w:b/>
          <w:sz w:val="19"/>
          <w:szCs w:val="19"/>
          <w:lang w:val="hr-BA"/>
        </w:rPr>
      </w:pPr>
      <w:bookmarkStart w:id="2" w:name="_Toc320206829"/>
      <w:r w:rsidRPr="004F2E88">
        <w:rPr>
          <w:b/>
          <w:sz w:val="19"/>
          <w:szCs w:val="19"/>
          <w:lang w:val="sr-Latn-BA"/>
        </w:rPr>
        <w:t>NAČELO STALNOSTI POSLOVANJA</w:t>
      </w:r>
      <w:bookmarkEnd w:id="2"/>
    </w:p>
    <w:p w:rsidR="004F2E88" w:rsidRPr="004F2E88" w:rsidRDefault="004F2E88" w:rsidP="004F2E88">
      <w:pPr>
        <w:spacing w:after="0"/>
        <w:rPr>
          <w:sz w:val="19"/>
          <w:szCs w:val="19"/>
          <w:lang w:val="sr-Latn-BA"/>
        </w:rPr>
      </w:pPr>
    </w:p>
    <w:p w:rsidR="004F2E88" w:rsidRPr="004F2E88" w:rsidRDefault="004F2E88" w:rsidP="004F2E88">
      <w:pPr>
        <w:spacing w:after="0"/>
        <w:rPr>
          <w:sz w:val="19"/>
          <w:szCs w:val="19"/>
          <w:lang w:val="sr-Latn-BA"/>
        </w:rPr>
      </w:pPr>
      <w:r w:rsidRPr="004F2E88">
        <w:rPr>
          <w:sz w:val="19"/>
          <w:szCs w:val="19"/>
          <w:lang w:val="sr-Latn-BA"/>
        </w:rPr>
        <w:t>U skladu sa Međunarodnim standardom revizije u kojem se razmatra načelo stalnosti, prilikom planiranja i izvršavanja postupaka revizije i ocjene dobijenih rezultata, revizor treba razmotriti ispravnost pretpostavke o načelu stalnosti poslovanja pravnog lica.</w:t>
      </w:r>
    </w:p>
    <w:p w:rsidR="004F2E88" w:rsidRPr="004F2E88" w:rsidRDefault="004F2E88" w:rsidP="004F2E88">
      <w:pPr>
        <w:spacing w:after="0"/>
        <w:rPr>
          <w:sz w:val="19"/>
          <w:szCs w:val="19"/>
          <w:lang w:val="sr-Latn-BA"/>
        </w:rPr>
      </w:pPr>
    </w:p>
    <w:p w:rsidR="004F2E88" w:rsidRPr="004F2E88" w:rsidRDefault="004F2E88" w:rsidP="004F2E88">
      <w:pPr>
        <w:spacing w:after="0"/>
        <w:rPr>
          <w:sz w:val="19"/>
          <w:szCs w:val="19"/>
          <w:lang w:val="sr-Latn-BA"/>
        </w:rPr>
      </w:pPr>
      <w:r w:rsidRPr="004F2E88">
        <w:rPr>
          <w:sz w:val="19"/>
          <w:szCs w:val="19"/>
          <w:lang w:val="sr-Latn-BA"/>
        </w:rPr>
        <w:t>Iz poslovanja koje se nastavlja i u 201</w:t>
      </w:r>
      <w:r>
        <w:rPr>
          <w:sz w:val="19"/>
          <w:szCs w:val="19"/>
          <w:lang w:val="sr-Latn-BA"/>
        </w:rPr>
        <w:t>5</w:t>
      </w:r>
      <w:r w:rsidRPr="004F2E88">
        <w:rPr>
          <w:sz w:val="19"/>
          <w:szCs w:val="19"/>
          <w:lang w:val="sr-Latn-BA"/>
        </w:rPr>
        <w:t>. godini, razmatranja bitnijih odredbi aktuelnih ugovora koji su u fazi realizacije, kao i planova za koje se intenzivno pripremaju uslovi za realizaciju, revizor se u razumnoj mjeri uvjerio da princip stalnosti poslovanja nije narušen.</w:t>
      </w:r>
    </w:p>
    <w:p w:rsidR="004F2E88" w:rsidRDefault="004F2E88" w:rsidP="004F2E88">
      <w:pPr>
        <w:spacing w:after="0"/>
        <w:rPr>
          <w:sz w:val="19"/>
          <w:szCs w:val="19"/>
          <w:lang w:val="sr-Latn-BA"/>
        </w:rPr>
      </w:pPr>
    </w:p>
    <w:p w:rsidR="004F2E88" w:rsidRDefault="004F2E88" w:rsidP="004F2E88">
      <w:pPr>
        <w:spacing w:after="0"/>
        <w:rPr>
          <w:sz w:val="19"/>
          <w:szCs w:val="19"/>
          <w:lang w:val="sr-Latn-BA"/>
        </w:rPr>
      </w:pPr>
    </w:p>
    <w:p w:rsidR="004F2E88" w:rsidRDefault="004F2E88" w:rsidP="004F2E88">
      <w:pPr>
        <w:spacing w:after="0"/>
        <w:rPr>
          <w:sz w:val="19"/>
          <w:szCs w:val="19"/>
          <w:lang w:val="sr-Latn-BA"/>
        </w:rPr>
      </w:pPr>
    </w:p>
    <w:p w:rsidR="004F2E88" w:rsidRPr="004F2E88" w:rsidRDefault="004F2E88" w:rsidP="002C0F78">
      <w:pPr>
        <w:pStyle w:val="ListParagraph"/>
        <w:numPr>
          <w:ilvl w:val="0"/>
          <w:numId w:val="1"/>
        </w:numPr>
        <w:spacing w:after="0"/>
        <w:contextualSpacing w:val="0"/>
        <w:rPr>
          <w:b/>
          <w:sz w:val="19"/>
          <w:szCs w:val="19"/>
          <w:lang w:val="hr-BA"/>
        </w:rPr>
      </w:pPr>
      <w:bookmarkStart w:id="3" w:name="_Toc320206830"/>
      <w:r w:rsidRPr="004F2E88">
        <w:rPr>
          <w:b/>
          <w:sz w:val="19"/>
          <w:szCs w:val="19"/>
          <w:lang w:val="sr-Latn-BA"/>
        </w:rPr>
        <w:t>SUDSKI SPOROVI</w:t>
      </w:r>
      <w:bookmarkEnd w:id="3"/>
    </w:p>
    <w:p w:rsidR="004F2E88" w:rsidRPr="004F2E88" w:rsidRDefault="004F2E88" w:rsidP="004F2E88">
      <w:pPr>
        <w:spacing w:after="0"/>
        <w:rPr>
          <w:sz w:val="19"/>
          <w:szCs w:val="19"/>
          <w:lang w:val="sr-Latn-BA"/>
        </w:rPr>
      </w:pPr>
    </w:p>
    <w:p w:rsidR="004F2E88" w:rsidRPr="004F2E88" w:rsidRDefault="004F2E88" w:rsidP="004F2E88">
      <w:pPr>
        <w:spacing w:after="0"/>
        <w:rPr>
          <w:sz w:val="19"/>
          <w:szCs w:val="19"/>
          <w:lang w:val="sr-Latn-BA"/>
        </w:rPr>
      </w:pPr>
      <w:r w:rsidRPr="004F2E88">
        <w:rPr>
          <w:sz w:val="19"/>
          <w:szCs w:val="19"/>
          <w:lang w:val="sr-Latn-BA"/>
        </w:rPr>
        <w:t xml:space="preserve">Prema informacijama dobivenim od Uprave </w:t>
      </w:r>
      <w:r w:rsidR="004E4FDF">
        <w:rPr>
          <w:sz w:val="19"/>
          <w:szCs w:val="19"/>
          <w:lang w:val="sr-Latn-BA"/>
        </w:rPr>
        <w:t>Društva</w:t>
      </w:r>
      <w:r w:rsidRPr="004F2E88">
        <w:rPr>
          <w:sz w:val="19"/>
          <w:szCs w:val="19"/>
          <w:lang w:val="sr-Latn-BA"/>
        </w:rPr>
        <w:t xml:space="preserve"> i podacima iz potpisane izjave Klijenta revizije nema sudskih postupaka koji se vode protiv </w:t>
      </w:r>
      <w:r w:rsidR="004E4FDF">
        <w:rPr>
          <w:sz w:val="19"/>
          <w:szCs w:val="19"/>
          <w:lang w:val="sr-Latn-BA"/>
        </w:rPr>
        <w:t>Društva</w:t>
      </w:r>
      <w:r w:rsidRPr="004F2E88">
        <w:rPr>
          <w:sz w:val="19"/>
          <w:szCs w:val="19"/>
          <w:lang w:val="sr-Latn-BA"/>
        </w:rPr>
        <w:t xml:space="preserve">, niti </w:t>
      </w:r>
      <w:r w:rsidR="004E4FDF">
        <w:rPr>
          <w:sz w:val="19"/>
          <w:szCs w:val="19"/>
          <w:lang w:val="sr-Latn-BA"/>
        </w:rPr>
        <w:t>Društvo</w:t>
      </w:r>
      <w:r w:rsidRPr="004F2E88">
        <w:rPr>
          <w:sz w:val="19"/>
          <w:szCs w:val="19"/>
          <w:lang w:val="sr-Latn-BA"/>
        </w:rPr>
        <w:t xml:space="preserve"> vodi ikakve sudske postupke. </w:t>
      </w:r>
    </w:p>
    <w:p w:rsidR="004F2E88" w:rsidRDefault="004F2E88" w:rsidP="00CA66D5">
      <w:pPr>
        <w:spacing w:after="0"/>
        <w:rPr>
          <w:sz w:val="19"/>
          <w:szCs w:val="19"/>
          <w:lang w:val="hr-BA"/>
        </w:rPr>
      </w:pPr>
    </w:p>
    <w:p w:rsidR="00CA66D5" w:rsidRDefault="00CA66D5" w:rsidP="00CA66D5">
      <w:pPr>
        <w:spacing w:after="0"/>
        <w:rPr>
          <w:sz w:val="19"/>
          <w:szCs w:val="19"/>
          <w:lang w:val="hr-BA"/>
        </w:rPr>
      </w:pPr>
    </w:p>
    <w:p w:rsidR="00D80B8A" w:rsidRPr="00CA66D5" w:rsidRDefault="00D80B8A" w:rsidP="00CA66D5">
      <w:pPr>
        <w:spacing w:after="0"/>
        <w:rPr>
          <w:sz w:val="19"/>
          <w:szCs w:val="19"/>
          <w:lang w:val="hr-BA"/>
        </w:rPr>
      </w:pPr>
    </w:p>
    <w:p w:rsidR="00CA66D5" w:rsidRPr="00CA66D5" w:rsidRDefault="00CA66D5" w:rsidP="00CA66D5">
      <w:pPr>
        <w:spacing w:after="0"/>
        <w:rPr>
          <w:sz w:val="19"/>
          <w:szCs w:val="19"/>
          <w:lang w:val="hr-BA"/>
        </w:rPr>
      </w:pPr>
    </w:p>
    <w:p w:rsidR="003272BB" w:rsidRDefault="003272BB">
      <w:pPr>
        <w:rPr>
          <w:b/>
          <w:bCs/>
          <w:sz w:val="19"/>
          <w:szCs w:val="19"/>
          <w:lang w:val="hr-BA"/>
        </w:rPr>
      </w:pPr>
      <w:bookmarkStart w:id="4" w:name="_Toc274673320"/>
      <w:bookmarkStart w:id="5" w:name="_Toc412549431"/>
      <w:r>
        <w:rPr>
          <w:b/>
          <w:bCs/>
          <w:sz w:val="19"/>
          <w:szCs w:val="19"/>
          <w:lang w:val="hr-BA"/>
        </w:rPr>
        <w:br w:type="page"/>
      </w:r>
    </w:p>
    <w:p w:rsidR="00CA66D5" w:rsidRPr="00CA66D5" w:rsidRDefault="00CA66D5" w:rsidP="002C0F78">
      <w:pPr>
        <w:numPr>
          <w:ilvl w:val="0"/>
          <w:numId w:val="1"/>
        </w:numPr>
        <w:spacing w:after="0"/>
        <w:rPr>
          <w:b/>
          <w:sz w:val="19"/>
          <w:szCs w:val="19"/>
          <w:lang w:val="hr-BA"/>
        </w:rPr>
      </w:pPr>
      <w:r w:rsidRPr="00CA66D5">
        <w:rPr>
          <w:b/>
          <w:bCs/>
          <w:sz w:val="19"/>
          <w:szCs w:val="19"/>
          <w:lang w:val="hr-BA"/>
        </w:rPr>
        <w:lastRenderedPageBreak/>
        <w:t>REVIZORSKI TIM</w:t>
      </w:r>
      <w:bookmarkEnd w:id="4"/>
      <w:bookmarkEnd w:id="5"/>
    </w:p>
    <w:p w:rsidR="00CA66D5" w:rsidRPr="00CA66D5" w:rsidRDefault="00CA66D5" w:rsidP="00CA66D5">
      <w:pPr>
        <w:spacing w:after="0"/>
        <w:rPr>
          <w:sz w:val="19"/>
          <w:szCs w:val="19"/>
          <w:lang w:val="hr-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3119"/>
      </w:tblGrid>
      <w:tr w:rsidR="003A0C0E" w:rsidRPr="00CA66D5" w:rsidTr="0035026C">
        <w:trPr>
          <w:trHeight w:val="851"/>
        </w:trPr>
        <w:tc>
          <w:tcPr>
            <w:tcW w:w="4219" w:type="dxa"/>
            <w:tcBorders>
              <w:top w:val="nil"/>
              <w:left w:val="nil"/>
              <w:bottom w:val="nil"/>
              <w:right w:val="nil"/>
            </w:tcBorders>
            <w:vAlign w:val="center"/>
          </w:tcPr>
          <w:p w:rsidR="003A0C0E" w:rsidRPr="00CA66D5" w:rsidRDefault="00385672" w:rsidP="002F4D0C">
            <w:pPr>
              <w:numPr>
                <w:ilvl w:val="0"/>
                <w:numId w:val="2"/>
              </w:numPr>
              <w:spacing w:after="0"/>
              <w:rPr>
                <w:sz w:val="19"/>
                <w:szCs w:val="19"/>
                <w:lang w:val="hr-BA"/>
              </w:rPr>
            </w:pPr>
            <w:r>
              <w:rPr>
                <w:sz w:val="19"/>
                <w:szCs w:val="19"/>
                <w:lang w:val="hr-BA"/>
              </w:rPr>
              <w:t>prof.</w:t>
            </w:r>
            <w:r w:rsidR="003A0C0E" w:rsidRPr="00CA66D5">
              <w:rPr>
                <w:sz w:val="19"/>
                <w:szCs w:val="19"/>
                <w:lang w:val="hr-BA"/>
              </w:rPr>
              <w:t>dr.sc. Božo Vukoja</w:t>
            </w:r>
            <w:r w:rsidR="00924717">
              <w:rPr>
                <w:sz w:val="19"/>
                <w:szCs w:val="19"/>
                <w:lang w:val="hr-BA"/>
              </w:rPr>
              <w:t xml:space="preserve"> </w:t>
            </w:r>
            <w:r w:rsidR="003A0C0E" w:rsidRPr="00CA66D5">
              <w:rPr>
                <w:sz w:val="19"/>
                <w:szCs w:val="19"/>
                <w:lang w:val="hr-BA"/>
              </w:rPr>
              <w:t>dipl.oec</w:t>
            </w:r>
          </w:p>
        </w:tc>
        <w:tc>
          <w:tcPr>
            <w:tcW w:w="3119" w:type="dxa"/>
            <w:tcBorders>
              <w:top w:val="nil"/>
              <w:left w:val="nil"/>
              <w:right w:val="nil"/>
            </w:tcBorders>
            <w:vAlign w:val="center"/>
          </w:tcPr>
          <w:p w:rsidR="003A0C0E" w:rsidRPr="00CA66D5" w:rsidRDefault="003A0C0E" w:rsidP="00CA66D5">
            <w:pPr>
              <w:spacing w:after="0"/>
              <w:rPr>
                <w:sz w:val="19"/>
                <w:szCs w:val="19"/>
                <w:lang w:val="hr-BA"/>
              </w:rPr>
            </w:pPr>
          </w:p>
        </w:tc>
      </w:tr>
      <w:tr w:rsidR="003A0C0E" w:rsidRPr="00CA66D5" w:rsidTr="0035026C">
        <w:trPr>
          <w:trHeight w:val="851"/>
        </w:trPr>
        <w:tc>
          <w:tcPr>
            <w:tcW w:w="4219" w:type="dxa"/>
            <w:tcBorders>
              <w:top w:val="nil"/>
              <w:left w:val="nil"/>
              <w:bottom w:val="nil"/>
              <w:right w:val="nil"/>
            </w:tcBorders>
            <w:vAlign w:val="center"/>
          </w:tcPr>
          <w:p w:rsidR="003A0C0E" w:rsidRPr="00CA66D5" w:rsidRDefault="00472B61" w:rsidP="00472B61">
            <w:pPr>
              <w:numPr>
                <w:ilvl w:val="0"/>
                <w:numId w:val="2"/>
              </w:numPr>
              <w:spacing w:after="0"/>
              <w:rPr>
                <w:sz w:val="19"/>
                <w:szCs w:val="19"/>
                <w:lang w:val="hr-BA"/>
              </w:rPr>
            </w:pPr>
            <w:r w:rsidRPr="00CA66D5">
              <w:rPr>
                <w:sz w:val="19"/>
                <w:szCs w:val="19"/>
                <w:lang w:val="hr-BA"/>
              </w:rPr>
              <w:t xml:space="preserve">dr.sc. </w:t>
            </w:r>
            <w:r>
              <w:rPr>
                <w:sz w:val="19"/>
                <w:szCs w:val="19"/>
                <w:lang w:val="hr-BA"/>
              </w:rPr>
              <w:t>Milenko Krunić</w:t>
            </w:r>
            <w:r w:rsidR="00924717">
              <w:rPr>
                <w:sz w:val="19"/>
                <w:szCs w:val="19"/>
                <w:lang w:val="hr-BA"/>
              </w:rPr>
              <w:t xml:space="preserve"> </w:t>
            </w:r>
            <w:r w:rsidRPr="00CA66D5">
              <w:rPr>
                <w:sz w:val="19"/>
                <w:szCs w:val="19"/>
                <w:lang w:val="hr-BA"/>
              </w:rPr>
              <w:t>dipl.oec.</w:t>
            </w:r>
          </w:p>
        </w:tc>
        <w:tc>
          <w:tcPr>
            <w:tcW w:w="3119" w:type="dxa"/>
            <w:tcBorders>
              <w:top w:val="nil"/>
              <w:left w:val="nil"/>
              <w:right w:val="nil"/>
            </w:tcBorders>
            <w:vAlign w:val="center"/>
          </w:tcPr>
          <w:p w:rsidR="003A0C0E" w:rsidRPr="00CA66D5" w:rsidRDefault="003A0C0E" w:rsidP="00CA66D5">
            <w:pPr>
              <w:spacing w:after="0"/>
              <w:rPr>
                <w:sz w:val="19"/>
                <w:szCs w:val="19"/>
                <w:lang w:val="hr-BA"/>
              </w:rPr>
            </w:pPr>
          </w:p>
        </w:tc>
      </w:tr>
    </w:tbl>
    <w:p w:rsidR="00CA66D5" w:rsidRPr="00CA66D5" w:rsidRDefault="00CA66D5" w:rsidP="00CA66D5">
      <w:pPr>
        <w:spacing w:after="0"/>
        <w:rPr>
          <w:sz w:val="19"/>
          <w:szCs w:val="19"/>
          <w:lang w:val="hr-BA"/>
        </w:rPr>
      </w:pPr>
    </w:p>
    <w:p w:rsidR="00F23921" w:rsidRDefault="00F23921" w:rsidP="00F23921">
      <w:pPr>
        <w:spacing w:after="0"/>
        <w:rPr>
          <w:sz w:val="19"/>
          <w:szCs w:val="19"/>
          <w:lang w:val="hr-BA"/>
        </w:rPr>
      </w:pPr>
    </w:p>
    <w:sectPr w:rsidR="00F23921" w:rsidSect="00BB44FE">
      <w:head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599" w:rsidRDefault="009B3599" w:rsidP="006475F9">
      <w:pPr>
        <w:spacing w:after="0" w:line="240" w:lineRule="auto"/>
      </w:pPr>
      <w:r>
        <w:separator/>
      </w:r>
    </w:p>
  </w:endnote>
  <w:endnote w:type="continuationSeparator" w:id="1">
    <w:p w:rsidR="009B3599" w:rsidRDefault="009B3599" w:rsidP="006475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7769"/>
      <w:docPartObj>
        <w:docPartGallery w:val="Page Numbers (Bottom of Page)"/>
        <w:docPartUnique/>
      </w:docPartObj>
    </w:sdtPr>
    <w:sdtContent>
      <w:p w:rsidR="008162AC" w:rsidRDefault="00A45EE2">
        <w:pPr>
          <w:pStyle w:val="Footer"/>
          <w:jc w:val="right"/>
        </w:pPr>
        <w:fldSimple w:instr=" PAGE   \* MERGEFORMAT ">
          <w:r w:rsidR="00DE2401">
            <w:rPr>
              <w:noProof/>
            </w:rPr>
            <w:t>33</w:t>
          </w:r>
        </w:fldSimple>
      </w:p>
    </w:sdtContent>
  </w:sdt>
  <w:p w:rsidR="008162AC" w:rsidRDefault="00816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599" w:rsidRDefault="009B3599" w:rsidP="006475F9">
      <w:pPr>
        <w:spacing w:after="0" w:line="240" w:lineRule="auto"/>
      </w:pPr>
      <w:r>
        <w:separator/>
      </w:r>
    </w:p>
  </w:footnote>
  <w:footnote w:type="continuationSeparator" w:id="1">
    <w:p w:rsidR="009B3599" w:rsidRDefault="009B3599" w:rsidP="006475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AC" w:rsidRPr="006E26B6" w:rsidRDefault="008162AC" w:rsidP="004E0154">
    <w:pPr>
      <w:pStyle w:val="Header"/>
      <w:tabs>
        <w:tab w:val="left" w:pos="2580"/>
        <w:tab w:val="left" w:pos="2985"/>
      </w:tabs>
      <w:spacing w:after="120"/>
      <w:jc w:val="left"/>
      <w:rPr>
        <w:bCs/>
      </w:rPr>
    </w:pPr>
  </w:p>
  <w:p w:rsidR="008162AC" w:rsidRPr="006E26B6" w:rsidRDefault="008162AC" w:rsidP="004E0154">
    <w:pPr>
      <w:pStyle w:val="Header"/>
      <w:tabs>
        <w:tab w:val="left" w:pos="2580"/>
        <w:tab w:val="left" w:pos="2985"/>
      </w:tabs>
      <w:spacing w:after="120"/>
      <w:jc w:val="left"/>
      <w:rPr>
        <w:bCs/>
      </w:rPr>
    </w:pPr>
    <w:r>
      <w:rPr>
        <w:bCs/>
      </w:rPr>
      <w:t>Borac a.d. Trebinje</w:t>
    </w:r>
  </w:p>
  <w:p w:rsidR="008162AC" w:rsidRPr="006E26B6" w:rsidRDefault="008162AC" w:rsidP="004E0154">
    <w:pPr>
      <w:pStyle w:val="Header"/>
      <w:tabs>
        <w:tab w:val="left" w:pos="2580"/>
        <w:tab w:val="left" w:pos="2985"/>
      </w:tabs>
      <w:spacing w:after="120"/>
      <w:jc w:val="left"/>
      <w:rPr>
        <w:bCs/>
      </w:rPr>
    </w:pPr>
    <w:r w:rsidRPr="006E26B6">
      <w:rPr>
        <w:bCs/>
      </w:rPr>
      <w:t>Izvještaj o bilan</w:t>
    </w:r>
    <w:r>
      <w:rPr>
        <w:bCs/>
      </w:rPr>
      <w:t>su</w:t>
    </w:r>
    <w:r w:rsidRPr="006E26B6">
      <w:rPr>
        <w:bCs/>
      </w:rPr>
      <w:t xml:space="preserve"> uspjeha za godinu </w:t>
    </w:r>
    <w:r>
      <w:rPr>
        <w:bCs/>
      </w:rPr>
      <w:t>završenu na dan</w:t>
    </w:r>
    <w:r w:rsidRPr="006E26B6">
      <w:rPr>
        <w:bCs/>
      </w:rPr>
      <w:t xml:space="preserve"> 31. </w:t>
    </w:r>
    <w:r>
      <w:rPr>
        <w:bCs/>
      </w:rPr>
      <w:t>decembr</w:t>
    </w:r>
    <w:r w:rsidRPr="006E26B6">
      <w:rPr>
        <w:bCs/>
      </w:rPr>
      <w:t>a 2014. godine</w:t>
    </w:r>
  </w:p>
  <w:p w:rsidR="008162AC" w:rsidRDefault="00A45EE2" w:rsidP="004E0154">
    <w:pPr>
      <w:pStyle w:val="Header"/>
      <w:tabs>
        <w:tab w:val="left" w:pos="2580"/>
        <w:tab w:val="left" w:pos="2985"/>
      </w:tabs>
      <w:spacing w:after="120"/>
      <w:jc w:val="left"/>
      <w:rPr>
        <w:bCs/>
        <w:i/>
        <w:sz w:val="18"/>
      </w:rPr>
    </w:pPr>
    <w:r w:rsidRPr="00A45EE2">
      <w:rPr>
        <w:i/>
        <w:noProof/>
        <w:sz w:val="18"/>
        <w:lang w:eastAsia="hr-HR"/>
      </w:rPr>
      <w:pict>
        <v:shapetype id="_x0000_t32" coordsize="21600,21600" o:spt="32" o:oned="t" path="m,l21600,21600e" filled="f">
          <v:path arrowok="t" fillok="f" o:connecttype="none"/>
          <o:lock v:ext="edit" shapetype="t"/>
        </v:shapetype>
        <v:shape id="_x0000_s2049" type="#_x0000_t32" style="position:absolute;margin-left:.4pt;margin-top:15.2pt;width:453.55pt;height:0;z-index:251660288" o:connectortype="straight"/>
      </w:pict>
    </w:r>
    <w:r w:rsidR="008162AC" w:rsidRPr="006E26B6">
      <w:rPr>
        <w:bCs/>
        <w:i/>
        <w:sz w:val="18"/>
      </w:rPr>
      <w:t>(Svi iznosi su izraženi u KM)</w:t>
    </w:r>
  </w:p>
  <w:p w:rsidR="008162AC" w:rsidRPr="004E0154" w:rsidRDefault="008162AC" w:rsidP="004E0154">
    <w:pPr>
      <w:pStyle w:val="Header"/>
      <w:tabs>
        <w:tab w:val="left" w:pos="2580"/>
        <w:tab w:val="left" w:pos="2985"/>
      </w:tabs>
      <w:spacing w:after="120"/>
      <w:jc w:val="left"/>
      <w:rPr>
        <w:bCs/>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AC" w:rsidRPr="006E26B6" w:rsidRDefault="008162AC" w:rsidP="004E0154">
    <w:pPr>
      <w:pStyle w:val="Header"/>
      <w:tabs>
        <w:tab w:val="left" w:pos="2580"/>
        <w:tab w:val="left" w:pos="2985"/>
      </w:tabs>
      <w:spacing w:after="120"/>
      <w:jc w:val="left"/>
      <w:rPr>
        <w:bCs/>
      </w:rPr>
    </w:pPr>
  </w:p>
  <w:p w:rsidR="008162AC" w:rsidRPr="006E26B6" w:rsidRDefault="008162AC" w:rsidP="004E0154">
    <w:pPr>
      <w:pStyle w:val="Header"/>
      <w:tabs>
        <w:tab w:val="left" w:pos="2580"/>
        <w:tab w:val="left" w:pos="2985"/>
      </w:tabs>
      <w:spacing w:after="120"/>
      <w:jc w:val="left"/>
      <w:rPr>
        <w:bCs/>
      </w:rPr>
    </w:pPr>
    <w:r>
      <w:rPr>
        <w:bCs/>
      </w:rPr>
      <w:t>Borac a.d. Trebinje</w:t>
    </w:r>
  </w:p>
  <w:p w:rsidR="008162AC" w:rsidRPr="006E26B6" w:rsidRDefault="008162AC" w:rsidP="004E0154">
    <w:pPr>
      <w:pStyle w:val="Header"/>
      <w:tabs>
        <w:tab w:val="left" w:pos="2580"/>
        <w:tab w:val="left" w:pos="2985"/>
      </w:tabs>
      <w:spacing w:after="120"/>
      <w:jc w:val="left"/>
      <w:rPr>
        <w:bCs/>
      </w:rPr>
    </w:pPr>
    <w:r w:rsidRPr="006E26B6">
      <w:rPr>
        <w:bCs/>
      </w:rPr>
      <w:t xml:space="preserve">Izvještaj o </w:t>
    </w:r>
    <w:r>
      <w:rPr>
        <w:bCs/>
      </w:rPr>
      <w:t>finansijskom položaju</w:t>
    </w:r>
    <w:r w:rsidRPr="006E26B6">
      <w:rPr>
        <w:bCs/>
      </w:rPr>
      <w:t xml:space="preserve"> za godinu </w:t>
    </w:r>
    <w:r>
      <w:rPr>
        <w:bCs/>
      </w:rPr>
      <w:t>završenu na dan</w:t>
    </w:r>
    <w:r w:rsidRPr="006E26B6">
      <w:rPr>
        <w:bCs/>
      </w:rPr>
      <w:t xml:space="preserve"> 31. </w:t>
    </w:r>
    <w:r>
      <w:rPr>
        <w:bCs/>
      </w:rPr>
      <w:t>decembra</w:t>
    </w:r>
    <w:r w:rsidRPr="006E26B6">
      <w:rPr>
        <w:bCs/>
      </w:rPr>
      <w:t xml:space="preserve"> 2014. godine</w:t>
    </w:r>
  </w:p>
  <w:p w:rsidR="008162AC" w:rsidRDefault="00A45EE2" w:rsidP="004E0154">
    <w:pPr>
      <w:pStyle w:val="Header"/>
      <w:tabs>
        <w:tab w:val="left" w:pos="2580"/>
        <w:tab w:val="left" w:pos="2985"/>
      </w:tabs>
      <w:spacing w:after="120"/>
      <w:jc w:val="left"/>
      <w:rPr>
        <w:bCs/>
        <w:i/>
        <w:sz w:val="18"/>
      </w:rPr>
    </w:pPr>
    <w:r w:rsidRPr="00A45EE2">
      <w:rPr>
        <w:i/>
        <w:noProof/>
        <w:sz w:val="18"/>
        <w:lang w:eastAsia="hr-HR"/>
      </w:rPr>
      <w:pict>
        <v:shapetype id="_x0000_t32" coordsize="21600,21600" o:spt="32" o:oned="t" path="m,l21600,21600e" filled="f">
          <v:path arrowok="t" fillok="f" o:connecttype="none"/>
          <o:lock v:ext="edit" shapetype="t"/>
        </v:shapetype>
        <v:shape id="_x0000_s2050" type="#_x0000_t32" style="position:absolute;margin-left:.4pt;margin-top:15.2pt;width:453.55pt;height:0;z-index:251662336" o:connectortype="straight"/>
      </w:pict>
    </w:r>
    <w:r w:rsidR="008162AC" w:rsidRPr="006E26B6">
      <w:rPr>
        <w:bCs/>
        <w:i/>
        <w:sz w:val="18"/>
      </w:rPr>
      <w:t>(Svi iznosi su izraženi u KM)</w:t>
    </w:r>
  </w:p>
  <w:p w:rsidR="008162AC" w:rsidRPr="004E0154" w:rsidRDefault="008162AC" w:rsidP="004E0154">
    <w:pPr>
      <w:pStyle w:val="Header"/>
      <w:tabs>
        <w:tab w:val="left" w:pos="2580"/>
        <w:tab w:val="left" w:pos="2985"/>
      </w:tabs>
      <w:spacing w:after="120"/>
      <w:jc w:val="left"/>
      <w:rPr>
        <w:b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AC" w:rsidRPr="006E26B6" w:rsidRDefault="008162AC" w:rsidP="004E0154">
    <w:pPr>
      <w:pStyle w:val="Header"/>
      <w:tabs>
        <w:tab w:val="left" w:pos="2580"/>
        <w:tab w:val="left" w:pos="2985"/>
      </w:tabs>
      <w:spacing w:after="120"/>
      <w:jc w:val="left"/>
      <w:rPr>
        <w:bCs/>
      </w:rPr>
    </w:pPr>
  </w:p>
  <w:p w:rsidR="008162AC" w:rsidRPr="006E26B6" w:rsidRDefault="008162AC" w:rsidP="004E0154">
    <w:pPr>
      <w:pStyle w:val="Header"/>
      <w:tabs>
        <w:tab w:val="left" w:pos="2580"/>
        <w:tab w:val="left" w:pos="2985"/>
      </w:tabs>
      <w:spacing w:after="120"/>
      <w:jc w:val="left"/>
      <w:rPr>
        <w:bCs/>
      </w:rPr>
    </w:pPr>
    <w:r>
      <w:rPr>
        <w:bCs/>
      </w:rPr>
      <w:t>Borac a.d. Trebinje</w:t>
    </w:r>
  </w:p>
  <w:p w:rsidR="008162AC" w:rsidRPr="006E26B6" w:rsidRDefault="008162AC" w:rsidP="004E0154">
    <w:pPr>
      <w:pStyle w:val="Header"/>
      <w:tabs>
        <w:tab w:val="left" w:pos="2580"/>
        <w:tab w:val="left" w:pos="2985"/>
      </w:tabs>
      <w:spacing w:after="120"/>
      <w:jc w:val="left"/>
      <w:rPr>
        <w:bCs/>
      </w:rPr>
    </w:pPr>
    <w:r w:rsidRPr="006E26B6">
      <w:rPr>
        <w:bCs/>
      </w:rPr>
      <w:t xml:space="preserve">Izvještaj o </w:t>
    </w:r>
    <w:r>
      <w:rPr>
        <w:bCs/>
      </w:rPr>
      <w:t>finansijskom položaju</w:t>
    </w:r>
    <w:r w:rsidRPr="006E26B6">
      <w:rPr>
        <w:bCs/>
      </w:rPr>
      <w:t xml:space="preserve"> za godinu </w:t>
    </w:r>
    <w:r>
      <w:rPr>
        <w:bCs/>
      </w:rPr>
      <w:t>završenu na dan</w:t>
    </w:r>
    <w:r w:rsidRPr="006E26B6">
      <w:rPr>
        <w:bCs/>
      </w:rPr>
      <w:t xml:space="preserve"> 31. </w:t>
    </w:r>
    <w:r>
      <w:rPr>
        <w:bCs/>
      </w:rPr>
      <w:t>decembra</w:t>
    </w:r>
    <w:r w:rsidRPr="006E26B6">
      <w:rPr>
        <w:bCs/>
      </w:rPr>
      <w:t xml:space="preserve"> 2014. godine</w:t>
    </w:r>
    <w:r>
      <w:rPr>
        <w:bCs/>
      </w:rPr>
      <w:t xml:space="preserve"> (nastavak)</w:t>
    </w:r>
  </w:p>
  <w:p w:rsidR="008162AC" w:rsidRDefault="00A45EE2" w:rsidP="004E0154">
    <w:pPr>
      <w:pStyle w:val="Header"/>
      <w:tabs>
        <w:tab w:val="left" w:pos="2580"/>
        <w:tab w:val="left" w:pos="2985"/>
      </w:tabs>
      <w:spacing w:after="120"/>
      <w:jc w:val="left"/>
      <w:rPr>
        <w:bCs/>
        <w:i/>
        <w:sz w:val="18"/>
      </w:rPr>
    </w:pPr>
    <w:r w:rsidRPr="00A45EE2">
      <w:rPr>
        <w:i/>
        <w:noProof/>
        <w:sz w:val="18"/>
        <w:lang w:eastAsia="hr-HR"/>
      </w:rPr>
      <w:pict>
        <v:shapetype id="_x0000_t32" coordsize="21600,21600" o:spt="32" o:oned="t" path="m,l21600,21600e" filled="f">
          <v:path arrowok="t" fillok="f" o:connecttype="none"/>
          <o:lock v:ext="edit" shapetype="t"/>
        </v:shapetype>
        <v:shape id="_x0000_s2052" type="#_x0000_t32" style="position:absolute;margin-left:.4pt;margin-top:15.2pt;width:453.55pt;height:0;z-index:251666432" o:connectortype="straight"/>
      </w:pict>
    </w:r>
    <w:r w:rsidR="008162AC" w:rsidRPr="006E26B6">
      <w:rPr>
        <w:bCs/>
        <w:i/>
        <w:sz w:val="18"/>
      </w:rPr>
      <w:t>(Svi iznosi su izraženi u KM)</w:t>
    </w:r>
  </w:p>
  <w:p w:rsidR="008162AC" w:rsidRPr="004E0154" w:rsidRDefault="008162AC" w:rsidP="004E0154">
    <w:pPr>
      <w:pStyle w:val="Header"/>
      <w:tabs>
        <w:tab w:val="left" w:pos="2580"/>
        <w:tab w:val="left" w:pos="2985"/>
      </w:tabs>
      <w:spacing w:after="120"/>
      <w:jc w:val="left"/>
      <w:rPr>
        <w:bCs/>
        <w:sz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AC" w:rsidRPr="006E26B6" w:rsidRDefault="008162AC" w:rsidP="004E0154">
    <w:pPr>
      <w:pStyle w:val="Header"/>
      <w:tabs>
        <w:tab w:val="left" w:pos="2580"/>
        <w:tab w:val="left" w:pos="2985"/>
      </w:tabs>
      <w:spacing w:after="120"/>
      <w:jc w:val="left"/>
      <w:rPr>
        <w:bCs/>
      </w:rPr>
    </w:pPr>
  </w:p>
  <w:p w:rsidR="008162AC" w:rsidRPr="006E26B6" w:rsidRDefault="008162AC" w:rsidP="00BA1178">
    <w:pPr>
      <w:pStyle w:val="Header"/>
      <w:tabs>
        <w:tab w:val="left" w:pos="2580"/>
        <w:tab w:val="left" w:pos="2985"/>
      </w:tabs>
      <w:spacing w:after="120"/>
      <w:jc w:val="left"/>
      <w:rPr>
        <w:bCs/>
      </w:rPr>
    </w:pPr>
    <w:r>
      <w:rPr>
        <w:bCs/>
      </w:rPr>
      <w:t>Borac a.d. Trebinje</w:t>
    </w:r>
  </w:p>
  <w:p w:rsidR="008162AC" w:rsidRPr="006E26B6" w:rsidRDefault="008162AC" w:rsidP="004E0154">
    <w:pPr>
      <w:pStyle w:val="Header"/>
      <w:tabs>
        <w:tab w:val="left" w:pos="2580"/>
        <w:tab w:val="left" w:pos="2985"/>
      </w:tabs>
      <w:spacing w:after="120"/>
      <w:jc w:val="left"/>
      <w:rPr>
        <w:bCs/>
      </w:rPr>
    </w:pPr>
    <w:r w:rsidRPr="006E26B6">
      <w:rPr>
        <w:bCs/>
      </w:rPr>
      <w:t xml:space="preserve">Izvještaj o </w:t>
    </w:r>
    <w:r>
      <w:rPr>
        <w:bCs/>
      </w:rPr>
      <w:t>novčanim tokovima</w:t>
    </w:r>
    <w:r w:rsidRPr="006E26B6">
      <w:rPr>
        <w:bCs/>
      </w:rPr>
      <w:t xml:space="preserve"> za godinu </w:t>
    </w:r>
    <w:r>
      <w:rPr>
        <w:bCs/>
      </w:rPr>
      <w:t>završenu na dan</w:t>
    </w:r>
    <w:r w:rsidRPr="006E26B6">
      <w:rPr>
        <w:bCs/>
      </w:rPr>
      <w:t xml:space="preserve"> 31. </w:t>
    </w:r>
    <w:r>
      <w:rPr>
        <w:bCs/>
      </w:rPr>
      <w:t>decembra</w:t>
    </w:r>
    <w:r w:rsidRPr="006E26B6">
      <w:rPr>
        <w:bCs/>
      </w:rPr>
      <w:t xml:space="preserve"> 2014. godine</w:t>
    </w:r>
    <w:r>
      <w:rPr>
        <w:bCs/>
      </w:rPr>
      <w:t xml:space="preserve"> </w:t>
    </w:r>
  </w:p>
  <w:p w:rsidR="008162AC" w:rsidRDefault="00A45EE2" w:rsidP="004E0154">
    <w:pPr>
      <w:pStyle w:val="Header"/>
      <w:tabs>
        <w:tab w:val="left" w:pos="2580"/>
        <w:tab w:val="left" w:pos="2985"/>
      </w:tabs>
      <w:spacing w:after="120"/>
      <w:jc w:val="left"/>
      <w:rPr>
        <w:bCs/>
        <w:i/>
        <w:sz w:val="18"/>
      </w:rPr>
    </w:pPr>
    <w:r w:rsidRPr="00A45EE2">
      <w:rPr>
        <w:i/>
        <w:noProof/>
        <w:sz w:val="18"/>
        <w:lang w:eastAsia="hr-HR"/>
      </w:rPr>
      <w:pict>
        <v:shapetype id="_x0000_t32" coordsize="21600,21600" o:spt="32" o:oned="t" path="m,l21600,21600e" filled="f">
          <v:path arrowok="t" fillok="f" o:connecttype="none"/>
          <o:lock v:ext="edit" shapetype="t"/>
        </v:shapetype>
        <v:shape id="_x0000_s2054" type="#_x0000_t32" style="position:absolute;margin-left:.4pt;margin-top:15.2pt;width:453.55pt;height:0;z-index:251670528" o:connectortype="straight"/>
      </w:pict>
    </w:r>
    <w:r w:rsidR="008162AC" w:rsidRPr="006E26B6">
      <w:rPr>
        <w:bCs/>
        <w:i/>
        <w:sz w:val="18"/>
      </w:rPr>
      <w:t>(Svi iznosi su izraženi u KM)</w:t>
    </w:r>
  </w:p>
  <w:p w:rsidR="008162AC" w:rsidRPr="004E0154" w:rsidRDefault="008162AC" w:rsidP="004E0154">
    <w:pPr>
      <w:pStyle w:val="Header"/>
      <w:tabs>
        <w:tab w:val="left" w:pos="2580"/>
        <w:tab w:val="left" w:pos="2985"/>
      </w:tabs>
      <w:spacing w:after="120"/>
      <w:jc w:val="left"/>
      <w:rPr>
        <w:bCs/>
        <w:sz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AC" w:rsidRPr="006E26B6" w:rsidRDefault="008162AC" w:rsidP="004E0154">
    <w:pPr>
      <w:pStyle w:val="Header"/>
      <w:tabs>
        <w:tab w:val="left" w:pos="2580"/>
        <w:tab w:val="left" w:pos="2985"/>
      </w:tabs>
      <w:spacing w:after="120"/>
      <w:jc w:val="left"/>
      <w:rPr>
        <w:bCs/>
      </w:rPr>
    </w:pPr>
  </w:p>
  <w:p w:rsidR="008162AC" w:rsidRPr="006E26B6" w:rsidRDefault="008162AC" w:rsidP="00C12D4B">
    <w:pPr>
      <w:pStyle w:val="Header"/>
      <w:tabs>
        <w:tab w:val="left" w:pos="2580"/>
        <w:tab w:val="left" w:pos="2985"/>
      </w:tabs>
      <w:spacing w:after="120"/>
      <w:jc w:val="left"/>
      <w:rPr>
        <w:bCs/>
      </w:rPr>
    </w:pPr>
    <w:r>
      <w:rPr>
        <w:bCs/>
      </w:rPr>
      <w:t>Borac a.d. Trebinje</w:t>
    </w:r>
  </w:p>
  <w:p w:rsidR="008162AC" w:rsidRPr="006E26B6" w:rsidRDefault="008162AC" w:rsidP="004E0154">
    <w:pPr>
      <w:pStyle w:val="Header"/>
      <w:tabs>
        <w:tab w:val="left" w:pos="2580"/>
        <w:tab w:val="left" w:pos="2985"/>
      </w:tabs>
      <w:spacing w:after="120"/>
      <w:jc w:val="left"/>
      <w:rPr>
        <w:bCs/>
      </w:rPr>
    </w:pPr>
    <w:r w:rsidRPr="006E26B6">
      <w:rPr>
        <w:bCs/>
      </w:rPr>
      <w:t xml:space="preserve">Izvještaj o </w:t>
    </w:r>
    <w:r>
      <w:rPr>
        <w:bCs/>
      </w:rPr>
      <w:t>promjenama u kapitalu</w:t>
    </w:r>
    <w:r w:rsidRPr="006E26B6">
      <w:rPr>
        <w:bCs/>
      </w:rPr>
      <w:t xml:space="preserve"> za godinu </w:t>
    </w:r>
    <w:r>
      <w:rPr>
        <w:bCs/>
      </w:rPr>
      <w:t>završenu na dan</w:t>
    </w:r>
    <w:r w:rsidRPr="006E26B6">
      <w:rPr>
        <w:bCs/>
      </w:rPr>
      <w:t xml:space="preserve"> 31. </w:t>
    </w:r>
    <w:r>
      <w:rPr>
        <w:bCs/>
      </w:rPr>
      <w:t>decembra</w:t>
    </w:r>
    <w:r w:rsidRPr="006E26B6">
      <w:rPr>
        <w:bCs/>
      </w:rPr>
      <w:t xml:space="preserve"> 2014. godine</w:t>
    </w:r>
  </w:p>
  <w:p w:rsidR="008162AC" w:rsidRDefault="00A45EE2" w:rsidP="004E0154">
    <w:pPr>
      <w:pStyle w:val="Header"/>
      <w:tabs>
        <w:tab w:val="left" w:pos="2580"/>
        <w:tab w:val="left" w:pos="2985"/>
      </w:tabs>
      <w:spacing w:after="120"/>
      <w:jc w:val="left"/>
      <w:rPr>
        <w:bCs/>
        <w:i/>
        <w:sz w:val="18"/>
      </w:rPr>
    </w:pPr>
    <w:r w:rsidRPr="00A45EE2">
      <w:rPr>
        <w:i/>
        <w:noProof/>
        <w:sz w:val="18"/>
        <w:lang w:eastAsia="hr-HR"/>
      </w:rPr>
      <w:pict>
        <v:shapetype id="_x0000_t32" coordsize="21600,21600" o:spt="32" o:oned="t" path="m,l21600,21600e" filled="f">
          <v:path arrowok="t" fillok="f" o:connecttype="none"/>
          <o:lock v:ext="edit" shapetype="t"/>
        </v:shapetype>
        <v:shape id="_x0000_s2055" type="#_x0000_t32" style="position:absolute;margin-left:.4pt;margin-top:15.2pt;width:708.65pt;height:0;z-index:251671552" o:connectortype="straight"/>
      </w:pict>
    </w:r>
    <w:r w:rsidR="008162AC" w:rsidRPr="006E26B6">
      <w:rPr>
        <w:bCs/>
        <w:i/>
        <w:sz w:val="18"/>
      </w:rPr>
      <w:t>(Svi iznosi su izraženi u KM)</w:t>
    </w:r>
  </w:p>
  <w:p w:rsidR="008162AC" w:rsidRPr="004E0154" w:rsidRDefault="008162AC" w:rsidP="004E0154">
    <w:pPr>
      <w:pStyle w:val="Header"/>
      <w:tabs>
        <w:tab w:val="left" w:pos="2580"/>
        <w:tab w:val="left" w:pos="2985"/>
      </w:tabs>
      <w:spacing w:after="120"/>
      <w:jc w:val="left"/>
      <w:rPr>
        <w:bCs/>
        <w:sz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AC" w:rsidRPr="006E26B6" w:rsidRDefault="008162AC" w:rsidP="004E0154">
    <w:pPr>
      <w:pStyle w:val="Header"/>
      <w:tabs>
        <w:tab w:val="left" w:pos="2580"/>
        <w:tab w:val="left" w:pos="2985"/>
      </w:tabs>
      <w:spacing w:after="120"/>
      <w:jc w:val="left"/>
      <w:rPr>
        <w:bCs/>
      </w:rPr>
    </w:pPr>
  </w:p>
  <w:p w:rsidR="008162AC" w:rsidRPr="006E26B6" w:rsidRDefault="008162AC" w:rsidP="004E0154">
    <w:pPr>
      <w:pStyle w:val="Header"/>
      <w:tabs>
        <w:tab w:val="left" w:pos="2580"/>
        <w:tab w:val="left" w:pos="2985"/>
      </w:tabs>
      <w:spacing w:after="120"/>
      <w:jc w:val="left"/>
      <w:rPr>
        <w:bCs/>
      </w:rPr>
    </w:pPr>
    <w:r>
      <w:rPr>
        <w:bCs/>
      </w:rPr>
      <w:t>Borac a.d. Trebinje</w:t>
    </w:r>
  </w:p>
  <w:p w:rsidR="008162AC" w:rsidRPr="006E26B6" w:rsidRDefault="008162AC" w:rsidP="004E0154">
    <w:pPr>
      <w:pStyle w:val="Header"/>
      <w:tabs>
        <w:tab w:val="left" w:pos="2580"/>
        <w:tab w:val="left" w:pos="2985"/>
      </w:tabs>
      <w:spacing w:after="120"/>
      <w:jc w:val="left"/>
      <w:rPr>
        <w:bCs/>
      </w:rPr>
    </w:pPr>
    <w:r>
      <w:rPr>
        <w:bCs/>
      </w:rPr>
      <w:t>Note uz finansijske izvještaje</w:t>
    </w:r>
    <w:r w:rsidRPr="006E26B6">
      <w:rPr>
        <w:bCs/>
      </w:rPr>
      <w:t xml:space="preserve"> za godinu </w:t>
    </w:r>
    <w:r>
      <w:rPr>
        <w:bCs/>
      </w:rPr>
      <w:t>završenu na dan</w:t>
    </w:r>
    <w:r w:rsidRPr="006E26B6">
      <w:rPr>
        <w:bCs/>
      </w:rPr>
      <w:t xml:space="preserve"> 31. </w:t>
    </w:r>
    <w:r>
      <w:rPr>
        <w:bCs/>
      </w:rPr>
      <w:t>decembra</w:t>
    </w:r>
    <w:r w:rsidRPr="006E26B6">
      <w:rPr>
        <w:bCs/>
      </w:rPr>
      <w:t xml:space="preserve"> 2014. godine</w:t>
    </w:r>
  </w:p>
  <w:p w:rsidR="008162AC" w:rsidRDefault="00A45EE2" w:rsidP="004E0154">
    <w:pPr>
      <w:pStyle w:val="Header"/>
      <w:tabs>
        <w:tab w:val="left" w:pos="2580"/>
        <w:tab w:val="left" w:pos="2985"/>
      </w:tabs>
      <w:spacing w:after="120"/>
      <w:jc w:val="left"/>
      <w:rPr>
        <w:bCs/>
        <w:i/>
        <w:sz w:val="18"/>
      </w:rPr>
    </w:pPr>
    <w:r w:rsidRPr="00A45EE2">
      <w:rPr>
        <w:i/>
        <w:noProof/>
        <w:sz w:val="18"/>
        <w:lang w:eastAsia="hr-HR"/>
      </w:rPr>
      <w:pict>
        <v:shapetype id="_x0000_t32" coordsize="21600,21600" o:spt="32" o:oned="t" path="m,l21600,21600e" filled="f">
          <v:path arrowok="t" fillok="f" o:connecttype="none"/>
          <o:lock v:ext="edit" shapetype="t"/>
        </v:shapetype>
        <v:shape id="_x0000_s2051" type="#_x0000_t32" style="position:absolute;margin-left:.4pt;margin-top:15.2pt;width:683.15pt;height:0;z-index:251664384" o:connectortype="straight"/>
      </w:pict>
    </w:r>
    <w:r w:rsidR="008162AC" w:rsidRPr="006E26B6">
      <w:rPr>
        <w:bCs/>
        <w:i/>
        <w:sz w:val="18"/>
      </w:rPr>
      <w:t>(Svi iznosi su izraženi u KM)</w:t>
    </w:r>
  </w:p>
  <w:p w:rsidR="008162AC" w:rsidRPr="004E0154" w:rsidRDefault="008162AC" w:rsidP="004E0154">
    <w:pPr>
      <w:pStyle w:val="Header"/>
      <w:tabs>
        <w:tab w:val="left" w:pos="2580"/>
        <w:tab w:val="left" w:pos="2985"/>
      </w:tabs>
      <w:spacing w:after="120"/>
      <w:jc w:val="left"/>
      <w:rPr>
        <w:bCs/>
        <w:sz w:val="1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AC" w:rsidRPr="006E26B6" w:rsidRDefault="008162AC" w:rsidP="004E0154">
    <w:pPr>
      <w:pStyle w:val="Header"/>
      <w:tabs>
        <w:tab w:val="left" w:pos="2580"/>
        <w:tab w:val="left" w:pos="2985"/>
      </w:tabs>
      <w:spacing w:after="120"/>
      <w:jc w:val="left"/>
      <w:rPr>
        <w:bCs/>
      </w:rPr>
    </w:pPr>
  </w:p>
  <w:p w:rsidR="008162AC" w:rsidRPr="006E26B6" w:rsidRDefault="008162AC" w:rsidP="004E0154">
    <w:pPr>
      <w:pStyle w:val="Header"/>
      <w:tabs>
        <w:tab w:val="left" w:pos="2580"/>
        <w:tab w:val="left" w:pos="2985"/>
      </w:tabs>
      <w:spacing w:after="120"/>
      <w:jc w:val="left"/>
      <w:rPr>
        <w:bCs/>
      </w:rPr>
    </w:pPr>
    <w:r>
      <w:rPr>
        <w:bCs/>
      </w:rPr>
      <w:t>Borac a.d. Trebinje</w:t>
    </w:r>
  </w:p>
  <w:p w:rsidR="008162AC" w:rsidRPr="006E26B6" w:rsidRDefault="008162AC" w:rsidP="004E0154">
    <w:pPr>
      <w:pStyle w:val="Header"/>
      <w:tabs>
        <w:tab w:val="left" w:pos="2580"/>
        <w:tab w:val="left" w:pos="2985"/>
      </w:tabs>
      <w:spacing w:after="120"/>
      <w:jc w:val="left"/>
      <w:rPr>
        <w:bCs/>
      </w:rPr>
    </w:pPr>
    <w:r>
      <w:rPr>
        <w:bCs/>
      </w:rPr>
      <w:t>Note uz finansijske izvještaje</w:t>
    </w:r>
    <w:r w:rsidRPr="006E26B6">
      <w:rPr>
        <w:bCs/>
      </w:rPr>
      <w:t xml:space="preserve"> za godinu </w:t>
    </w:r>
    <w:r>
      <w:rPr>
        <w:bCs/>
      </w:rPr>
      <w:t>završenu na dan</w:t>
    </w:r>
    <w:r w:rsidRPr="006E26B6">
      <w:rPr>
        <w:bCs/>
      </w:rPr>
      <w:t xml:space="preserve"> 31. </w:t>
    </w:r>
    <w:r>
      <w:rPr>
        <w:bCs/>
      </w:rPr>
      <w:t>decembra</w:t>
    </w:r>
    <w:r w:rsidRPr="006E26B6">
      <w:rPr>
        <w:bCs/>
      </w:rPr>
      <w:t xml:space="preserve"> 2014. godine</w:t>
    </w:r>
  </w:p>
  <w:p w:rsidR="008162AC" w:rsidRDefault="00A45EE2" w:rsidP="004E0154">
    <w:pPr>
      <w:pStyle w:val="Header"/>
      <w:tabs>
        <w:tab w:val="left" w:pos="2580"/>
        <w:tab w:val="left" w:pos="2985"/>
      </w:tabs>
      <w:spacing w:after="120"/>
      <w:jc w:val="left"/>
      <w:rPr>
        <w:bCs/>
        <w:i/>
        <w:sz w:val="18"/>
      </w:rPr>
    </w:pPr>
    <w:r w:rsidRPr="00A45EE2">
      <w:rPr>
        <w:i/>
        <w:noProof/>
        <w:sz w:val="18"/>
        <w:lang w:eastAsia="hr-HR"/>
      </w:rPr>
      <w:pict>
        <v:shapetype id="_x0000_t32" coordsize="21600,21600" o:spt="32" o:oned="t" path="m,l21600,21600e" filled="f">
          <v:path arrowok="t" fillok="f" o:connecttype="none"/>
          <o:lock v:ext="edit" shapetype="t"/>
        </v:shapetype>
        <v:shape id="_x0000_s2056" type="#_x0000_t32" style="position:absolute;margin-left:.4pt;margin-top:15.2pt;width:683.15pt;height:0;z-index:251673600" o:connectortype="straight"/>
      </w:pict>
    </w:r>
    <w:r w:rsidR="008162AC" w:rsidRPr="006E26B6">
      <w:rPr>
        <w:bCs/>
        <w:i/>
        <w:sz w:val="18"/>
      </w:rPr>
      <w:t>(Svi iznosi su izraženi u KM)</w:t>
    </w:r>
  </w:p>
  <w:p w:rsidR="008162AC" w:rsidRPr="004E0154" w:rsidRDefault="008162AC" w:rsidP="004E0154">
    <w:pPr>
      <w:pStyle w:val="Header"/>
      <w:tabs>
        <w:tab w:val="left" w:pos="2580"/>
        <w:tab w:val="left" w:pos="2985"/>
      </w:tabs>
      <w:spacing w:after="120"/>
      <w:jc w:val="left"/>
      <w:rPr>
        <w:b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1751"/>
    <w:multiLevelType w:val="hybridMultilevel"/>
    <w:tmpl w:val="CDC0C5DA"/>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946A53"/>
    <w:multiLevelType w:val="multilevel"/>
    <w:tmpl w:val="AA40D52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4C11619"/>
    <w:multiLevelType w:val="hybridMultilevel"/>
    <w:tmpl w:val="DEC84ABE"/>
    <w:lvl w:ilvl="0" w:tplc="46965914">
      <w:start w:val="45"/>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07A33005"/>
    <w:multiLevelType w:val="hybridMultilevel"/>
    <w:tmpl w:val="DE68D5B8"/>
    <w:lvl w:ilvl="0" w:tplc="B5749690">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8EB52E7"/>
    <w:multiLevelType w:val="hybridMultilevel"/>
    <w:tmpl w:val="E0E2CAC8"/>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97C1BF9"/>
    <w:multiLevelType w:val="hybridMultilevel"/>
    <w:tmpl w:val="CA581B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1343AE4"/>
    <w:multiLevelType w:val="hybridMultilevel"/>
    <w:tmpl w:val="759C7586"/>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3EB3FEB"/>
    <w:multiLevelType w:val="multilevel"/>
    <w:tmpl w:val="2A6CC1A4"/>
    <w:lvl w:ilvl="0">
      <w:start w:val="1"/>
      <w:numFmt w:val="bullet"/>
      <w:lvlText w:val=""/>
      <w:lvlJc w:val="left"/>
      <w:pPr>
        <w:ind w:left="720" w:hanging="360"/>
      </w:pPr>
      <w:rPr>
        <w:rFonts w:ascii="Symbol" w:hAnsi="Symbol" w:cs="Symbol"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1BBB1C5B"/>
    <w:multiLevelType w:val="multilevel"/>
    <w:tmpl w:val="22A45950"/>
    <w:lvl w:ilvl="0">
      <w:start w:val="1"/>
      <w:numFmt w:val="decimal"/>
      <w:lvlText w:val="%1."/>
      <w:lvlJc w:val="left"/>
      <w:pPr>
        <w:ind w:left="360" w:hanging="360"/>
      </w:pPr>
      <w:rPr>
        <w:rFonts w:hint="default"/>
        <w:b w:val="0"/>
        <w:bCs w:val="0"/>
      </w:rPr>
    </w:lvl>
    <w:lvl w:ilvl="1">
      <w:start w:val="1"/>
      <w:numFmt w:val="bullet"/>
      <w:lvlText w:val=""/>
      <w:lvlJc w:val="left"/>
      <w:pPr>
        <w:ind w:left="360" w:hanging="360"/>
      </w:pPr>
      <w:rPr>
        <w:rFonts w:ascii="Symbol" w:hAnsi="Symbol" w:cs="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BC86E76"/>
    <w:multiLevelType w:val="hybridMultilevel"/>
    <w:tmpl w:val="EE12D0CC"/>
    <w:lvl w:ilvl="0" w:tplc="041A000B">
      <w:start w:val="1"/>
      <w:numFmt w:val="bullet"/>
      <w:lvlText w:val=""/>
      <w:lvlJc w:val="left"/>
      <w:pPr>
        <w:ind w:left="1170" w:hanging="360"/>
      </w:pPr>
      <w:rPr>
        <w:rFonts w:ascii="Wingdings" w:hAnsi="Wingdings" w:cs="Wingdings" w:hint="default"/>
      </w:rPr>
    </w:lvl>
    <w:lvl w:ilvl="1" w:tplc="041A0003">
      <w:start w:val="1"/>
      <w:numFmt w:val="bullet"/>
      <w:lvlText w:val="o"/>
      <w:lvlJc w:val="left"/>
      <w:pPr>
        <w:ind w:left="1890" w:hanging="360"/>
      </w:pPr>
      <w:rPr>
        <w:rFonts w:ascii="Courier New" w:hAnsi="Courier New" w:cs="Courier New" w:hint="default"/>
      </w:rPr>
    </w:lvl>
    <w:lvl w:ilvl="2" w:tplc="041A0005">
      <w:start w:val="1"/>
      <w:numFmt w:val="bullet"/>
      <w:lvlText w:val=""/>
      <w:lvlJc w:val="left"/>
      <w:pPr>
        <w:ind w:left="2610" w:hanging="360"/>
      </w:pPr>
      <w:rPr>
        <w:rFonts w:ascii="Wingdings" w:hAnsi="Wingdings" w:cs="Wingdings" w:hint="default"/>
      </w:rPr>
    </w:lvl>
    <w:lvl w:ilvl="3" w:tplc="041A0001">
      <w:start w:val="1"/>
      <w:numFmt w:val="bullet"/>
      <w:lvlText w:val=""/>
      <w:lvlJc w:val="left"/>
      <w:pPr>
        <w:ind w:left="3330" w:hanging="360"/>
      </w:pPr>
      <w:rPr>
        <w:rFonts w:ascii="Symbol" w:hAnsi="Symbol" w:cs="Symbol" w:hint="default"/>
      </w:rPr>
    </w:lvl>
    <w:lvl w:ilvl="4" w:tplc="041A0003">
      <w:start w:val="1"/>
      <w:numFmt w:val="bullet"/>
      <w:lvlText w:val="o"/>
      <w:lvlJc w:val="left"/>
      <w:pPr>
        <w:ind w:left="4050" w:hanging="360"/>
      </w:pPr>
      <w:rPr>
        <w:rFonts w:ascii="Courier New" w:hAnsi="Courier New" w:cs="Courier New" w:hint="default"/>
      </w:rPr>
    </w:lvl>
    <w:lvl w:ilvl="5" w:tplc="041A0005">
      <w:start w:val="1"/>
      <w:numFmt w:val="bullet"/>
      <w:lvlText w:val=""/>
      <w:lvlJc w:val="left"/>
      <w:pPr>
        <w:ind w:left="4770" w:hanging="360"/>
      </w:pPr>
      <w:rPr>
        <w:rFonts w:ascii="Wingdings" w:hAnsi="Wingdings" w:cs="Wingdings" w:hint="default"/>
      </w:rPr>
    </w:lvl>
    <w:lvl w:ilvl="6" w:tplc="041A0001">
      <w:start w:val="1"/>
      <w:numFmt w:val="bullet"/>
      <w:lvlText w:val=""/>
      <w:lvlJc w:val="left"/>
      <w:pPr>
        <w:ind w:left="5490" w:hanging="360"/>
      </w:pPr>
      <w:rPr>
        <w:rFonts w:ascii="Symbol" w:hAnsi="Symbol" w:cs="Symbol" w:hint="default"/>
      </w:rPr>
    </w:lvl>
    <w:lvl w:ilvl="7" w:tplc="041A0003">
      <w:start w:val="1"/>
      <w:numFmt w:val="bullet"/>
      <w:lvlText w:val="o"/>
      <w:lvlJc w:val="left"/>
      <w:pPr>
        <w:ind w:left="6210" w:hanging="360"/>
      </w:pPr>
      <w:rPr>
        <w:rFonts w:ascii="Courier New" w:hAnsi="Courier New" w:cs="Courier New" w:hint="default"/>
      </w:rPr>
    </w:lvl>
    <w:lvl w:ilvl="8" w:tplc="041A0005">
      <w:start w:val="1"/>
      <w:numFmt w:val="bullet"/>
      <w:lvlText w:val=""/>
      <w:lvlJc w:val="left"/>
      <w:pPr>
        <w:ind w:left="6930" w:hanging="360"/>
      </w:pPr>
      <w:rPr>
        <w:rFonts w:ascii="Wingdings" w:hAnsi="Wingdings" w:cs="Wingdings" w:hint="default"/>
      </w:rPr>
    </w:lvl>
  </w:abstractNum>
  <w:abstractNum w:abstractNumId="10">
    <w:nsid w:val="1F037B94"/>
    <w:multiLevelType w:val="hybridMultilevel"/>
    <w:tmpl w:val="3B06DE0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nsid w:val="21A20911"/>
    <w:multiLevelType w:val="hybridMultilevel"/>
    <w:tmpl w:val="E502187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224860E4"/>
    <w:multiLevelType w:val="hybridMultilevel"/>
    <w:tmpl w:val="14A689F8"/>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A357E15"/>
    <w:multiLevelType w:val="hybridMultilevel"/>
    <w:tmpl w:val="0C06A350"/>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D386DE7"/>
    <w:multiLevelType w:val="hybridMultilevel"/>
    <w:tmpl w:val="1342167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3EF0FBA"/>
    <w:multiLevelType w:val="hybridMultilevel"/>
    <w:tmpl w:val="083890C8"/>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83D2DB4"/>
    <w:multiLevelType w:val="hybridMultilevel"/>
    <w:tmpl w:val="5F0CC8B2"/>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8F36E82"/>
    <w:multiLevelType w:val="multilevel"/>
    <w:tmpl w:val="64EE885C"/>
    <w:lvl w:ilvl="0">
      <w:start w:val="1"/>
      <w:numFmt w:val="bullet"/>
      <w:lvlText w:val=""/>
      <w:lvlJc w:val="left"/>
      <w:pPr>
        <w:tabs>
          <w:tab w:val="num" w:pos="1428"/>
        </w:tabs>
        <w:ind w:left="1428" w:hanging="360"/>
      </w:pPr>
      <w:rPr>
        <w:rFonts w:ascii="Wingdings" w:hAnsi="Wingdings" w:hint="default"/>
      </w:rPr>
    </w:lvl>
    <w:lvl w:ilvl="1">
      <w:start w:val="1"/>
      <w:numFmt w:val="decimal"/>
      <w:lvlText w:val="%2."/>
      <w:lvlJc w:val="left"/>
      <w:pPr>
        <w:tabs>
          <w:tab w:val="num" w:pos="2148"/>
        </w:tabs>
        <w:ind w:left="2148" w:hanging="360"/>
      </w:pPr>
      <w:rPr>
        <w:rFonts w:cs="Times New Roman"/>
      </w:rPr>
    </w:lvl>
    <w:lvl w:ilvl="2">
      <w:start w:val="1"/>
      <w:numFmt w:val="decimal"/>
      <w:lvlText w:val="%3."/>
      <w:lvlJc w:val="left"/>
      <w:pPr>
        <w:tabs>
          <w:tab w:val="num" w:pos="2868"/>
        </w:tabs>
        <w:ind w:left="2868" w:hanging="360"/>
      </w:pPr>
      <w:rPr>
        <w:rFonts w:cs="Times New Roman"/>
      </w:rPr>
    </w:lvl>
    <w:lvl w:ilvl="3">
      <w:start w:val="1"/>
      <w:numFmt w:val="decimal"/>
      <w:lvlText w:val="%4."/>
      <w:lvlJc w:val="left"/>
      <w:pPr>
        <w:tabs>
          <w:tab w:val="num" w:pos="3588"/>
        </w:tabs>
        <w:ind w:left="3588" w:hanging="360"/>
      </w:pPr>
      <w:rPr>
        <w:rFonts w:cs="Times New Roman"/>
      </w:rPr>
    </w:lvl>
    <w:lvl w:ilvl="4">
      <w:start w:val="1"/>
      <w:numFmt w:val="decimal"/>
      <w:lvlText w:val="%5."/>
      <w:lvlJc w:val="left"/>
      <w:pPr>
        <w:tabs>
          <w:tab w:val="num" w:pos="4308"/>
        </w:tabs>
        <w:ind w:left="4308" w:hanging="360"/>
      </w:pPr>
      <w:rPr>
        <w:rFonts w:cs="Times New Roman"/>
      </w:rPr>
    </w:lvl>
    <w:lvl w:ilvl="5">
      <w:start w:val="1"/>
      <w:numFmt w:val="decimal"/>
      <w:lvlText w:val="%6."/>
      <w:lvlJc w:val="left"/>
      <w:pPr>
        <w:tabs>
          <w:tab w:val="num" w:pos="5028"/>
        </w:tabs>
        <w:ind w:left="5028" w:hanging="360"/>
      </w:pPr>
      <w:rPr>
        <w:rFonts w:cs="Times New Roman"/>
      </w:rPr>
    </w:lvl>
    <w:lvl w:ilvl="6">
      <w:start w:val="1"/>
      <w:numFmt w:val="decimal"/>
      <w:lvlText w:val="%7."/>
      <w:lvlJc w:val="left"/>
      <w:pPr>
        <w:tabs>
          <w:tab w:val="num" w:pos="5748"/>
        </w:tabs>
        <w:ind w:left="5748" w:hanging="360"/>
      </w:pPr>
      <w:rPr>
        <w:rFonts w:cs="Times New Roman"/>
      </w:rPr>
    </w:lvl>
    <w:lvl w:ilvl="7">
      <w:start w:val="1"/>
      <w:numFmt w:val="decimal"/>
      <w:lvlText w:val="%8."/>
      <w:lvlJc w:val="left"/>
      <w:pPr>
        <w:tabs>
          <w:tab w:val="num" w:pos="6468"/>
        </w:tabs>
        <w:ind w:left="6468" w:hanging="360"/>
      </w:pPr>
      <w:rPr>
        <w:rFonts w:cs="Times New Roman"/>
      </w:rPr>
    </w:lvl>
    <w:lvl w:ilvl="8">
      <w:start w:val="1"/>
      <w:numFmt w:val="decimal"/>
      <w:lvlText w:val="%9."/>
      <w:lvlJc w:val="left"/>
      <w:pPr>
        <w:tabs>
          <w:tab w:val="num" w:pos="7188"/>
        </w:tabs>
        <w:ind w:left="7188" w:hanging="360"/>
      </w:pPr>
      <w:rPr>
        <w:rFonts w:cs="Times New Roman"/>
      </w:rPr>
    </w:lvl>
  </w:abstractNum>
  <w:abstractNum w:abstractNumId="18">
    <w:nsid w:val="397A4CF5"/>
    <w:multiLevelType w:val="hybridMultilevel"/>
    <w:tmpl w:val="A2D652AA"/>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6920391"/>
    <w:multiLevelType w:val="hybridMultilevel"/>
    <w:tmpl w:val="FEC4716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cs="Wingdings" w:hint="default"/>
      </w:rPr>
    </w:lvl>
    <w:lvl w:ilvl="3" w:tplc="04090001">
      <w:start w:val="1"/>
      <w:numFmt w:val="bullet"/>
      <w:lvlText w:val=""/>
      <w:lvlJc w:val="left"/>
      <w:pPr>
        <w:tabs>
          <w:tab w:val="num" w:pos="3588"/>
        </w:tabs>
        <w:ind w:left="3588" w:hanging="360"/>
      </w:pPr>
      <w:rPr>
        <w:rFonts w:ascii="Symbol" w:hAnsi="Symbol" w:cs="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cs="Wingdings" w:hint="default"/>
      </w:rPr>
    </w:lvl>
    <w:lvl w:ilvl="6" w:tplc="04090001">
      <w:start w:val="1"/>
      <w:numFmt w:val="bullet"/>
      <w:lvlText w:val=""/>
      <w:lvlJc w:val="left"/>
      <w:pPr>
        <w:tabs>
          <w:tab w:val="num" w:pos="5748"/>
        </w:tabs>
        <w:ind w:left="5748" w:hanging="360"/>
      </w:pPr>
      <w:rPr>
        <w:rFonts w:ascii="Symbol" w:hAnsi="Symbol" w:cs="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cs="Wingdings" w:hint="default"/>
      </w:rPr>
    </w:lvl>
  </w:abstractNum>
  <w:abstractNum w:abstractNumId="20">
    <w:nsid w:val="4A276C21"/>
    <w:multiLevelType w:val="multilevel"/>
    <w:tmpl w:val="AA40D5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BD4523"/>
    <w:multiLevelType w:val="hybridMultilevel"/>
    <w:tmpl w:val="404E3E64"/>
    <w:lvl w:ilvl="0" w:tplc="041A000B">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CCF534C"/>
    <w:multiLevelType w:val="hybridMultilevel"/>
    <w:tmpl w:val="70B2BB96"/>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CD728F0"/>
    <w:multiLevelType w:val="multilevel"/>
    <w:tmpl w:val="8A16E9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E9D2FD1"/>
    <w:multiLevelType w:val="hybridMultilevel"/>
    <w:tmpl w:val="2CE0E628"/>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nsid w:val="4EC51208"/>
    <w:multiLevelType w:val="multilevel"/>
    <w:tmpl w:val="536CE27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0BA44DE"/>
    <w:multiLevelType w:val="hybridMultilevel"/>
    <w:tmpl w:val="8ADA41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2861DFD"/>
    <w:multiLevelType w:val="hybridMultilevel"/>
    <w:tmpl w:val="527271E2"/>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47B3EC7"/>
    <w:multiLevelType w:val="multilevel"/>
    <w:tmpl w:val="2A6CC1A4"/>
    <w:lvl w:ilvl="0">
      <w:start w:val="1"/>
      <w:numFmt w:val="bullet"/>
      <w:lvlText w:val=""/>
      <w:lvlJc w:val="left"/>
      <w:pPr>
        <w:ind w:left="720" w:hanging="360"/>
      </w:pPr>
      <w:rPr>
        <w:rFonts w:ascii="Symbol" w:hAnsi="Symbol" w:cs="Symbol"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nsid w:val="54964E8F"/>
    <w:multiLevelType w:val="hybridMultilevel"/>
    <w:tmpl w:val="28F474FA"/>
    <w:lvl w:ilvl="0" w:tplc="B5749690">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BF17B2D"/>
    <w:multiLevelType w:val="hybridMultilevel"/>
    <w:tmpl w:val="3A4281C2"/>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23A0A45"/>
    <w:multiLevelType w:val="hybridMultilevel"/>
    <w:tmpl w:val="42F4FC46"/>
    <w:lvl w:ilvl="0" w:tplc="041A000B">
      <w:start w:val="1"/>
      <w:numFmt w:val="bullet"/>
      <w:lvlText w:val=""/>
      <w:lvlJc w:val="left"/>
      <w:pPr>
        <w:tabs>
          <w:tab w:val="num" w:pos="360"/>
        </w:tabs>
        <w:ind w:left="340" w:hanging="34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6A77217A"/>
    <w:multiLevelType w:val="hybridMultilevel"/>
    <w:tmpl w:val="B142B956"/>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A8A7F29"/>
    <w:multiLevelType w:val="hybridMultilevel"/>
    <w:tmpl w:val="DA8A8DAE"/>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0540E91"/>
    <w:multiLevelType w:val="hybridMultilevel"/>
    <w:tmpl w:val="27AC6674"/>
    <w:lvl w:ilvl="0" w:tplc="C04A509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1011233"/>
    <w:multiLevelType w:val="hybridMultilevel"/>
    <w:tmpl w:val="7C264DDA"/>
    <w:lvl w:ilvl="0" w:tplc="041A000B">
      <w:start w:val="1"/>
      <w:numFmt w:val="bullet"/>
      <w:lvlText w:val=""/>
      <w:lvlJc w:val="left"/>
      <w:pPr>
        <w:ind w:left="720" w:hanging="360"/>
      </w:pPr>
      <w:rPr>
        <w:rFonts w:ascii="Wingdings" w:hAnsi="Wingdings" w:cs="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6">
    <w:nsid w:val="73182A46"/>
    <w:multiLevelType w:val="hybridMultilevel"/>
    <w:tmpl w:val="FC448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3183062"/>
    <w:multiLevelType w:val="hybridMultilevel"/>
    <w:tmpl w:val="717641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83E4232"/>
    <w:multiLevelType w:val="hybridMultilevel"/>
    <w:tmpl w:val="C58E58D0"/>
    <w:lvl w:ilvl="0" w:tplc="0409000F">
      <w:start w:val="1"/>
      <w:numFmt w:val="decimal"/>
      <w:lvlText w:val="%1."/>
      <w:lvlJc w:val="left"/>
      <w:pPr>
        <w:tabs>
          <w:tab w:val="num" w:pos="720"/>
        </w:tabs>
        <w:ind w:left="720" w:hanging="360"/>
      </w:pPr>
    </w:lvl>
    <w:lvl w:ilvl="1" w:tplc="ACBC47EC">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34"/>
  </w:num>
  <w:num w:numId="2">
    <w:abstractNumId w:val="2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5"/>
  </w:num>
  <w:num w:numId="6">
    <w:abstractNumId w:val="31"/>
  </w:num>
  <w:num w:numId="7">
    <w:abstractNumId w:val="23"/>
  </w:num>
  <w:num w:numId="8">
    <w:abstractNumId w:val="9"/>
  </w:num>
  <w:num w:numId="9">
    <w:abstractNumId w:val="26"/>
  </w:num>
  <w:num w:numId="10">
    <w:abstractNumId w:val="37"/>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8"/>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9"/>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0"/>
  </w:num>
  <w:num w:numId="21">
    <w:abstractNumId w:val="6"/>
  </w:num>
  <w:num w:numId="22">
    <w:abstractNumId w:val="2"/>
  </w:num>
  <w:num w:numId="23">
    <w:abstractNumId w:val="4"/>
  </w:num>
  <w:num w:numId="24">
    <w:abstractNumId w:val="27"/>
  </w:num>
  <w:num w:numId="25">
    <w:abstractNumId w:val="30"/>
  </w:num>
  <w:num w:numId="26">
    <w:abstractNumId w:val="18"/>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
  </w:num>
  <w:num w:numId="30">
    <w:abstractNumId w:val="36"/>
  </w:num>
  <w:num w:numId="31">
    <w:abstractNumId w:val="14"/>
  </w:num>
  <w:num w:numId="32">
    <w:abstractNumId w:val="13"/>
  </w:num>
  <w:num w:numId="33">
    <w:abstractNumId w:val="16"/>
  </w:num>
  <w:num w:numId="34">
    <w:abstractNumId w:val="15"/>
  </w:num>
  <w:num w:numId="35">
    <w:abstractNumId w:val="12"/>
  </w:num>
  <w:num w:numId="36">
    <w:abstractNumId w:val="0"/>
  </w:num>
  <w:num w:numId="37">
    <w:abstractNumId w:val="22"/>
  </w:num>
  <w:num w:numId="38">
    <w:abstractNumId w:val="32"/>
  </w:num>
  <w:num w:numId="39">
    <w:abstractNumId w:val="33"/>
  </w:num>
  <w:num w:numId="40">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8194"/>
    <o:shapelayout v:ext="edit">
      <o:idmap v:ext="edit" data="2"/>
      <o:rules v:ext="edit">
        <o:r id="V:Rule8" type="connector" idref="#_x0000_s2051"/>
        <o:r id="V:Rule9" type="connector" idref="#_x0000_s2049"/>
        <o:r id="V:Rule10" type="connector" idref="#_x0000_s2050"/>
        <o:r id="V:Rule11" type="connector" idref="#_x0000_s2056"/>
        <o:r id="V:Rule12" type="connector" idref="#_x0000_s2055"/>
        <o:r id="V:Rule13" type="connector" idref="#_x0000_s2054"/>
        <o:r id="V:Rule14" type="connector" idref="#_x0000_s2052"/>
      </o:rules>
    </o:shapelayout>
  </w:hdrShapeDefaults>
  <w:footnotePr>
    <w:footnote w:id="0"/>
    <w:footnote w:id="1"/>
  </w:footnotePr>
  <w:endnotePr>
    <w:endnote w:id="0"/>
    <w:endnote w:id="1"/>
  </w:endnotePr>
  <w:compat/>
  <w:rsids>
    <w:rsidRoot w:val="006475F9"/>
    <w:rsid w:val="00022725"/>
    <w:rsid w:val="000307EC"/>
    <w:rsid w:val="00033768"/>
    <w:rsid w:val="00050445"/>
    <w:rsid w:val="00052161"/>
    <w:rsid w:val="0005282D"/>
    <w:rsid w:val="00054723"/>
    <w:rsid w:val="000740A2"/>
    <w:rsid w:val="00097F7B"/>
    <w:rsid w:val="000A30EA"/>
    <w:rsid w:val="000A63F1"/>
    <w:rsid w:val="000F16E5"/>
    <w:rsid w:val="000F4F99"/>
    <w:rsid w:val="000F7702"/>
    <w:rsid w:val="001042EC"/>
    <w:rsid w:val="00121068"/>
    <w:rsid w:val="0015006F"/>
    <w:rsid w:val="001511DF"/>
    <w:rsid w:val="00151CFE"/>
    <w:rsid w:val="0016350E"/>
    <w:rsid w:val="001678AD"/>
    <w:rsid w:val="001C0D9E"/>
    <w:rsid w:val="00202969"/>
    <w:rsid w:val="0022380E"/>
    <w:rsid w:val="002640C0"/>
    <w:rsid w:val="0027592E"/>
    <w:rsid w:val="002957E4"/>
    <w:rsid w:val="002B1972"/>
    <w:rsid w:val="002B2269"/>
    <w:rsid w:val="002C0F78"/>
    <w:rsid w:val="002F4D0C"/>
    <w:rsid w:val="002F6518"/>
    <w:rsid w:val="00300F10"/>
    <w:rsid w:val="0030213B"/>
    <w:rsid w:val="00307B74"/>
    <w:rsid w:val="003160E8"/>
    <w:rsid w:val="00321AB8"/>
    <w:rsid w:val="00322374"/>
    <w:rsid w:val="003231B7"/>
    <w:rsid w:val="003272BB"/>
    <w:rsid w:val="003275BB"/>
    <w:rsid w:val="00340417"/>
    <w:rsid w:val="00340885"/>
    <w:rsid w:val="00345652"/>
    <w:rsid w:val="00345858"/>
    <w:rsid w:val="00346BD5"/>
    <w:rsid w:val="00347816"/>
    <w:rsid w:val="0035026C"/>
    <w:rsid w:val="0035035D"/>
    <w:rsid w:val="0035557E"/>
    <w:rsid w:val="00372C02"/>
    <w:rsid w:val="00373577"/>
    <w:rsid w:val="00385672"/>
    <w:rsid w:val="003856FA"/>
    <w:rsid w:val="003A0C0E"/>
    <w:rsid w:val="003D1BD9"/>
    <w:rsid w:val="00410030"/>
    <w:rsid w:val="00411DBF"/>
    <w:rsid w:val="004202FF"/>
    <w:rsid w:val="00423088"/>
    <w:rsid w:val="004233DE"/>
    <w:rsid w:val="00432E2B"/>
    <w:rsid w:val="00461A44"/>
    <w:rsid w:val="00472B61"/>
    <w:rsid w:val="004822DB"/>
    <w:rsid w:val="004A640D"/>
    <w:rsid w:val="004A72C9"/>
    <w:rsid w:val="004E0154"/>
    <w:rsid w:val="004E4FDF"/>
    <w:rsid w:val="004F2E88"/>
    <w:rsid w:val="00501713"/>
    <w:rsid w:val="00524AC3"/>
    <w:rsid w:val="00541405"/>
    <w:rsid w:val="005674D1"/>
    <w:rsid w:val="00571ACB"/>
    <w:rsid w:val="00590BC9"/>
    <w:rsid w:val="00592C95"/>
    <w:rsid w:val="005A6B29"/>
    <w:rsid w:val="005B0751"/>
    <w:rsid w:val="005E3A21"/>
    <w:rsid w:val="0060114B"/>
    <w:rsid w:val="006475F9"/>
    <w:rsid w:val="006522E0"/>
    <w:rsid w:val="006676F0"/>
    <w:rsid w:val="0067680C"/>
    <w:rsid w:val="006C01C9"/>
    <w:rsid w:val="006D01D2"/>
    <w:rsid w:val="006D76E1"/>
    <w:rsid w:val="00703B36"/>
    <w:rsid w:val="0074536C"/>
    <w:rsid w:val="00766C0C"/>
    <w:rsid w:val="0078746A"/>
    <w:rsid w:val="007C448A"/>
    <w:rsid w:val="007D2ED7"/>
    <w:rsid w:val="007D5785"/>
    <w:rsid w:val="008043C5"/>
    <w:rsid w:val="0081469D"/>
    <w:rsid w:val="008162AC"/>
    <w:rsid w:val="00817EDE"/>
    <w:rsid w:val="00832B4C"/>
    <w:rsid w:val="00845A04"/>
    <w:rsid w:val="00857F9F"/>
    <w:rsid w:val="00860129"/>
    <w:rsid w:val="008707F7"/>
    <w:rsid w:val="008729D1"/>
    <w:rsid w:val="00874875"/>
    <w:rsid w:val="008D7D97"/>
    <w:rsid w:val="008E0BC1"/>
    <w:rsid w:val="008F6772"/>
    <w:rsid w:val="00903C07"/>
    <w:rsid w:val="00913518"/>
    <w:rsid w:val="009139E5"/>
    <w:rsid w:val="00915FCA"/>
    <w:rsid w:val="00924717"/>
    <w:rsid w:val="00925A37"/>
    <w:rsid w:val="00984CF7"/>
    <w:rsid w:val="009B3599"/>
    <w:rsid w:val="009D0CF4"/>
    <w:rsid w:val="009D3520"/>
    <w:rsid w:val="009D4C9C"/>
    <w:rsid w:val="009D6997"/>
    <w:rsid w:val="009E17AC"/>
    <w:rsid w:val="009F3803"/>
    <w:rsid w:val="009F4F6A"/>
    <w:rsid w:val="00A03CCF"/>
    <w:rsid w:val="00A233E1"/>
    <w:rsid w:val="00A45EE2"/>
    <w:rsid w:val="00A4658F"/>
    <w:rsid w:val="00A65D5E"/>
    <w:rsid w:val="00A70EA5"/>
    <w:rsid w:val="00A90CA8"/>
    <w:rsid w:val="00A97CA5"/>
    <w:rsid w:val="00AB2E88"/>
    <w:rsid w:val="00AB4F97"/>
    <w:rsid w:val="00AF14F4"/>
    <w:rsid w:val="00B01B03"/>
    <w:rsid w:val="00B07BBD"/>
    <w:rsid w:val="00B149BF"/>
    <w:rsid w:val="00B20F3B"/>
    <w:rsid w:val="00B316E2"/>
    <w:rsid w:val="00B44149"/>
    <w:rsid w:val="00B64589"/>
    <w:rsid w:val="00B7362A"/>
    <w:rsid w:val="00B93385"/>
    <w:rsid w:val="00BA1178"/>
    <w:rsid w:val="00BB1323"/>
    <w:rsid w:val="00BB312B"/>
    <w:rsid w:val="00BB44FE"/>
    <w:rsid w:val="00BC0F71"/>
    <w:rsid w:val="00BD3C04"/>
    <w:rsid w:val="00C0548C"/>
    <w:rsid w:val="00C12D4B"/>
    <w:rsid w:val="00C37F71"/>
    <w:rsid w:val="00C40CB4"/>
    <w:rsid w:val="00C416B5"/>
    <w:rsid w:val="00C71C9F"/>
    <w:rsid w:val="00C772E1"/>
    <w:rsid w:val="00C8749A"/>
    <w:rsid w:val="00CA66D5"/>
    <w:rsid w:val="00CB1B21"/>
    <w:rsid w:val="00CB7A73"/>
    <w:rsid w:val="00CC5615"/>
    <w:rsid w:val="00CF22FD"/>
    <w:rsid w:val="00D17BD4"/>
    <w:rsid w:val="00D37549"/>
    <w:rsid w:val="00D6079C"/>
    <w:rsid w:val="00D65947"/>
    <w:rsid w:val="00D80B8A"/>
    <w:rsid w:val="00DB4C6A"/>
    <w:rsid w:val="00DC7841"/>
    <w:rsid w:val="00DD42A6"/>
    <w:rsid w:val="00DD6A4C"/>
    <w:rsid w:val="00DE2401"/>
    <w:rsid w:val="00E15ECC"/>
    <w:rsid w:val="00E17008"/>
    <w:rsid w:val="00E2085E"/>
    <w:rsid w:val="00E361FF"/>
    <w:rsid w:val="00E6617C"/>
    <w:rsid w:val="00E6694E"/>
    <w:rsid w:val="00E67545"/>
    <w:rsid w:val="00E80E5C"/>
    <w:rsid w:val="00E87269"/>
    <w:rsid w:val="00EA087E"/>
    <w:rsid w:val="00EA428E"/>
    <w:rsid w:val="00F012A3"/>
    <w:rsid w:val="00F149FD"/>
    <w:rsid w:val="00F159FC"/>
    <w:rsid w:val="00F23921"/>
    <w:rsid w:val="00F44F79"/>
    <w:rsid w:val="00F7429D"/>
    <w:rsid w:val="00F8492A"/>
    <w:rsid w:val="00F84D62"/>
    <w:rsid w:val="00F93582"/>
    <w:rsid w:val="00FA09CC"/>
    <w:rsid w:val="00FA29FA"/>
    <w:rsid w:val="00FB3B03"/>
    <w:rsid w:val="00FB6461"/>
    <w:rsid w:val="00FC71D0"/>
    <w:rsid w:val="00FF3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5F9"/>
    <w:rPr>
      <w:rFonts w:ascii="Arial" w:eastAsia="Calibri" w:hAnsi="Arial" w:cs="Arial"/>
      <w:sz w:val="20"/>
      <w:szCs w:val="20"/>
    </w:rPr>
  </w:style>
  <w:style w:type="paragraph" w:styleId="Heading1">
    <w:name w:val="heading 1"/>
    <w:basedOn w:val="Normal"/>
    <w:next w:val="Normal"/>
    <w:link w:val="Heading1Char"/>
    <w:uiPriority w:val="99"/>
    <w:qFormat/>
    <w:rsid w:val="006475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475F9"/>
    <w:pPr>
      <w:pBdr>
        <w:bottom w:val="single" w:sz="4" w:space="1" w:color="000000"/>
        <w:between w:val="single" w:sz="4" w:space="1" w:color="000000"/>
      </w:pBdr>
      <w:spacing w:before="200" w:after="280"/>
      <w:ind w:left="936" w:right="936"/>
    </w:pPr>
    <w:rPr>
      <w:rFonts w:ascii="Cambria" w:hAnsi="Cambria"/>
      <w:b/>
      <w:bCs/>
      <w:i/>
      <w:iCs/>
      <w:sz w:val="28"/>
    </w:rPr>
  </w:style>
  <w:style w:type="character" w:customStyle="1" w:styleId="IntenseQuoteChar">
    <w:name w:val="Intense Quote Char"/>
    <w:basedOn w:val="DefaultParagraphFont"/>
    <w:link w:val="IntenseQuote"/>
    <w:uiPriority w:val="30"/>
    <w:rsid w:val="006475F9"/>
    <w:rPr>
      <w:rFonts w:ascii="Cambria" w:eastAsia="Calibri" w:hAnsi="Cambria" w:cs="Arial"/>
      <w:b/>
      <w:bCs/>
      <w:i/>
      <w:iCs/>
      <w:sz w:val="28"/>
      <w:szCs w:val="20"/>
    </w:rPr>
  </w:style>
  <w:style w:type="paragraph" w:styleId="BalloonText">
    <w:name w:val="Balloon Text"/>
    <w:basedOn w:val="Normal"/>
    <w:link w:val="BalloonTextChar"/>
    <w:uiPriority w:val="99"/>
    <w:semiHidden/>
    <w:unhideWhenUsed/>
    <w:rsid w:val="00647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5F9"/>
    <w:rPr>
      <w:rFonts w:ascii="Tahoma" w:eastAsia="Calibri" w:hAnsi="Tahoma" w:cs="Tahoma"/>
      <w:sz w:val="16"/>
      <w:szCs w:val="16"/>
    </w:rPr>
  </w:style>
  <w:style w:type="paragraph" w:styleId="Header">
    <w:name w:val="header"/>
    <w:basedOn w:val="Normal"/>
    <w:link w:val="HeaderChar"/>
    <w:uiPriority w:val="99"/>
    <w:unhideWhenUsed/>
    <w:rsid w:val="006475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75F9"/>
    <w:rPr>
      <w:rFonts w:ascii="Arial" w:eastAsia="Calibri" w:hAnsi="Arial" w:cs="Arial"/>
      <w:sz w:val="20"/>
      <w:szCs w:val="20"/>
    </w:rPr>
  </w:style>
  <w:style w:type="paragraph" w:styleId="Footer">
    <w:name w:val="footer"/>
    <w:basedOn w:val="Normal"/>
    <w:link w:val="FooterChar"/>
    <w:uiPriority w:val="99"/>
    <w:unhideWhenUsed/>
    <w:rsid w:val="006475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75F9"/>
    <w:rPr>
      <w:rFonts w:ascii="Arial" w:eastAsia="Calibri" w:hAnsi="Arial" w:cs="Arial"/>
      <w:sz w:val="20"/>
      <w:szCs w:val="20"/>
    </w:rPr>
  </w:style>
  <w:style w:type="character" w:customStyle="1" w:styleId="Heading1Char">
    <w:name w:val="Heading 1 Char"/>
    <w:basedOn w:val="DefaultParagraphFont"/>
    <w:link w:val="Heading1"/>
    <w:uiPriority w:val="99"/>
    <w:rsid w:val="006475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qFormat/>
    <w:rsid w:val="006475F9"/>
    <w:pPr>
      <w:pBdr>
        <w:bottom w:val="single" w:sz="8" w:space="1" w:color="000000"/>
      </w:pBdr>
      <w:spacing w:before="0" w:after="120" w:line="240" w:lineRule="auto"/>
      <w:jc w:val="left"/>
      <w:outlineLvl w:val="9"/>
    </w:pPr>
    <w:rPr>
      <w:rFonts w:ascii="Cambria" w:eastAsia="Times New Roman" w:hAnsi="Cambria" w:cs="Times New Roman"/>
      <w:b w:val="0"/>
      <w:color w:val="auto"/>
    </w:rPr>
  </w:style>
  <w:style w:type="table" w:styleId="TableGrid">
    <w:name w:val="Table Grid"/>
    <w:basedOn w:val="TableNormal"/>
    <w:uiPriority w:val="99"/>
    <w:rsid w:val="006475F9"/>
    <w:rPr>
      <w:rFonts w:ascii="Arial" w:eastAsia="Calibri" w:hAnsi="Arial" w:cs="Arial"/>
      <w:sz w:val="20"/>
      <w:szCs w:val="20"/>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67545"/>
    <w:pPr>
      <w:ind w:left="720"/>
      <w:contextualSpacing/>
    </w:pPr>
  </w:style>
  <w:style w:type="character" w:styleId="Emphasis">
    <w:name w:val="Emphasis"/>
    <w:basedOn w:val="DefaultParagraphFont"/>
    <w:uiPriority w:val="20"/>
    <w:qFormat/>
    <w:rsid w:val="00E67545"/>
    <w:rPr>
      <w:rFonts w:ascii="Arial" w:hAnsi="Arial"/>
      <w:b/>
      <w:iCs/>
      <w:sz w:val="20"/>
    </w:rPr>
  </w:style>
  <w:style w:type="table" w:customStyle="1" w:styleId="Reetkatablice1">
    <w:name w:val="Rešetka tablice1"/>
    <w:basedOn w:val="TableNormal"/>
    <w:next w:val="TableGrid"/>
    <w:uiPriority w:val="59"/>
    <w:rsid w:val="00924717"/>
    <w:pPr>
      <w:spacing w:after="0" w:line="240" w:lineRule="auto"/>
      <w:jc w:val="left"/>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72845">
      <w:bodyDiv w:val="1"/>
      <w:marLeft w:val="0"/>
      <w:marRight w:val="0"/>
      <w:marTop w:val="0"/>
      <w:marBottom w:val="0"/>
      <w:divBdr>
        <w:top w:val="none" w:sz="0" w:space="0" w:color="auto"/>
        <w:left w:val="none" w:sz="0" w:space="0" w:color="auto"/>
        <w:bottom w:val="none" w:sz="0" w:space="0" w:color="auto"/>
        <w:right w:val="none" w:sz="0" w:space="0" w:color="auto"/>
      </w:divBdr>
    </w:div>
    <w:div w:id="35933100">
      <w:bodyDiv w:val="1"/>
      <w:marLeft w:val="0"/>
      <w:marRight w:val="0"/>
      <w:marTop w:val="0"/>
      <w:marBottom w:val="0"/>
      <w:divBdr>
        <w:top w:val="none" w:sz="0" w:space="0" w:color="auto"/>
        <w:left w:val="none" w:sz="0" w:space="0" w:color="auto"/>
        <w:bottom w:val="none" w:sz="0" w:space="0" w:color="auto"/>
        <w:right w:val="none" w:sz="0" w:space="0" w:color="auto"/>
      </w:divBdr>
    </w:div>
    <w:div w:id="39860751">
      <w:bodyDiv w:val="1"/>
      <w:marLeft w:val="0"/>
      <w:marRight w:val="0"/>
      <w:marTop w:val="0"/>
      <w:marBottom w:val="0"/>
      <w:divBdr>
        <w:top w:val="none" w:sz="0" w:space="0" w:color="auto"/>
        <w:left w:val="none" w:sz="0" w:space="0" w:color="auto"/>
        <w:bottom w:val="none" w:sz="0" w:space="0" w:color="auto"/>
        <w:right w:val="none" w:sz="0" w:space="0" w:color="auto"/>
      </w:divBdr>
    </w:div>
    <w:div w:id="44454716">
      <w:bodyDiv w:val="1"/>
      <w:marLeft w:val="0"/>
      <w:marRight w:val="0"/>
      <w:marTop w:val="0"/>
      <w:marBottom w:val="0"/>
      <w:divBdr>
        <w:top w:val="none" w:sz="0" w:space="0" w:color="auto"/>
        <w:left w:val="none" w:sz="0" w:space="0" w:color="auto"/>
        <w:bottom w:val="none" w:sz="0" w:space="0" w:color="auto"/>
        <w:right w:val="none" w:sz="0" w:space="0" w:color="auto"/>
      </w:divBdr>
    </w:div>
    <w:div w:id="61492204">
      <w:bodyDiv w:val="1"/>
      <w:marLeft w:val="0"/>
      <w:marRight w:val="0"/>
      <w:marTop w:val="0"/>
      <w:marBottom w:val="0"/>
      <w:divBdr>
        <w:top w:val="none" w:sz="0" w:space="0" w:color="auto"/>
        <w:left w:val="none" w:sz="0" w:space="0" w:color="auto"/>
        <w:bottom w:val="none" w:sz="0" w:space="0" w:color="auto"/>
        <w:right w:val="none" w:sz="0" w:space="0" w:color="auto"/>
      </w:divBdr>
    </w:div>
    <w:div w:id="70155768">
      <w:bodyDiv w:val="1"/>
      <w:marLeft w:val="0"/>
      <w:marRight w:val="0"/>
      <w:marTop w:val="0"/>
      <w:marBottom w:val="0"/>
      <w:divBdr>
        <w:top w:val="none" w:sz="0" w:space="0" w:color="auto"/>
        <w:left w:val="none" w:sz="0" w:space="0" w:color="auto"/>
        <w:bottom w:val="none" w:sz="0" w:space="0" w:color="auto"/>
        <w:right w:val="none" w:sz="0" w:space="0" w:color="auto"/>
      </w:divBdr>
    </w:div>
    <w:div w:id="70853025">
      <w:bodyDiv w:val="1"/>
      <w:marLeft w:val="0"/>
      <w:marRight w:val="0"/>
      <w:marTop w:val="0"/>
      <w:marBottom w:val="0"/>
      <w:divBdr>
        <w:top w:val="none" w:sz="0" w:space="0" w:color="auto"/>
        <w:left w:val="none" w:sz="0" w:space="0" w:color="auto"/>
        <w:bottom w:val="none" w:sz="0" w:space="0" w:color="auto"/>
        <w:right w:val="none" w:sz="0" w:space="0" w:color="auto"/>
      </w:divBdr>
    </w:div>
    <w:div w:id="77334254">
      <w:bodyDiv w:val="1"/>
      <w:marLeft w:val="0"/>
      <w:marRight w:val="0"/>
      <w:marTop w:val="0"/>
      <w:marBottom w:val="0"/>
      <w:divBdr>
        <w:top w:val="none" w:sz="0" w:space="0" w:color="auto"/>
        <w:left w:val="none" w:sz="0" w:space="0" w:color="auto"/>
        <w:bottom w:val="none" w:sz="0" w:space="0" w:color="auto"/>
        <w:right w:val="none" w:sz="0" w:space="0" w:color="auto"/>
      </w:divBdr>
    </w:div>
    <w:div w:id="78991017">
      <w:bodyDiv w:val="1"/>
      <w:marLeft w:val="0"/>
      <w:marRight w:val="0"/>
      <w:marTop w:val="0"/>
      <w:marBottom w:val="0"/>
      <w:divBdr>
        <w:top w:val="none" w:sz="0" w:space="0" w:color="auto"/>
        <w:left w:val="none" w:sz="0" w:space="0" w:color="auto"/>
        <w:bottom w:val="none" w:sz="0" w:space="0" w:color="auto"/>
        <w:right w:val="none" w:sz="0" w:space="0" w:color="auto"/>
      </w:divBdr>
    </w:div>
    <w:div w:id="81608216">
      <w:bodyDiv w:val="1"/>
      <w:marLeft w:val="0"/>
      <w:marRight w:val="0"/>
      <w:marTop w:val="0"/>
      <w:marBottom w:val="0"/>
      <w:divBdr>
        <w:top w:val="none" w:sz="0" w:space="0" w:color="auto"/>
        <w:left w:val="none" w:sz="0" w:space="0" w:color="auto"/>
        <w:bottom w:val="none" w:sz="0" w:space="0" w:color="auto"/>
        <w:right w:val="none" w:sz="0" w:space="0" w:color="auto"/>
      </w:divBdr>
    </w:div>
    <w:div w:id="94833447">
      <w:bodyDiv w:val="1"/>
      <w:marLeft w:val="0"/>
      <w:marRight w:val="0"/>
      <w:marTop w:val="0"/>
      <w:marBottom w:val="0"/>
      <w:divBdr>
        <w:top w:val="none" w:sz="0" w:space="0" w:color="auto"/>
        <w:left w:val="none" w:sz="0" w:space="0" w:color="auto"/>
        <w:bottom w:val="none" w:sz="0" w:space="0" w:color="auto"/>
        <w:right w:val="none" w:sz="0" w:space="0" w:color="auto"/>
      </w:divBdr>
    </w:div>
    <w:div w:id="106318431">
      <w:bodyDiv w:val="1"/>
      <w:marLeft w:val="0"/>
      <w:marRight w:val="0"/>
      <w:marTop w:val="0"/>
      <w:marBottom w:val="0"/>
      <w:divBdr>
        <w:top w:val="none" w:sz="0" w:space="0" w:color="auto"/>
        <w:left w:val="none" w:sz="0" w:space="0" w:color="auto"/>
        <w:bottom w:val="none" w:sz="0" w:space="0" w:color="auto"/>
        <w:right w:val="none" w:sz="0" w:space="0" w:color="auto"/>
      </w:divBdr>
    </w:div>
    <w:div w:id="113794954">
      <w:bodyDiv w:val="1"/>
      <w:marLeft w:val="0"/>
      <w:marRight w:val="0"/>
      <w:marTop w:val="0"/>
      <w:marBottom w:val="0"/>
      <w:divBdr>
        <w:top w:val="none" w:sz="0" w:space="0" w:color="auto"/>
        <w:left w:val="none" w:sz="0" w:space="0" w:color="auto"/>
        <w:bottom w:val="none" w:sz="0" w:space="0" w:color="auto"/>
        <w:right w:val="none" w:sz="0" w:space="0" w:color="auto"/>
      </w:divBdr>
    </w:div>
    <w:div w:id="118451349">
      <w:bodyDiv w:val="1"/>
      <w:marLeft w:val="0"/>
      <w:marRight w:val="0"/>
      <w:marTop w:val="0"/>
      <w:marBottom w:val="0"/>
      <w:divBdr>
        <w:top w:val="none" w:sz="0" w:space="0" w:color="auto"/>
        <w:left w:val="none" w:sz="0" w:space="0" w:color="auto"/>
        <w:bottom w:val="none" w:sz="0" w:space="0" w:color="auto"/>
        <w:right w:val="none" w:sz="0" w:space="0" w:color="auto"/>
      </w:divBdr>
    </w:div>
    <w:div w:id="135950129">
      <w:bodyDiv w:val="1"/>
      <w:marLeft w:val="0"/>
      <w:marRight w:val="0"/>
      <w:marTop w:val="0"/>
      <w:marBottom w:val="0"/>
      <w:divBdr>
        <w:top w:val="none" w:sz="0" w:space="0" w:color="auto"/>
        <w:left w:val="none" w:sz="0" w:space="0" w:color="auto"/>
        <w:bottom w:val="none" w:sz="0" w:space="0" w:color="auto"/>
        <w:right w:val="none" w:sz="0" w:space="0" w:color="auto"/>
      </w:divBdr>
    </w:div>
    <w:div w:id="150371391">
      <w:bodyDiv w:val="1"/>
      <w:marLeft w:val="0"/>
      <w:marRight w:val="0"/>
      <w:marTop w:val="0"/>
      <w:marBottom w:val="0"/>
      <w:divBdr>
        <w:top w:val="none" w:sz="0" w:space="0" w:color="auto"/>
        <w:left w:val="none" w:sz="0" w:space="0" w:color="auto"/>
        <w:bottom w:val="none" w:sz="0" w:space="0" w:color="auto"/>
        <w:right w:val="none" w:sz="0" w:space="0" w:color="auto"/>
      </w:divBdr>
    </w:div>
    <w:div w:id="154222876">
      <w:bodyDiv w:val="1"/>
      <w:marLeft w:val="0"/>
      <w:marRight w:val="0"/>
      <w:marTop w:val="0"/>
      <w:marBottom w:val="0"/>
      <w:divBdr>
        <w:top w:val="none" w:sz="0" w:space="0" w:color="auto"/>
        <w:left w:val="none" w:sz="0" w:space="0" w:color="auto"/>
        <w:bottom w:val="none" w:sz="0" w:space="0" w:color="auto"/>
        <w:right w:val="none" w:sz="0" w:space="0" w:color="auto"/>
      </w:divBdr>
    </w:div>
    <w:div w:id="156382735">
      <w:bodyDiv w:val="1"/>
      <w:marLeft w:val="0"/>
      <w:marRight w:val="0"/>
      <w:marTop w:val="0"/>
      <w:marBottom w:val="0"/>
      <w:divBdr>
        <w:top w:val="none" w:sz="0" w:space="0" w:color="auto"/>
        <w:left w:val="none" w:sz="0" w:space="0" w:color="auto"/>
        <w:bottom w:val="none" w:sz="0" w:space="0" w:color="auto"/>
        <w:right w:val="none" w:sz="0" w:space="0" w:color="auto"/>
      </w:divBdr>
    </w:div>
    <w:div w:id="160972781">
      <w:bodyDiv w:val="1"/>
      <w:marLeft w:val="0"/>
      <w:marRight w:val="0"/>
      <w:marTop w:val="0"/>
      <w:marBottom w:val="0"/>
      <w:divBdr>
        <w:top w:val="none" w:sz="0" w:space="0" w:color="auto"/>
        <w:left w:val="none" w:sz="0" w:space="0" w:color="auto"/>
        <w:bottom w:val="none" w:sz="0" w:space="0" w:color="auto"/>
        <w:right w:val="none" w:sz="0" w:space="0" w:color="auto"/>
      </w:divBdr>
    </w:div>
    <w:div w:id="173033216">
      <w:bodyDiv w:val="1"/>
      <w:marLeft w:val="0"/>
      <w:marRight w:val="0"/>
      <w:marTop w:val="0"/>
      <w:marBottom w:val="0"/>
      <w:divBdr>
        <w:top w:val="none" w:sz="0" w:space="0" w:color="auto"/>
        <w:left w:val="none" w:sz="0" w:space="0" w:color="auto"/>
        <w:bottom w:val="none" w:sz="0" w:space="0" w:color="auto"/>
        <w:right w:val="none" w:sz="0" w:space="0" w:color="auto"/>
      </w:divBdr>
    </w:div>
    <w:div w:id="202913357">
      <w:bodyDiv w:val="1"/>
      <w:marLeft w:val="0"/>
      <w:marRight w:val="0"/>
      <w:marTop w:val="0"/>
      <w:marBottom w:val="0"/>
      <w:divBdr>
        <w:top w:val="none" w:sz="0" w:space="0" w:color="auto"/>
        <w:left w:val="none" w:sz="0" w:space="0" w:color="auto"/>
        <w:bottom w:val="none" w:sz="0" w:space="0" w:color="auto"/>
        <w:right w:val="none" w:sz="0" w:space="0" w:color="auto"/>
      </w:divBdr>
    </w:div>
    <w:div w:id="215701248">
      <w:bodyDiv w:val="1"/>
      <w:marLeft w:val="0"/>
      <w:marRight w:val="0"/>
      <w:marTop w:val="0"/>
      <w:marBottom w:val="0"/>
      <w:divBdr>
        <w:top w:val="none" w:sz="0" w:space="0" w:color="auto"/>
        <w:left w:val="none" w:sz="0" w:space="0" w:color="auto"/>
        <w:bottom w:val="none" w:sz="0" w:space="0" w:color="auto"/>
        <w:right w:val="none" w:sz="0" w:space="0" w:color="auto"/>
      </w:divBdr>
    </w:div>
    <w:div w:id="217521511">
      <w:bodyDiv w:val="1"/>
      <w:marLeft w:val="0"/>
      <w:marRight w:val="0"/>
      <w:marTop w:val="0"/>
      <w:marBottom w:val="0"/>
      <w:divBdr>
        <w:top w:val="none" w:sz="0" w:space="0" w:color="auto"/>
        <w:left w:val="none" w:sz="0" w:space="0" w:color="auto"/>
        <w:bottom w:val="none" w:sz="0" w:space="0" w:color="auto"/>
        <w:right w:val="none" w:sz="0" w:space="0" w:color="auto"/>
      </w:divBdr>
    </w:div>
    <w:div w:id="232936811">
      <w:bodyDiv w:val="1"/>
      <w:marLeft w:val="0"/>
      <w:marRight w:val="0"/>
      <w:marTop w:val="0"/>
      <w:marBottom w:val="0"/>
      <w:divBdr>
        <w:top w:val="none" w:sz="0" w:space="0" w:color="auto"/>
        <w:left w:val="none" w:sz="0" w:space="0" w:color="auto"/>
        <w:bottom w:val="none" w:sz="0" w:space="0" w:color="auto"/>
        <w:right w:val="none" w:sz="0" w:space="0" w:color="auto"/>
      </w:divBdr>
    </w:div>
    <w:div w:id="237830532">
      <w:bodyDiv w:val="1"/>
      <w:marLeft w:val="0"/>
      <w:marRight w:val="0"/>
      <w:marTop w:val="0"/>
      <w:marBottom w:val="0"/>
      <w:divBdr>
        <w:top w:val="none" w:sz="0" w:space="0" w:color="auto"/>
        <w:left w:val="none" w:sz="0" w:space="0" w:color="auto"/>
        <w:bottom w:val="none" w:sz="0" w:space="0" w:color="auto"/>
        <w:right w:val="none" w:sz="0" w:space="0" w:color="auto"/>
      </w:divBdr>
    </w:div>
    <w:div w:id="246354701">
      <w:bodyDiv w:val="1"/>
      <w:marLeft w:val="0"/>
      <w:marRight w:val="0"/>
      <w:marTop w:val="0"/>
      <w:marBottom w:val="0"/>
      <w:divBdr>
        <w:top w:val="none" w:sz="0" w:space="0" w:color="auto"/>
        <w:left w:val="none" w:sz="0" w:space="0" w:color="auto"/>
        <w:bottom w:val="none" w:sz="0" w:space="0" w:color="auto"/>
        <w:right w:val="none" w:sz="0" w:space="0" w:color="auto"/>
      </w:divBdr>
    </w:div>
    <w:div w:id="256251408">
      <w:bodyDiv w:val="1"/>
      <w:marLeft w:val="0"/>
      <w:marRight w:val="0"/>
      <w:marTop w:val="0"/>
      <w:marBottom w:val="0"/>
      <w:divBdr>
        <w:top w:val="none" w:sz="0" w:space="0" w:color="auto"/>
        <w:left w:val="none" w:sz="0" w:space="0" w:color="auto"/>
        <w:bottom w:val="none" w:sz="0" w:space="0" w:color="auto"/>
        <w:right w:val="none" w:sz="0" w:space="0" w:color="auto"/>
      </w:divBdr>
    </w:div>
    <w:div w:id="266734423">
      <w:bodyDiv w:val="1"/>
      <w:marLeft w:val="0"/>
      <w:marRight w:val="0"/>
      <w:marTop w:val="0"/>
      <w:marBottom w:val="0"/>
      <w:divBdr>
        <w:top w:val="none" w:sz="0" w:space="0" w:color="auto"/>
        <w:left w:val="none" w:sz="0" w:space="0" w:color="auto"/>
        <w:bottom w:val="none" w:sz="0" w:space="0" w:color="auto"/>
        <w:right w:val="none" w:sz="0" w:space="0" w:color="auto"/>
      </w:divBdr>
    </w:div>
    <w:div w:id="271473304">
      <w:bodyDiv w:val="1"/>
      <w:marLeft w:val="0"/>
      <w:marRight w:val="0"/>
      <w:marTop w:val="0"/>
      <w:marBottom w:val="0"/>
      <w:divBdr>
        <w:top w:val="none" w:sz="0" w:space="0" w:color="auto"/>
        <w:left w:val="none" w:sz="0" w:space="0" w:color="auto"/>
        <w:bottom w:val="none" w:sz="0" w:space="0" w:color="auto"/>
        <w:right w:val="none" w:sz="0" w:space="0" w:color="auto"/>
      </w:divBdr>
    </w:div>
    <w:div w:id="273176987">
      <w:bodyDiv w:val="1"/>
      <w:marLeft w:val="0"/>
      <w:marRight w:val="0"/>
      <w:marTop w:val="0"/>
      <w:marBottom w:val="0"/>
      <w:divBdr>
        <w:top w:val="none" w:sz="0" w:space="0" w:color="auto"/>
        <w:left w:val="none" w:sz="0" w:space="0" w:color="auto"/>
        <w:bottom w:val="none" w:sz="0" w:space="0" w:color="auto"/>
        <w:right w:val="none" w:sz="0" w:space="0" w:color="auto"/>
      </w:divBdr>
    </w:div>
    <w:div w:id="282731769">
      <w:bodyDiv w:val="1"/>
      <w:marLeft w:val="0"/>
      <w:marRight w:val="0"/>
      <w:marTop w:val="0"/>
      <w:marBottom w:val="0"/>
      <w:divBdr>
        <w:top w:val="none" w:sz="0" w:space="0" w:color="auto"/>
        <w:left w:val="none" w:sz="0" w:space="0" w:color="auto"/>
        <w:bottom w:val="none" w:sz="0" w:space="0" w:color="auto"/>
        <w:right w:val="none" w:sz="0" w:space="0" w:color="auto"/>
      </w:divBdr>
    </w:div>
    <w:div w:id="297228305">
      <w:bodyDiv w:val="1"/>
      <w:marLeft w:val="0"/>
      <w:marRight w:val="0"/>
      <w:marTop w:val="0"/>
      <w:marBottom w:val="0"/>
      <w:divBdr>
        <w:top w:val="none" w:sz="0" w:space="0" w:color="auto"/>
        <w:left w:val="none" w:sz="0" w:space="0" w:color="auto"/>
        <w:bottom w:val="none" w:sz="0" w:space="0" w:color="auto"/>
        <w:right w:val="none" w:sz="0" w:space="0" w:color="auto"/>
      </w:divBdr>
    </w:div>
    <w:div w:id="308024656">
      <w:bodyDiv w:val="1"/>
      <w:marLeft w:val="0"/>
      <w:marRight w:val="0"/>
      <w:marTop w:val="0"/>
      <w:marBottom w:val="0"/>
      <w:divBdr>
        <w:top w:val="none" w:sz="0" w:space="0" w:color="auto"/>
        <w:left w:val="none" w:sz="0" w:space="0" w:color="auto"/>
        <w:bottom w:val="none" w:sz="0" w:space="0" w:color="auto"/>
        <w:right w:val="none" w:sz="0" w:space="0" w:color="auto"/>
      </w:divBdr>
    </w:div>
    <w:div w:id="314408548">
      <w:bodyDiv w:val="1"/>
      <w:marLeft w:val="0"/>
      <w:marRight w:val="0"/>
      <w:marTop w:val="0"/>
      <w:marBottom w:val="0"/>
      <w:divBdr>
        <w:top w:val="none" w:sz="0" w:space="0" w:color="auto"/>
        <w:left w:val="none" w:sz="0" w:space="0" w:color="auto"/>
        <w:bottom w:val="none" w:sz="0" w:space="0" w:color="auto"/>
        <w:right w:val="none" w:sz="0" w:space="0" w:color="auto"/>
      </w:divBdr>
    </w:div>
    <w:div w:id="321154533">
      <w:bodyDiv w:val="1"/>
      <w:marLeft w:val="0"/>
      <w:marRight w:val="0"/>
      <w:marTop w:val="0"/>
      <w:marBottom w:val="0"/>
      <w:divBdr>
        <w:top w:val="none" w:sz="0" w:space="0" w:color="auto"/>
        <w:left w:val="none" w:sz="0" w:space="0" w:color="auto"/>
        <w:bottom w:val="none" w:sz="0" w:space="0" w:color="auto"/>
        <w:right w:val="none" w:sz="0" w:space="0" w:color="auto"/>
      </w:divBdr>
    </w:div>
    <w:div w:id="339355355">
      <w:bodyDiv w:val="1"/>
      <w:marLeft w:val="0"/>
      <w:marRight w:val="0"/>
      <w:marTop w:val="0"/>
      <w:marBottom w:val="0"/>
      <w:divBdr>
        <w:top w:val="none" w:sz="0" w:space="0" w:color="auto"/>
        <w:left w:val="none" w:sz="0" w:space="0" w:color="auto"/>
        <w:bottom w:val="none" w:sz="0" w:space="0" w:color="auto"/>
        <w:right w:val="none" w:sz="0" w:space="0" w:color="auto"/>
      </w:divBdr>
    </w:div>
    <w:div w:id="344357422">
      <w:bodyDiv w:val="1"/>
      <w:marLeft w:val="0"/>
      <w:marRight w:val="0"/>
      <w:marTop w:val="0"/>
      <w:marBottom w:val="0"/>
      <w:divBdr>
        <w:top w:val="none" w:sz="0" w:space="0" w:color="auto"/>
        <w:left w:val="none" w:sz="0" w:space="0" w:color="auto"/>
        <w:bottom w:val="none" w:sz="0" w:space="0" w:color="auto"/>
        <w:right w:val="none" w:sz="0" w:space="0" w:color="auto"/>
      </w:divBdr>
    </w:div>
    <w:div w:id="349569417">
      <w:bodyDiv w:val="1"/>
      <w:marLeft w:val="0"/>
      <w:marRight w:val="0"/>
      <w:marTop w:val="0"/>
      <w:marBottom w:val="0"/>
      <w:divBdr>
        <w:top w:val="none" w:sz="0" w:space="0" w:color="auto"/>
        <w:left w:val="none" w:sz="0" w:space="0" w:color="auto"/>
        <w:bottom w:val="none" w:sz="0" w:space="0" w:color="auto"/>
        <w:right w:val="none" w:sz="0" w:space="0" w:color="auto"/>
      </w:divBdr>
    </w:div>
    <w:div w:id="360009343">
      <w:bodyDiv w:val="1"/>
      <w:marLeft w:val="0"/>
      <w:marRight w:val="0"/>
      <w:marTop w:val="0"/>
      <w:marBottom w:val="0"/>
      <w:divBdr>
        <w:top w:val="none" w:sz="0" w:space="0" w:color="auto"/>
        <w:left w:val="none" w:sz="0" w:space="0" w:color="auto"/>
        <w:bottom w:val="none" w:sz="0" w:space="0" w:color="auto"/>
        <w:right w:val="none" w:sz="0" w:space="0" w:color="auto"/>
      </w:divBdr>
    </w:div>
    <w:div w:id="395324409">
      <w:bodyDiv w:val="1"/>
      <w:marLeft w:val="0"/>
      <w:marRight w:val="0"/>
      <w:marTop w:val="0"/>
      <w:marBottom w:val="0"/>
      <w:divBdr>
        <w:top w:val="none" w:sz="0" w:space="0" w:color="auto"/>
        <w:left w:val="none" w:sz="0" w:space="0" w:color="auto"/>
        <w:bottom w:val="none" w:sz="0" w:space="0" w:color="auto"/>
        <w:right w:val="none" w:sz="0" w:space="0" w:color="auto"/>
      </w:divBdr>
    </w:div>
    <w:div w:id="398284572">
      <w:bodyDiv w:val="1"/>
      <w:marLeft w:val="0"/>
      <w:marRight w:val="0"/>
      <w:marTop w:val="0"/>
      <w:marBottom w:val="0"/>
      <w:divBdr>
        <w:top w:val="none" w:sz="0" w:space="0" w:color="auto"/>
        <w:left w:val="none" w:sz="0" w:space="0" w:color="auto"/>
        <w:bottom w:val="none" w:sz="0" w:space="0" w:color="auto"/>
        <w:right w:val="none" w:sz="0" w:space="0" w:color="auto"/>
      </w:divBdr>
    </w:div>
    <w:div w:id="398556917">
      <w:bodyDiv w:val="1"/>
      <w:marLeft w:val="0"/>
      <w:marRight w:val="0"/>
      <w:marTop w:val="0"/>
      <w:marBottom w:val="0"/>
      <w:divBdr>
        <w:top w:val="none" w:sz="0" w:space="0" w:color="auto"/>
        <w:left w:val="none" w:sz="0" w:space="0" w:color="auto"/>
        <w:bottom w:val="none" w:sz="0" w:space="0" w:color="auto"/>
        <w:right w:val="none" w:sz="0" w:space="0" w:color="auto"/>
      </w:divBdr>
    </w:div>
    <w:div w:id="419254523">
      <w:bodyDiv w:val="1"/>
      <w:marLeft w:val="0"/>
      <w:marRight w:val="0"/>
      <w:marTop w:val="0"/>
      <w:marBottom w:val="0"/>
      <w:divBdr>
        <w:top w:val="none" w:sz="0" w:space="0" w:color="auto"/>
        <w:left w:val="none" w:sz="0" w:space="0" w:color="auto"/>
        <w:bottom w:val="none" w:sz="0" w:space="0" w:color="auto"/>
        <w:right w:val="none" w:sz="0" w:space="0" w:color="auto"/>
      </w:divBdr>
    </w:div>
    <w:div w:id="437410835">
      <w:bodyDiv w:val="1"/>
      <w:marLeft w:val="0"/>
      <w:marRight w:val="0"/>
      <w:marTop w:val="0"/>
      <w:marBottom w:val="0"/>
      <w:divBdr>
        <w:top w:val="none" w:sz="0" w:space="0" w:color="auto"/>
        <w:left w:val="none" w:sz="0" w:space="0" w:color="auto"/>
        <w:bottom w:val="none" w:sz="0" w:space="0" w:color="auto"/>
        <w:right w:val="none" w:sz="0" w:space="0" w:color="auto"/>
      </w:divBdr>
    </w:div>
    <w:div w:id="445390004">
      <w:bodyDiv w:val="1"/>
      <w:marLeft w:val="0"/>
      <w:marRight w:val="0"/>
      <w:marTop w:val="0"/>
      <w:marBottom w:val="0"/>
      <w:divBdr>
        <w:top w:val="none" w:sz="0" w:space="0" w:color="auto"/>
        <w:left w:val="none" w:sz="0" w:space="0" w:color="auto"/>
        <w:bottom w:val="none" w:sz="0" w:space="0" w:color="auto"/>
        <w:right w:val="none" w:sz="0" w:space="0" w:color="auto"/>
      </w:divBdr>
    </w:div>
    <w:div w:id="490563823">
      <w:bodyDiv w:val="1"/>
      <w:marLeft w:val="0"/>
      <w:marRight w:val="0"/>
      <w:marTop w:val="0"/>
      <w:marBottom w:val="0"/>
      <w:divBdr>
        <w:top w:val="none" w:sz="0" w:space="0" w:color="auto"/>
        <w:left w:val="none" w:sz="0" w:space="0" w:color="auto"/>
        <w:bottom w:val="none" w:sz="0" w:space="0" w:color="auto"/>
        <w:right w:val="none" w:sz="0" w:space="0" w:color="auto"/>
      </w:divBdr>
    </w:div>
    <w:div w:id="498889876">
      <w:bodyDiv w:val="1"/>
      <w:marLeft w:val="0"/>
      <w:marRight w:val="0"/>
      <w:marTop w:val="0"/>
      <w:marBottom w:val="0"/>
      <w:divBdr>
        <w:top w:val="none" w:sz="0" w:space="0" w:color="auto"/>
        <w:left w:val="none" w:sz="0" w:space="0" w:color="auto"/>
        <w:bottom w:val="none" w:sz="0" w:space="0" w:color="auto"/>
        <w:right w:val="none" w:sz="0" w:space="0" w:color="auto"/>
      </w:divBdr>
    </w:div>
    <w:div w:id="514852831">
      <w:bodyDiv w:val="1"/>
      <w:marLeft w:val="0"/>
      <w:marRight w:val="0"/>
      <w:marTop w:val="0"/>
      <w:marBottom w:val="0"/>
      <w:divBdr>
        <w:top w:val="none" w:sz="0" w:space="0" w:color="auto"/>
        <w:left w:val="none" w:sz="0" w:space="0" w:color="auto"/>
        <w:bottom w:val="none" w:sz="0" w:space="0" w:color="auto"/>
        <w:right w:val="none" w:sz="0" w:space="0" w:color="auto"/>
      </w:divBdr>
    </w:div>
    <w:div w:id="581598889">
      <w:bodyDiv w:val="1"/>
      <w:marLeft w:val="0"/>
      <w:marRight w:val="0"/>
      <w:marTop w:val="0"/>
      <w:marBottom w:val="0"/>
      <w:divBdr>
        <w:top w:val="none" w:sz="0" w:space="0" w:color="auto"/>
        <w:left w:val="none" w:sz="0" w:space="0" w:color="auto"/>
        <w:bottom w:val="none" w:sz="0" w:space="0" w:color="auto"/>
        <w:right w:val="none" w:sz="0" w:space="0" w:color="auto"/>
      </w:divBdr>
    </w:div>
    <w:div w:id="583416422">
      <w:bodyDiv w:val="1"/>
      <w:marLeft w:val="0"/>
      <w:marRight w:val="0"/>
      <w:marTop w:val="0"/>
      <w:marBottom w:val="0"/>
      <w:divBdr>
        <w:top w:val="none" w:sz="0" w:space="0" w:color="auto"/>
        <w:left w:val="none" w:sz="0" w:space="0" w:color="auto"/>
        <w:bottom w:val="none" w:sz="0" w:space="0" w:color="auto"/>
        <w:right w:val="none" w:sz="0" w:space="0" w:color="auto"/>
      </w:divBdr>
    </w:div>
    <w:div w:id="607590595">
      <w:bodyDiv w:val="1"/>
      <w:marLeft w:val="0"/>
      <w:marRight w:val="0"/>
      <w:marTop w:val="0"/>
      <w:marBottom w:val="0"/>
      <w:divBdr>
        <w:top w:val="none" w:sz="0" w:space="0" w:color="auto"/>
        <w:left w:val="none" w:sz="0" w:space="0" w:color="auto"/>
        <w:bottom w:val="none" w:sz="0" w:space="0" w:color="auto"/>
        <w:right w:val="none" w:sz="0" w:space="0" w:color="auto"/>
      </w:divBdr>
    </w:div>
    <w:div w:id="630138529">
      <w:bodyDiv w:val="1"/>
      <w:marLeft w:val="0"/>
      <w:marRight w:val="0"/>
      <w:marTop w:val="0"/>
      <w:marBottom w:val="0"/>
      <w:divBdr>
        <w:top w:val="none" w:sz="0" w:space="0" w:color="auto"/>
        <w:left w:val="none" w:sz="0" w:space="0" w:color="auto"/>
        <w:bottom w:val="none" w:sz="0" w:space="0" w:color="auto"/>
        <w:right w:val="none" w:sz="0" w:space="0" w:color="auto"/>
      </w:divBdr>
    </w:div>
    <w:div w:id="630357003">
      <w:bodyDiv w:val="1"/>
      <w:marLeft w:val="0"/>
      <w:marRight w:val="0"/>
      <w:marTop w:val="0"/>
      <w:marBottom w:val="0"/>
      <w:divBdr>
        <w:top w:val="none" w:sz="0" w:space="0" w:color="auto"/>
        <w:left w:val="none" w:sz="0" w:space="0" w:color="auto"/>
        <w:bottom w:val="none" w:sz="0" w:space="0" w:color="auto"/>
        <w:right w:val="none" w:sz="0" w:space="0" w:color="auto"/>
      </w:divBdr>
    </w:div>
    <w:div w:id="634483965">
      <w:bodyDiv w:val="1"/>
      <w:marLeft w:val="0"/>
      <w:marRight w:val="0"/>
      <w:marTop w:val="0"/>
      <w:marBottom w:val="0"/>
      <w:divBdr>
        <w:top w:val="none" w:sz="0" w:space="0" w:color="auto"/>
        <w:left w:val="none" w:sz="0" w:space="0" w:color="auto"/>
        <w:bottom w:val="none" w:sz="0" w:space="0" w:color="auto"/>
        <w:right w:val="none" w:sz="0" w:space="0" w:color="auto"/>
      </w:divBdr>
    </w:div>
    <w:div w:id="649671890">
      <w:bodyDiv w:val="1"/>
      <w:marLeft w:val="0"/>
      <w:marRight w:val="0"/>
      <w:marTop w:val="0"/>
      <w:marBottom w:val="0"/>
      <w:divBdr>
        <w:top w:val="none" w:sz="0" w:space="0" w:color="auto"/>
        <w:left w:val="none" w:sz="0" w:space="0" w:color="auto"/>
        <w:bottom w:val="none" w:sz="0" w:space="0" w:color="auto"/>
        <w:right w:val="none" w:sz="0" w:space="0" w:color="auto"/>
      </w:divBdr>
    </w:div>
    <w:div w:id="658852824">
      <w:bodyDiv w:val="1"/>
      <w:marLeft w:val="0"/>
      <w:marRight w:val="0"/>
      <w:marTop w:val="0"/>
      <w:marBottom w:val="0"/>
      <w:divBdr>
        <w:top w:val="none" w:sz="0" w:space="0" w:color="auto"/>
        <w:left w:val="none" w:sz="0" w:space="0" w:color="auto"/>
        <w:bottom w:val="none" w:sz="0" w:space="0" w:color="auto"/>
        <w:right w:val="none" w:sz="0" w:space="0" w:color="auto"/>
      </w:divBdr>
    </w:div>
    <w:div w:id="665786227">
      <w:bodyDiv w:val="1"/>
      <w:marLeft w:val="0"/>
      <w:marRight w:val="0"/>
      <w:marTop w:val="0"/>
      <w:marBottom w:val="0"/>
      <w:divBdr>
        <w:top w:val="none" w:sz="0" w:space="0" w:color="auto"/>
        <w:left w:val="none" w:sz="0" w:space="0" w:color="auto"/>
        <w:bottom w:val="none" w:sz="0" w:space="0" w:color="auto"/>
        <w:right w:val="none" w:sz="0" w:space="0" w:color="auto"/>
      </w:divBdr>
    </w:div>
    <w:div w:id="669217002">
      <w:bodyDiv w:val="1"/>
      <w:marLeft w:val="0"/>
      <w:marRight w:val="0"/>
      <w:marTop w:val="0"/>
      <w:marBottom w:val="0"/>
      <w:divBdr>
        <w:top w:val="none" w:sz="0" w:space="0" w:color="auto"/>
        <w:left w:val="none" w:sz="0" w:space="0" w:color="auto"/>
        <w:bottom w:val="none" w:sz="0" w:space="0" w:color="auto"/>
        <w:right w:val="none" w:sz="0" w:space="0" w:color="auto"/>
      </w:divBdr>
    </w:div>
    <w:div w:id="669679364">
      <w:bodyDiv w:val="1"/>
      <w:marLeft w:val="0"/>
      <w:marRight w:val="0"/>
      <w:marTop w:val="0"/>
      <w:marBottom w:val="0"/>
      <w:divBdr>
        <w:top w:val="none" w:sz="0" w:space="0" w:color="auto"/>
        <w:left w:val="none" w:sz="0" w:space="0" w:color="auto"/>
        <w:bottom w:val="none" w:sz="0" w:space="0" w:color="auto"/>
        <w:right w:val="none" w:sz="0" w:space="0" w:color="auto"/>
      </w:divBdr>
    </w:div>
    <w:div w:id="672613823">
      <w:bodyDiv w:val="1"/>
      <w:marLeft w:val="0"/>
      <w:marRight w:val="0"/>
      <w:marTop w:val="0"/>
      <w:marBottom w:val="0"/>
      <w:divBdr>
        <w:top w:val="none" w:sz="0" w:space="0" w:color="auto"/>
        <w:left w:val="none" w:sz="0" w:space="0" w:color="auto"/>
        <w:bottom w:val="none" w:sz="0" w:space="0" w:color="auto"/>
        <w:right w:val="none" w:sz="0" w:space="0" w:color="auto"/>
      </w:divBdr>
    </w:div>
    <w:div w:id="676033522">
      <w:bodyDiv w:val="1"/>
      <w:marLeft w:val="0"/>
      <w:marRight w:val="0"/>
      <w:marTop w:val="0"/>
      <w:marBottom w:val="0"/>
      <w:divBdr>
        <w:top w:val="none" w:sz="0" w:space="0" w:color="auto"/>
        <w:left w:val="none" w:sz="0" w:space="0" w:color="auto"/>
        <w:bottom w:val="none" w:sz="0" w:space="0" w:color="auto"/>
        <w:right w:val="none" w:sz="0" w:space="0" w:color="auto"/>
      </w:divBdr>
    </w:div>
    <w:div w:id="683678091">
      <w:bodyDiv w:val="1"/>
      <w:marLeft w:val="0"/>
      <w:marRight w:val="0"/>
      <w:marTop w:val="0"/>
      <w:marBottom w:val="0"/>
      <w:divBdr>
        <w:top w:val="none" w:sz="0" w:space="0" w:color="auto"/>
        <w:left w:val="none" w:sz="0" w:space="0" w:color="auto"/>
        <w:bottom w:val="none" w:sz="0" w:space="0" w:color="auto"/>
        <w:right w:val="none" w:sz="0" w:space="0" w:color="auto"/>
      </w:divBdr>
    </w:div>
    <w:div w:id="693850155">
      <w:bodyDiv w:val="1"/>
      <w:marLeft w:val="0"/>
      <w:marRight w:val="0"/>
      <w:marTop w:val="0"/>
      <w:marBottom w:val="0"/>
      <w:divBdr>
        <w:top w:val="none" w:sz="0" w:space="0" w:color="auto"/>
        <w:left w:val="none" w:sz="0" w:space="0" w:color="auto"/>
        <w:bottom w:val="none" w:sz="0" w:space="0" w:color="auto"/>
        <w:right w:val="none" w:sz="0" w:space="0" w:color="auto"/>
      </w:divBdr>
    </w:div>
    <w:div w:id="718361401">
      <w:bodyDiv w:val="1"/>
      <w:marLeft w:val="0"/>
      <w:marRight w:val="0"/>
      <w:marTop w:val="0"/>
      <w:marBottom w:val="0"/>
      <w:divBdr>
        <w:top w:val="none" w:sz="0" w:space="0" w:color="auto"/>
        <w:left w:val="none" w:sz="0" w:space="0" w:color="auto"/>
        <w:bottom w:val="none" w:sz="0" w:space="0" w:color="auto"/>
        <w:right w:val="none" w:sz="0" w:space="0" w:color="auto"/>
      </w:divBdr>
    </w:div>
    <w:div w:id="722289964">
      <w:bodyDiv w:val="1"/>
      <w:marLeft w:val="0"/>
      <w:marRight w:val="0"/>
      <w:marTop w:val="0"/>
      <w:marBottom w:val="0"/>
      <w:divBdr>
        <w:top w:val="none" w:sz="0" w:space="0" w:color="auto"/>
        <w:left w:val="none" w:sz="0" w:space="0" w:color="auto"/>
        <w:bottom w:val="none" w:sz="0" w:space="0" w:color="auto"/>
        <w:right w:val="none" w:sz="0" w:space="0" w:color="auto"/>
      </w:divBdr>
    </w:div>
    <w:div w:id="732042962">
      <w:bodyDiv w:val="1"/>
      <w:marLeft w:val="0"/>
      <w:marRight w:val="0"/>
      <w:marTop w:val="0"/>
      <w:marBottom w:val="0"/>
      <w:divBdr>
        <w:top w:val="none" w:sz="0" w:space="0" w:color="auto"/>
        <w:left w:val="none" w:sz="0" w:space="0" w:color="auto"/>
        <w:bottom w:val="none" w:sz="0" w:space="0" w:color="auto"/>
        <w:right w:val="none" w:sz="0" w:space="0" w:color="auto"/>
      </w:divBdr>
    </w:div>
    <w:div w:id="744255721">
      <w:bodyDiv w:val="1"/>
      <w:marLeft w:val="0"/>
      <w:marRight w:val="0"/>
      <w:marTop w:val="0"/>
      <w:marBottom w:val="0"/>
      <w:divBdr>
        <w:top w:val="none" w:sz="0" w:space="0" w:color="auto"/>
        <w:left w:val="none" w:sz="0" w:space="0" w:color="auto"/>
        <w:bottom w:val="none" w:sz="0" w:space="0" w:color="auto"/>
        <w:right w:val="none" w:sz="0" w:space="0" w:color="auto"/>
      </w:divBdr>
    </w:div>
    <w:div w:id="795299862">
      <w:bodyDiv w:val="1"/>
      <w:marLeft w:val="0"/>
      <w:marRight w:val="0"/>
      <w:marTop w:val="0"/>
      <w:marBottom w:val="0"/>
      <w:divBdr>
        <w:top w:val="none" w:sz="0" w:space="0" w:color="auto"/>
        <w:left w:val="none" w:sz="0" w:space="0" w:color="auto"/>
        <w:bottom w:val="none" w:sz="0" w:space="0" w:color="auto"/>
        <w:right w:val="none" w:sz="0" w:space="0" w:color="auto"/>
      </w:divBdr>
    </w:div>
    <w:div w:id="798373810">
      <w:bodyDiv w:val="1"/>
      <w:marLeft w:val="0"/>
      <w:marRight w:val="0"/>
      <w:marTop w:val="0"/>
      <w:marBottom w:val="0"/>
      <w:divBdr>
        <w:top w:val="none" w:sz="0" w:space="0" w:color="auto"/>
        <w:left w:val="none" w:sz="0" w:space="0" w:color="auto"/>
        <w:bottom w:val="none" w:sz="0" w:space="0" w:color="auto"/>
        <w:right w:val="none" w:sz="0" w:space="0" w:color="auto"/>
      </w:divBdr>
    </w:div>
    <w:div w:id="799496041">
      <w:bodyDiv w:val="1"/>
      <w:marLeft w:val="0"/>
      <w:marRight w:val="0"/>
      <w:marTop w:val="0"/>
      <w:marBottom w:val="0"/>
      <w:divBdr>
        <w:top w:val="none" w:sz="0" w:space="0" w:color="auto"/>
        <w:left w:val="none" w:sz="0" w:space="0" w:color="auto"/>
        <w:bottom w:val="none" w:sz="0" w:space="0" w:color="auto"/>
        <w:right w:val="none" w:sz="0" w:space="0" w:color="auto"/>
      </w:divBdr>
    </w:div>
    <w:div w:id="801190787">
      <w:bodyDiv w:val="1"/>
      <w:marLeft w:val="0"/>
      <w:marRight w:val="0"/>
      <w:marTop w:val="0"/>
      <w:marBottom w:val="0"/>
      <w:divBdr>
        <w:top w:val="none" w:sz="0" w:space="0" w:color="auto"/>
        <w:left w:val="none" w:sz="0" w:space="0" w:color="auto"/>
        <w:bottom w:val="none" w:sz="0" w:space="0" w:color="auto"/>
        <w:right w:val="none" w:sz="0" w:space="0" w:color="auto"/>
      </w:divBdr>
    </w:div>
    <w:div w:id="818691973">
      <w:bodyDiv w:val="1"/>
      <w:marLeft w:val="0"/>
      <w:marRight w:val="0"/>
      <w:marTop w:val="0"/>
      <w:marBottom w:val="0"/>
      <w:divBdr>
        <w:top w:val="none" w:sz="0" w:space="0" w:color="auto"/>
        <w:left w:val="none" w:sz="0" w:space="0" w:color="auto"/>
        <w:bottom w:val="none" w:sz="0" w:space="0" w:color="auto"/>
        <w:right w:val="none" w:sz="0" w:space="0" w:color="auto"/>
      </w:divBdr>
    </w:div>
    <w:div w:id="820387948">
      <w:bodyDiv w:val="1"/>
      <w:marLeft w:val="0"/>
      <w:marRight w:val="0"/>
      <w:marTop w:val="0"/>
      <w:marBottom w:val="0"/>
      <w:divBdr>
        <w:top w:val="none" w:sz="0" w:space="0" w:color="auto"/>
        <w:left w:val="none" w:sz="0" w:space="0" w:color="auto"/>
        <w:bottom w:val="none" w:sz="0" w:space="0" w:color="auto"/>
        <w:right w:val="none" w:sz="0" w:space="0" w:color="auto"/>
      </w:divBdr>
    </w:div>
    <w:div w:id="821389149">
      <w:bodyDiv w:val="1"/>
      <w:marLeft w:val="0"/>
      <w:marRight w:val="0"/>
      <w:marTop w:val="0"/>
      <w:marBottom w:val="0"/>
      <w:divBdr>
        <w:top w:val="none" w:sz="0" w:space="0" w:color="auto"/>
        <w:left w:val="none" w:sz="0" w:space="0" w:color="auto"/>
        <w:bottom w:val="none" w:sz="0" w:space="0" w:color="auto"/>
        <w:right w:val="none" w:sz="0" w:space="0" w:color="auto"/>
      </w:divBdr>
    </w:div>
    <w:div w:id="821970916">
      <w:bodyDiv w:val="1"/>
      <w:marLeft w:val="0"/>
      <w:marRight w:val="0"/>
      <w:marTop w:val="0"/>
      <w:marBottom w:val="0"/>
      <w:divBdr>
        <w:top w:val="none" w:sz="0" w:space="0" w:color="auto"/>
        <w:left w:val="none" w:sz="0" w:space="0" w:color="auto"/>
        <w:bottom w:val="none" w:sz="0" w:space="0" w:color="auto"/>
        <w:right w:val="none" w:sz="0" w:space="0" w:color="auto"/>
      </w:divBdr>
    </w:div>
    <w:div w:id="823594189">
      <w:bodyDiv w:val="1"/>
      <w:marLeft w:val="0"/>
      <w:marRight w:val="0"/>
      <w:marTop w:val="0"/>
      <w:marBottom w:val="0"/>
      <w:divBdr>
        <w:top w:val="none" w:sz="0" w:space="0" w:color="auto"/>
        <w:left w:val="none" w:sz="0" w:space="0" w:color="auto"/>
        <w:bottom w:val="none" w:sz="0" w:space="0" w:color="auto"/>
        <w:right w:val="none" w:sz="0" w:space="0" w:color="auto"/>
      </w:divBdr>
    </w:div>
    <w:div w:id="830950117">
      <w:bodyDiv w:val="1"/>
      <w:marLeft w:val="0"/>
      <w:marRight w:val="0"/>
      <w:marTop w:val="0"/>
      <w:marBottom w:val="0"/>
      <w:divBdr>
        <w:top w:val="none" w:sz="0" w:space="0" w:color="auto"/>
        <w:left w:val="none" w:sz="0" w:space="0" w:color="auto"/>
        <w:bottom w:val="none" w:sz="0" w:space="0" w:color="auto"/>
        <w:right w:val="none" w:sz="0" w:space="0" w:color="auto"/>
      </w:divBdr>
    </w:div>
    <w:div w:id="834492431">
      <w:bodyDiv w:val="1"/>
      <w:marLeft w:val="0"/>
      <w:marRight w:val="0"/>
      <w:marTop w:val="0"/>
      <w:marBottom w:val="0"/>
      <w:divBdr>
        <w:top w:val="none" w:sz="0" w:space="0" w:color="auto"/>
        <w:left w:val="none" w:sz="0" w:space="0" w:color="auto"/>
        <w:bottom w:val="none" w:sz="0" w:space="0" w:color="auto"/>
        <w:right w:val="none" w:sz="0" w:space="0" w:color="auto"/>
      </w:divBdr>
    </w:div>
    <w:div w:id="837766133">
      <w:bodyDiv w:val="1"/>
      <w:marLeft w:val="0"/>
      <w:marRight w:val="0"/>
      <w:marTop w:val="0"/>
      <w:marBottom w:val="0"/>
      <w:divBdr>
        <w:top w:val="none" w:sz="0" w:space="0" w:color="auto"/>
        <w:left w:val="none" w:sz="0" w:space="0" w:color="auto"/>
        <w:bottom w:val="none" w:sz="0" w:space="0" w:color="auto"/>
        <w:right w:val="none" w:sz="0" w:space="0" w:color="auto"/>
      </w:divBdr>
    </w:div>
    <w:div w:id="848640401">
      <w:bodyDiv w:val="1"/>
      <w:marLeft w:val="0"/>
      <w:marRight w:val="0"/>
      <w:marTop w:val="0"/>
      <w:marBottom w:val="0"/>
      <w:divBdr>
        <w:top w:val="none" w:sz="0" w:space="0" w:color="auto"/>
        <w:left w:val="none" w:sz="0" w:space="0" w:color="auto"/>
        <w:bottom w:val="none" w:sz="0" w:space="0" w:color="auto"/>
        <w:right w:val="none" w:sz="0" w:space="0" w:color="auto"/>
      </w:divBdr>
    </w:div>
    <w:div w:id="870191249">
      <w:bodyDiv w:val="1"/>
      <w:marLeft w:val="0"/>
      <w:marRight w:val="0"/>
      <w:marTop w:val="0"/>
      <w:marBottom w:val="0"/>
      <w:divBdr>
        <w:top w:val="none" w:sz="0" w:space="0" w:color="auto"/>
        <w:left w:val="none" w:sz="0" w:space="0" w:color="auto"/>
        <w:bottom w:val="none" w:sz="0" w:space="0" w:color="auto"/>
        <w:right w:val="none" w:sz="0" w:space="0" w:color="auto"/>
      </w:divBdr>
    </w:div>
    <w:div w:id="882408379">
      <w:bodyDiv w:val="1"/>
      <w:marLeft w:val="0"/>
      <w:marRight w:val="0"/>
      <w:marTop w:val="0"/>
      <w:marBottom w:val="0"/>
      <w:divBdr>
        <w:top w:val="none" w:sz="0" w:space="0" w:color="auto"/>
        <w:left w:val="none" w:sz="0" w:space="0" w:color="auto"/>
        <w:bottom w:val="none" w:sz="0" w:space="0" w:color="auto"/>
        <w:right w:val="none" w:sz="0" w:space="0" w:color="auto"/>
      </w:divBdr>
    </w:div>
    <w:div w:id="883063149">
      <w:bodyDiv w:val="1"/>
      <w:marLeft w:val="0"/>
      <w:marRight w:val="0"/>
      <w:marTop w:val="0"/>
      <w:marBottom w:val="0"/>
      <w:divBdr>
        <w:top w:val="none" w:sz="0" w:space="0" w:color="auto"/>
        <w:left w:val="none" w:sz="0" w:space="0" w:color="auto"/>
        <w:bottom w:val="none" w:sz="0" w:space="0" w:color="auto"/>
        <w:right w:val="none" w:sz="0" w:space="0" w:color="auto"/>
      </w:divBdr>
    </w:div>
    <w:div w:id="883253474">
      <w:bodyDiv w:val="1"/>
      <w:marLeft w:val="0"/>
      <w:marRight w:val="0"/>
      <w:marTop w:val="0"/>
      <w:marBottom w:val="0"/>
      <w:divBdr>
        <w:top w:val="none" w:sz="0" w:space="0" w:color="auto"/>
        <w:left w:val="none" w:sz="0" w:space="0" w:color="auto"/>
        <w:bottom w:val="none" w:sz="0" w:space="0" w:color="auto"/>
        <w:right w:val="none" w:sz="0" w:space="0" w:color="auto"/>
      </w:divBdr>
    </w:div>
    <w:div w:id="885456929">
      <w:bodyDiv w:val="1"/>
      <w:marLeft w:val="0"/>
      <w:marRight w:val="0"/>
      <w:marTop w:val="0"/>
      <w:marBottom w:val="0"/>
      <w:divBdr>
        <w:top w:val="none" w:sz="0" w:space="0" w:color="auto"/>
        <w:left w:val="none" w:sz="0" w:space="0" w:color="auto"/>
        <w:bottom w:val="none" w:sz="0" w:space="0" w:color="auto"/>
        <w:right w:val="none" w:sz="0" w:space="0" w:color="auto"/>
      </w:divBdr>
    </w:div>
    <w:div w:id="891502108">
      <w:bodyDiv w:val="1"/>
      <w:marLeft w:val="0"/>
      <w:marRight w:val="0"/>
      <w:marTop w:val="0"/>
      <w:marBottom w:val="0"/>
      <w:divBdr>
        <w:top w:val="none" w:sz="0" w:space="0" w:color="auto"/>
        <w:left w:val="none" w:sz="0" w:space="0" w:color="auto"/>
        <w:bottom w:val="none" w:sz="0" w:space="0" w:color="auto"/>
        <w:right w:val="none" w:sz="0" w:space="0" w:color="auto"/>
      </w:divBdr>
    </w:div>
    <w:div w:id="892499273">
      <w:bodyDiv w:val="1"/>
      <w:marLeft w:val="0"/>
      <w:marRight w:val="0"/>
      <w:marTop w:val="0"/>
      <w:marBottom w:val="0"/>
      <w:divBdr>
        <w:top w:val="none" w:sz="0" w:space="0" w:color="auto"/>
        <w:left w:val="none" w:sz="0" w:space="0" w:color="auto"/>
        <w:bottom w:val="none" w:sz="0" w:space="0" w:color="auto"/>
        <w:right w:val="none" w:sz="0" w:space="0" w:color="auto"/>
      </w:divBdr>
    </w:div>
    <w:div w:id="896017668">
      <w:bodyDiv w:val="1"/>
      <w:marLeft w:val="0"/>
      <w:marRight w:val="0"/>
      <w:marTop w:val="0"/>
      <w:marBottom w:val="0"/>
      <w:divBdr>
        <w:top w:val="none" w:sz="0" w:space="0" w:color="auto"/>
        <w:left w:val="none" w:sz="0" w:space="0" w:color="auto"/>
        <w:bottom w:val="none" w:sz="0" w:space="0" w:color="auto"/>
        <w:right w:val="none" w:sz="0" w:space="0" w:color="auto"/>
      </w:divBdr>
    </w:div>
    <w:div w:id="900750338">
      <w:bodyDiv w:val="1"/>
      <w:marLeft w:val="0"/>
      <w:marRight w:val="0"/>
      <w:marTop w:val="0"/>
      <w:marBottom w:val="0"/>
      <w:divBdr>
        <w:top w:val="none" w:sz="0" w:space="0" w:color="auto"/>
        <w:left w:val="none" w:sz="0" w:space="0" w:color="auto"/>
        <w:bottom w:val="none" w:sz="0" w:space="0" w:color="auto"/>
        <w:right w:val="none" w:sz="0" w:space="0" w:color="auto"/>
      </w:divBdr>
    </w:div>
    <w:div w:id="911354957">
      <w:bodyDiv w:val="1"/>
      <w:marLeft w:val="0"/>
      <w:marRight w:val="0"/>
      <w:marTop w:val="0"/>
      <w:marBottom w:val="0"/>
      <w:divBdr>
        <w:top w:val="none" w:sz="0" w:space="0" w:color="auto"/>
        <w:left w:val="none" w:sz="0" w:space="0" w:color="auto"/>
        <w:bottom w:val="none" w:sz="0" w:space="0" w:color="auto"/>
        <w:right w:val="none" w:sz="0" w:space="0" w:color="auto"/>
      </w:divBdr>
    </w:div>
    <w:div w:id="913860775">
      <w:bodyDiv w:val="1"/>
      <w:marLeft w:val="0"/>
      <w:marRight w:val="0"/>
      <w:marTop w:val="0"/>
      <w:marBottom w:val="0"/>
      <w:divBdr>
        <w:top w:val="none" w:sz="0" w:space="0" w:color="auto"/>
        <w:left w:val="none" w:sz="0" w:space="0" w:color="auto"/>
        <w:bottom w:val="none" w:sz="0" w:space="0" w:color="auto"/>
        <w:right w:val="none" w:sz="0" w:space="0" w:color="auto"/>
      </w:divBdr>
    </w:div>
    <w:div w:id="923762572">
      <w:bodyDiv w:val="1"/>
      <w:marLeft w:val="0"/>
      <w:marRight w:val="0"/>
      <w:marTop w:val="0"/>
      <w:marBottom w:val="0"/>
      <w:divBdr>
        <w:top w:val="none" w:sz="0" w:space="0" w:color="auto"/>
        <w:left w:val="none" w:sz="0" w:space="0" w:color="auto"/>
        <w:bottom w:val="none" w:sz="0" w:space="0" w:color="auto"/>
        <w:right w:val="none" w:sz="0" w:space="0" w:color="auto"/>
      </w:divBdr>
    </w:div>
    <w:div w:id="926109842">
      <w:bodyDiv w:val="1"/>
      <w:marLeft w:val="0"/>
      <w:marRight w:val="0"/>
      <w:marTop w:val="0"/>
      <w:marBottom w:val="0"/>
      <w:divBdr>
        <w:top w:val="none" w:sz="0" w:space="0" w:color="auto"/>
        <w:left w:val="none" w:sz="0" w:space="0" w:color="auto"/>
        <w:bottom w:val="none" w:sz="0" w:space="0" w:color="auto"/>
        <w:right w:val="none" w:sz="0" w:space="0" w:color="auto"/>
      </w:divBdr>
    </w:div>
    <w:div w:id="930308910">
      <w:bodyDiv w:val="1"/>
      <w:marLeft w:val="0"/>
      <w:marRight w:val="0"/>
      <w:marTop w:val="0"/>
      <w:marBottom w:val="0"/>
      <w:divBdr>
        <w:top w:val="none" w:sz="0" w:space="0" w:color="auto"/>
        <w:left w:val="none" w:sz="0" w:space="0" w:color="auto"/>
        <w:bottom w:val="none" w:sz="0" w:space="0" w:color="auto"/>
        <w:right w:val="none" w:sz="0" w:space="0" w:color="auto"/>
      </w:divBdr>
    </w:div>
    <w:div w:id="938952306">
      <w:bodyDiv w:val="1"/>
      <w:marLeft w:val="0"/>
      <w:marRight w:val="0"/>
      <w:marTop w:val="0"/>
      <w:marBottom w:val="0"/>
      <w:divBdr>
        <w:top w:val="none" w:sz="0" w:space="0" w:color="auto"/>
        <w:left w:val="none" w:sz="0" w:space="0" w:color="auto"/>
        <w:bottom w:val="none" w:sz="0" w:space="0" w:color="auto"/>
        <w:right w:val="none" w:sz="0" w:space="0" w:color="auto"/>
      </w:divBdr>
    </w:div>
    <w:div w:id="940575113">
      <w:bodyDiv w:val="1"/>
      <w:marLeft w:val="0"/>
      <w:marRight w:val="0"/>
      <w:marTop w:val="0"/>
      <w:marBottom w:val="0"/>
      <w:divBdr>
        <w:top w:val="none" w:sz="0" w:space="0" w:color="auto"/>
        <w:left w:val="none" w:sz="0" w:space="0" w:color="auto"/>
        <w:bottom w:val="none" w:sz="0" w:space="0" w:color="auto"/>
        <w:right w:val="none" w:sz="0" w:space="0" w:color="auto"/>
      </w:divBdr>
    </w:div>
    <w:div w:id="944314561">
      <w:bodyDiv w:val="1"/>
      <w:marLeft w:val="0"/>
      <w:marRight w:val="0"/>
      <w:marTop w:val="0"/>
      <w:marBottom w:val="0"/>
      <w:divBdr>
        <w:top w:val="none" w:sz="0" w:space="0" w:color="auto"/>
        <w:left w:val="none" w:sz="0" w:space="0" w:color="auto"/>
        <w:bottom w:val="none" w:sz="0" w:space="0" w:color="auto"/>
        <w:right w:val="none" w:sz="0" w:space="0" w:color="auto"/>
      </w:divBdr>
    </w:div>
    <w:div w:id="955411790">
      <w:bodyDiv w:val="1"/>
      <w:marLeft w:val="0"/>
      <w:marRight w:val="0"/>
      <w:marTop w:val="0"/>
      <w:marBottom w:val="0"/>
      <w:divBdr>
        <w:top w:val="none" w:sz="0" w:space="0" w:color="auto"/>
        <w:left w:val="none" w:sz="0" w:space="0" w:color="auto"/>
        <w:bottom w:val="none" w:sz="0" w:space="0" w:color="auto"/>
        <w:right w:val="none" w:sz="0" w:space="0" w:color="auto"/>
      </w:divBdr>
    </w:div>
    <w:div w:id="977145425">
      <w:bodyDiv w:val="1"/>
      <w:marLeft w:val="0"/>
      <w:marRight w:val="0"/>
      <w:marTop w:val="0"/>
      <w:marBottom w:val="0"/>
      <w:divBdr>
        <w:top w:val="none" w:sz="0" w:space="0" w:color="auto"/>
        <w:left w:val="none" w:sz="0" w:space="0" w:color="auto"/>
        <w:bottom w:val="none" w:sz="0" w:space="0" w:color="auto"/>
        <w:right w:val="none" w:sz="0" w:space="0" w:color="auto"/>
      </w:divBdr>
    </w:div>
    <w:div w:id="982079480">
      <w:bodyDiv w:val="1"/>
      <w:marLeft w:val="0"/>
      <w:marRight w:val="0"/>
      <w:marTop w:val="0"/>
      <w:marBottom w:val="0"/>
      <w:divBdr>
        <w:top w:val="none" w:sz="0" w:space="0" w:color="auto"/>
        <w:left w:val="none" w:sz="0" w:space="0" w:color="auto"/>
        <w:bottom w:val="none" w:sz="0" w:space="0" w:color="auto"/>
        <w:right w:val="none" w:sz="0" w:space="0" w:color="auto"/>
      </w:divBdr>
    </w:div>
    <w:div w:id="991831585">
      <w:bodyDiv w:val="1"/>
      <w:marLeft w:val="0"/>
      <w:marRight w:val="0"/>
      <w:marTop w:val="0"/>
      <w:marBottom w:val="0"/>
      <w:divBdr>
        <w:top w:val="none" w:sz="0" w:space="0" w:color="auto"/>
        <w:left w:val="none" w:sz="0" w:space="0" w:color="auto"/>
        <w:bottom w:val="none" w:sz="0" w:space="0" w:color="auto"/>
        <w:right w:val="none" w:sz="0" w:space="0" w:color="auto"/>
      </w:divBdr>
    </w:div>
    <w:div w:id="997340473">
      <w:bodyDiv w:val="1"/>
      <w:marLeft w:val="0"/>
      <w:marRight w:val="0"/>
      <w:marTop w:val="0"/>
      <w:marBottom w:val="0"/>
      <w:divBdr>
        <w:top w:val="none" w:sz="0" w:space="0" w:color="auto"/>
        <w:left w:val="none" w:sz="0" w:space="0" w:color="auto"/>
        <w:bottom w:val="none" w:sz="0" w:space="0" w:color="auto"/>
        <w:right w:val="none" w:sz="0" w:space="0" w:color="auto"/>
      </w:divBdr>
    </w:div>
    <w:div w:id="1016811848">
      <w:bodyDiv w:val="1"/>
      <w:marLeft w:val="0"/>
      <w:marRight w:val="0"/>
      <w:marTop w:val="0"/>
      <w:marBottom w:val="0"/>
      <w:divBdr>
        <w:top w:val="none" w:sz="0" w:space="0" w:color="auto"/>
        <w:left w:val="none" w:sz="0" w:space="0" w:color="auto"/>
        <w:bottom w:val="none" w:sz="0" w:space="0" w:color="auto"/>
        <w:right w:val="none" w:sz="0" w:space="0" w:color="auto"/>
      </w:divBdr>
    </w:div>
    <w:div w:id="1036740567">
      <w:bodyDiv w:val="1"/>
      <w:marLeft w:val="0"/>
      <w:marRight w:val="0"/>
      <w:marTop w:val="0"/>
      <w:marBottom w:val="0"/>
      <w:divBdr>
        <w:top w:val="none" w:sz="0" w:space="0" w:color="auto"/>
        <w:left w:val="none" w:sz="0" w:space="0" w:color="auto"/>
        <w:bottom w:val="none" w:sz="0" w:space="0" w:color="auto"/>
        <w:right w:val="none" w:sz="0" w:space="0" w:color="auto"/>
      </w:divBdr>
    </w:div>
    <w:div w:id="1056707159">
      <w:bodyDiv w:val="1"/>
      <w:marLeft w:val="0"/>
      <w:marRight w:val="0"/>
      <w:marTop w:val="0"/>
      <w:marBottom w:val="0"/>
      <w:divBdr>
        <w:top w:val="none" w:sz="0" w:space="0" w:color="auto"/>
        <w:left w:val="none" w:sz="0" w:space="0" w:color="auto"/>
        <w:bottom w:val="none" w:sz="0" w:space="0" w:color="auto"/>
        <w:right w:val="none" w:sz="0" w:space="0" w:color="auto"/>
      </w:divBdr>
    </w:div>
    <w:div w:id="1059011450">
      <w:bodyDiv w:val="1"/>
      <w:marLeft w:val="0"/>
      <w:marRight w:val="0"/>
      <w:marTop w:val="0"/>
      <w:marBottom w:val="0"/>
      <w:divBdr>
        <w:top w:val="none" w:sz="0" w:space="0" w:color="auto"/>
        <w:left w:val="none" w:sz="0" w:space="0" w:color="auto"/>
        <w:bottom w:val="none" w:sz="0" w:space="0" w:color="auto"/>
        <w:right w:val="none" w:sz="0" w:space="0" w:color="auto"/>
      </w:divBdr>
    </w:div>
    <w:div w:id="1063067136">
      <w:bodyDiv w:val="1"/>
      <w:marLeft w:val="0"/>
      <w:marRight w:val="0"/>
      <w:marTop w:val="0"/>
      <w:marBottom w:val="0"/>
      <w:divBdr>
        <w:top w:val="none" w:sz="0" w:space="0" w:color="auto"/>
        <w:left w:val="none" w:sz="0" w:space="0" w:color="auto"/>
        <w:bottom w:val="none" w:sz="0" w:space="0" w:color="auto"/>
        <w:right w:val="none" w:sz="0" w:space="0" w:color="auto"/>
      </w:divBdr>
    </w:div>
    <w:div w:id="1071466557">
      <w:bodyDiv w:val="1"/>
      <w:marLeft w:val="0"/>
      <w:marRight w:val="0"/>
      <w:marTop w:val="0"/>
      <w:marBottom w:val="0"/>
      <w:divBdr>
        <w:top w:val="none" w:sz="0" w:space="0" w:color="auto"/>
        <w:left w:val="none" w:sz="0" w:space="0" w:color="auto"/>
        <w:bottom w:val="none" w:sz="0" w:space="0" w:color="auto"/>
        <w:right w:val="none" w:sz="0" w:space="0" w:color="auto"/>
      </w:divBdr>
    </w:div>
    <w:div w:id="1087728296">
      <w:bodyDiv w:val="1"/>
      <w:marLeft w:val="0"/>
      <w:marRight w:val="0"/>
      <w:marTop w:val="0"/>
      <w:marBottom w:val="0"/>
      <w:divBdr>
        <w:top w:val="none" w:sz="0" w:space="0" w:color="auto"/>
        <w:left w:val="none" w:sz="0" w:space="0" w:color="auto"/>
        <w:bottom w:val="none" w:sz="0" w:space="0" w:color="auto"/>
        <w:right w:val="none" w:sz="0" w:space="0" w:color="auto"/>
      </w:divBdr>
    </w:div>
    <w:div w:id="1102916934">
      <w:bodyDiv w:val="1"/>
      <w:marLeft w:val="0"/>
      <w:marRight w:val="0"/>
      <w:marTop w:val="0"/>
      <w:marBottom w:val="0"/>
      <w:divBdr>
        <w:top w:val="none" w:sz="0" w:space="0" w:color="auto"/>
        <w:left w:val="none" w:sz="0" w:space="0" w:color="auto"/>
        <w:bottom w:val="none" w:sz="0" w:space="0" w:color="auto"/>
        <w:right w:val="none" w:sz="0" w:space="0" w:color="auto"/>
      </w:divBdr>
    </w:div>
    <w:div w:id="1109395850">
      <w:bodyDiv w:val="1"/>
      <w:marLeft w:val="0"/>
      <w:marRight w:val="0"/>
      <w:marTop w:val="0"/>
      <w:marBottom w:val="0"/>
      <w:divBdr>
        <w:top w:val="none" w:sz="0" w:space="0" w:color="auto"/>
        <w:left w:val="none" w:sz="0" w:space="0" w:color="auto"/>
        <w:bottom w:val="none" w:sz="0" w:space="0" w:color="auto"/>
        <w:right w:val="none" w:sz="0" w:space="0" w:color="auto"/>
      </w:divBdr>
    </w:div>
    <w:div w:id="1125349154">
      <w:bodyDiv w:val="1"/>
      <w:marLeft w:val="0"/>
      <w:marRight w:val="0"/>
      <w:marTop w:val="0"/>
      <w:marBottom w:val="0"/>
      <w:divBdr>
        <w:top w:val="none" w:sz="0" w:space="0" w:color="auto"/>
        <w:left w:val="none" w:sz="0" w:space="0" w:color="auto"/>
        <w:bottom w:val="none" w:sz="0" w:space="0" w:color="auto"/>
        <w:right w:val="none" w:sz="0" w:space="0" w:color="auto"/>
      </w:divBdr>
    </w:div>
    <w:div w:id="1181816193">
      <w:bodyDiv w:val="1"/>
      <w:marLeft w:val="0"/>
      <w:marRight w:val="0"/>
      <w:marTop w:val="0"/>
      <w:marBottom w:val="0"/>
      <w:divBdr>
        <w:top w:val="none" w:sz="0" w:space="0" w:color="auto"/>
        <w:left w:val="none" w:sz="0" w:space="0" w:color="auto"/>
        <w:bottom w:val="none" w:sz="0" w:space="0" w:color="auto"/>
        <w:right w:val="none" w:sz="0" w:space="0" w:color="auto"/>
      </w:divBdr>
    </w:div>
    <w:div w:id="1197887703">
      <w:bodyDiv w:val="1"/>
      <w:marLeft w:val="0"/>
      <w:marRight w:val="0"/>
      <w:marTop w:val="0"/>
      <w:marBottom w:val="0"/>
      <w:divBdr>
        <w:top w:val="none" w:sz="0" w:space="0" w:color="auto"/>
        <w:left w:val="none" w:sz="0" w:space="0" w:color="auto"/>
        <w:bottom w:val="none" w:sz="0" w:space="0" w:color="auto"/>
        <w:right w:val="none" w:sz="0" w:space="0" w:color="auto"/>
      </w:divBdr>
    </w:div>
    <w:div w:id="1202323840">
      <w:bodyDiv w:val="1"/>
      <w:marLeft w:val="0"/>
      <w:marRight w:val="0"/>
      <w:marTop w:val="0"/>
      <w:marBottom w:val="0"/>
      <w:divBdr>
        <w:top w:val="none" w:sz="0" w:space="0" w:color="auto"/>
        <w:left w:val="none" w:sz="0" w:space="0" w:color="auto"/>
        <w:bottom w:val="none" w:sz="0" w:space="0" w:color="auto"/>
        <w:right w:val="none" w:sz="0" w:space="0" w:color="auto"/>
      </w:divBdr>
    </w:div>
    <w:div w:id="1218393214">
      <w:bodyDiv w:val="1"/>
      <w:marLeft w:val="0"/>
      <w:marRight w:val="0"/>
      <w:marTop w:val="0"/>
      <w:marBottom w:val="0"/>
      <w:divBdr>
        <w:top w:val="none" w:sz="0" w:space="0" w:color="auto"/>
        <w:left w:val="none" w:sz="0" w:space="0" w:color="auto"/>
        <w:bottom w:val="none" w:sz="0" w:space="0" w:color="auto"/>
        <w:right w:val="none" w:sz="0" w:space="0" w:color="auto"/>
      </w:divBdr>
    </w:div>
    <w:div w:id="1220895370">
      <w:bodyDiv w:val="1"/>
      <w:marLeft w:val="0"/>
      <w:marRight w:val="0"/>
      <w:marTop w:val="0"/>
      <w:marBottom w:val="0"/>
      <w:divBdr>
        <w:top w:val="none" w:sz="0" w:space="0" w:color="auto"/>
        <w:left w:val="none" w:sz="0" w:space="0" w:color="auto"/>
        <w:bottom w:val="none" w:sz="0" w:space="0" w:color="auto"/>
        <w:right w:val="none" w:sz="0" w:space="0" w:color="auto"/>
      </w:divBdr>
    </w:div>
    <w:div w:id="1225605642">
      <w:bodyDiv w:val="1"/>
      <w:marLeft w:val="0"/>
      <w:marRight w:val="0"/>
      <w:marTop w:val="0"/>
      <w:marBottom w:val="0"/>
      <w:divBdr>
        <w:top w:val="none" w:sz="0" w:space="0" w:color="auto"/>
        <w:left w:val="none" w:sz="0" w:space="0" w:color="auto"/>
        <w:bottom w:val="none" w:sz="0" w:space="0" w:color="auto"/>
        <w:right w:val="none" w:sz="0" w:space="0" w:color="auto"/>
      </w:divBdr>
    </w:div>
    <w:div w:id="1229421647">
      <w:bodyDiv w:val="1"/>
      <w:marLeft w:val="0"/>
      <w:marRight w:val="0"/>
      <w:marTop w:val="0"/>
      <w:marBottom w:val="0"/>
      <w:divBdr>
        <w:top w:val="none" w:sz="0" w:space="0" w:color="auto"/>
        <w:left w:val="none" w:sz="0" w:space="0" w:color="auto"/>
        <w:bottom w:val="none" w:sz="0" w:space="0" w:color="auto"/>
        <w:right w:val="none" w:sz="0" w:space="0" w:color="auto"/>
      </w:divBdr>
    </w:div>
    <w:div w:id="1239361219">
      <w:bodyDiv w:val="1"/>
      <w:marLeft w:val="0"/>
      <w:marRight w:val="0"/>
      <w:marTop w:val="0"/>
      <w:marBottom w:val="0"/>
      <w:divBdr>
        <w:top w:val="none" w:sz="0" w:space="0" w:color="auto"/>
        <w:left w:val="none" w:sz="0" w:space="0" w:color="auto"/>
        <w:bottom w:val="none" w:sz="0" w:space="0" w:color="auto"/>
        <w:right w:val="none" w:sz="0" w:space="0" w:color="auto"/>
      </w:divBdr>
    </w:div>
    <w:div w:id="1245721279">
      <w:bodyDiv w:val="1"/>
      <w:marLeft w:val="0"/>
      <w:marRight w:val="0"/>
      <w:marTop w:val="0"/>
      <w:marBottom w:val="0"/>
      <w:divBdr>
        <w:top w:val="none" w:sz="0" w:space="0" w:color="auto"/>
        <w:left w:val="none" w:sz="0" w:space="0" w:color="auto"/>
        <w:bottom w:val="none" w:sz="0" w:space="0" w:color="auto"/>
        <w:right w:val="none" w:sz="0" w:space="0" w:color="auto"/>
      </w:divBdr>
    </w:div>
    <w:div w:id="1245993230">
      <w:bodyDiv w:val="1"/>
      <w:marLeft w:val="0"/>
      <w:marRight w:val="0"/>
      <w:marTop w:val="0"/>
      <w:marBottom w:val="0"/>
      <w:divBdr>
        <w:top w:val="none" w:sz="0" w:space="0" w:color="auto"/>
        <w:left w:val="none" w:sz="0" w:space="0" w:color="auto"/>
        <w:bottom w:val="none" w:sz="0" w:space="0" w:color="auto"/>
        <w:right w:val="none" w:sz="0" w:space="0" w:color="auto"/>
      </w:divBdr>
    </w:div>
    <w:div w:id="1246377321">
      <w:bodyDiv w:val="1"/>
      <w:marLeft w:val="0"/>
      <w:marRight w:val="0"/>
      <w:marTop w:val="0"/>
      <w:marBottom w:val="0"/>
      <w:divBdr>
        <w:top w:val="none" w:sz="0" w:space="0" w:color="auto"/>
        <w:left w:val="none" w:sz="0" w:space="0" w:color="auto"/>
        <w:bottom w:val="none" w:sz="0" w:space="0" w:color="auto"/>
        <w:right w:val="none" w:sz="0" w:space="0" w:color="auto"/>
      </w:divBdr>
    </w:div>
    <w:div w:id="1249343540">
      <w:bodyDiv w:val="1"/>
      <w:marLeft w:val="0"/>
      <w:marRight w:val="0"/>
      <w:marTop w:val="0"/>
      <w:marBottom w:val="0"/>
      <w:divBdr>
        <w:top w:val="none" w:sz="0" w:space="0" w:color="auto"/>
        <w:left w:val="none" w:sz="0" w:space="0" w:color="auto"/>
        <w:bottom w:val="none" w:sz="0" w:space="0" w:color="auto"/>
        <w:right w:val="none" w:sz="0" w:space="0" w:color="auto"/>
      </w:divBdr>
    </w:div>
    <w:div w:id="1277566504">
      <w:bodyDiv w:val="1"/>
      <w:marLeft w:val="0"/>
      <w:marRight w:val="0"/>
      <w:marTop w:val="0"/>
      <w:marBottom w:val="0"/>
      <w:divBdr>
        <w:top w:val="none" w:sz="0" w:space="0" w:color="auto"/>
        <w:left w:val="none" w:sz="0" w:space="0" w:color="auto"/>
        <w:bottom w:val="none" w:sz="0" w:space="0" w:color="auto"/>
        <w:right w:val="none" w:sz="0" w:space="0" w:color="auto"/>
      </w:divBdr>
    </w:div>
    <w:div w:id="1292252061">
      <w:bodyDiv w:val="1"/>
      <w:marLeft w:val="0"/>
      <w:marRight w:val="0"/>
      <w:marTop w:val="0"/>
      <w:marBottom w:val="0"/>
      <w:divBdr>
        <w:top w:val="none" w:sz="0" w:space="0" w:color="auto"/>
        <w:left w:val="none" w:sz="0" w:space="0" w:color="auto"/>
        <w:bottom w:val="none" w:sz="0" w:space="0" w:color="auto"/>
        <w:right w:val="none" w:sz="0" w:space="0" w:color="auto"/>
      </w:divBdr>
    </w:div>
    <w:div w:id="1300768779">
      <w:bodyDiv w:val="1"/>
      <w:marLeft w:val="0"/>
      <w:marRight w:val="0"/>
      <w:marTop w:val="0"/>
      <w:marBottom w:val="0"/>
      <w:divBdr>
        <w:top w:val="none" w:sz="0" w:space="0" w:color="auto"/>
        <w:left w:val="none" w:sz="0" w:space="0" w:color="auto"/>
        <w:bottom w:val="none" w:sz="0" w:space="0" w:color="auto"/>
        <w:right w:val="none" w:sz="0" w:space="0" w:color="auto"/>
      </w:divBdr>
    </w:div>
    <w:div w:id="1306162136">
      <w:bodyDiv w:val="1"/>
      <w:marLeft w:val="0"/>
      <w:marRight w:val="0"/>
      <w:marTop w:val="0"/>
      <w:marBottom w:val="0"/>
      <w:divBdr>
        <w:top w:val="none" w:sz="0" w:space="0" w:color="auto"/>
        <w:left w:val="none" w:sz="0" w:space="0" w:color="auto"/>
        <w:bottom w:val="none" w:sz="0" w:space="0" w:color="auto"/>
        <w:right w:val="none" w:sz="0" w:space="0" w:color="auto"/>
      </w:divBdr>
    </w:div>
    <w:div w:id="1308977678">
      <w:bodyDiv w:val="1"/>
      <w:marLeft w:val="0"/>
      <w:marRight w:val="0"/>
      <w:marTop w:val="0"/>
      <w:marBottom w:val="0"/>
      <w:divBdr>
        <w:top w:val="none" w:sz="0" w:space="0" w:color="auto"/>
        <w:left w:val="none" w:sz="0" w:space="0" w:color="auto"/>
        <w:bottom w:val="none" w:sz="0" w:space="0" w:color="auto"/>
        <w:right w:val="none" w:sz="0" w:space="0" w:color="auto"/>
      </w:divBdr>
    </w:div>
    <w:div w:id="1309868182">
      <w:bodyDiv w:val="1"/>
      <w:marLeft w:val="0"/>
      <w:marRight w:val="0"/>
      <w:marTop w:val="0"/>
      <w:marBottom w:val="0"/>
      <w:divBdr>
        <w:top w:val="none" w:sz="0" w:space="0" w:color="auto"/>
        <w:left w:val="none" w:sz="0" w:space="0" w:color="auto"/>
        <w:bottom w:val="none" w:sz="0" w:space="0" w:color="auto"/>
        <w:right w:val="none" w:sz="0" w:space="0" w:color="auto"/>
      </w:divBdr>
    </w:div>
    <w:div w:id="1316643932">
      <w:bodyDiv w:val="1"/>
      <w:marLeft w:val="0"/>
      <w:marRight w:val="0"/>
      <w:marTop w:val="0"/>
      <w:marBottom w:val="0"/>
      <w:divBdr>
        <w:top w:val="none" w:sz="0" w:space="0" w:color="auto"/>
        <w:left w:val="none" w:sz="0" w:space="0" w:color="auto"/>
        <w:bottom w:val="none" w:sz="0" w:space="0" w:color="auto"/>
        <w:right w:val="none" w:sz="0" w:space="0" w:color="auto"/>
      </w:divBdr>
    </w:div>
    <w:div w:id="1323510630">
      <w:bodyDiv w:val="1"/>
      <w:marLeft w:val="0"/>
      <w:marRight w:val="0"/>
      <w:marTop w:val="0"/>
      <w:marBottom w:val="0"/>
      <w:divBdr>
        <w:top w:val="none" w:sz="0" w:space="0" w:color="auto"/>
        <w:left w:val="none" w:sz="0" w:space="0" w:color="auto"/>
        <w:bottom w:val="none" w:sz="0" w:space="0" w:color="auto"/>
        <w:right w:val="none" w:sz="0" w:space="0" w:color="auto"/>
      </w:divBdr>
    </w:div>
    <w:div w:id="1329137767">
      <w:bodyDiv w:val="1"/>
      <w:marLeft w:val="0"/>
      <w:marRight w:val="0"/>
      <w:marTop w:val="0"/>
      <w:marBottom w:val="0"/>
      <w:divBdr>
        <w:top w:val="none" w:sz="0" w:space="0" w:color="auto"/>
        <w:left w:val="none" w:sz="0" w:space="0" w:color="auto"/>
        <w:bottom w:val="none" w:sz="0" w:space="0" w:color="auto"/>
        <w:right w:val="none" w:sz="0" w:space="0" w:color="auto"/>
      </w:divBdr>
    </w:div>
    <w:div w:id="1332871209">
      <w:bodyDiv w:val="1"/>
      <w:marLeft w:val="0"/>
      <w:marRight w:val="0"/>
      <w:marTop w:val="0"/>
      <w:marBottom w:val="0"/>
      <w:divBdr>
        <w:top w:val="none" w:sz="0" w:space="0" w:color="auto"/>
        <w:left w:val="none" w:sz="0" w:space="0" w:color="auto"/>
        <w:bottom w:val="none" w:sz="0" w:space="0" w:color="auto"/>
        <w:right w:val="none" w:sz="0" w:space="0" w:color="auto"/>
      </w:divBdr>
    </w:div>
    <w:div w:id="1336035111">
      <w:bodyDiv w:val="1"/>
      <w:marLeft w:val="0"/>
      <w:marRight w:val="0"/>
      <w:marTop w:val="0"/>
      <w:marBottom w:val="0"/>
      <w:divBdr>
        <w:top w:val="none" w:sz="0" w:space="0" w:color="auto"/>
        <w:left w:val="none" w:sz="0" w:space="0" w:color="auto"/>
        <w:bottom w:val="none" w:sz="0" w:space="0" w:color="auto"/>
        <w:right w:val="none" w:sz="0" w:space="0" w:color="auto"/>
      </w:divBdr>
    </w:div>
    <w:div w:id="1352679124">
      <w:bodyDiv w:val="1"/>
      <w:marLeft w:val="0"/>
      <w:marRight w:val="0"/>
      <w:marTop w:val="0"/>
      <w:marBottom w:val="0"/>
      <w:divBdr>
        <w:top w:val="none" w:sz="0" w:space="0" w:color="auto"/>
        <w:left w:val="none" w:sz="0" w:space="0" w:color="auto"/>
        <w:bottom w:val="none" w:sz="0" w:space="0" w:color="auto"/>
        <w:right w:val="none" w:sz="0" w:space="0" w:color="auto"/>
      </w:divBdr>
    </w:div>
    <w:div w:id="1367557549">
      <w:bodyDiv w:val="1"/>
      <w:marLeft w:val="0"/>
      <w:marRight w:val="0"/>
      <w:marTop w:val="0"/>
      <w:marBottom w:val="0"/>
      <w:divBdr>
        <w:top w:val="none" w:sz="0" w:space="0" w:color="auto"/>
        <w:left w:val="none" w:sz="0" w:space="0" w:color="auto"/>
        <w:bottom w:val="none" w:sz="0" w:space="0" w:color="auto"/>
        <w:right w:val="none" w:sz="0" w:space="0" w:color="auto"/>
      </w:divBdr>
    </w:div>
    <w:div w:id="1367636330">
      <w:bodyDiv w:val="1"/>
      <w:marLeft w:val="0"/>
      <w:marRight w:val="0"/>
      <w:marTop w:val="0"/>
      <w:marBottom w:val="0"/>
      <w:divBdr>
        <w:top w:val="none" w:sz="0" w:space="0" w:color="auto"/>
        <w:left w:val="none" w:sz="0" w:space="0" w:color="auto"/>
        <w:bottom w:val="none" w:sz="0" w:space="0" w:color="auto"/>
        <w:right w:val="none" w:sz="0" w:space="0" w:color="auto"/>
      </w:divBdr>
    </w:div>
    <w:div w:id="1368329938">
      <w:bodyDiv w:val="1"/>
      <w:marLeft w:val="0"/>
      <w:marRight w:val="0"/>
      <w:marTop w:val="0"/>
      <w:marBottom w:val="0"/>
      <w:divBdr>
        <w:top w:val="none" w:sz="0" w:space="0" w:color="auto"/>
        <w:left w:val="none" w:sz="0" w:space="0" w:color="auto"/>
        <w:bottom w:val="none" w:sz="0" w:space="0" w:color="auto"/>
        <w:right w:val="none" w:sz="0" w:space="0" w:color="auto"/>
      </w:divBdr>
    </w:div>
    <w:div w:id="1398938992">
      <w:bodyDiv w:val="1"/>
      <w:marLeft w:val="0"/>
      <w:marRight w:val="0"/>
      <w:marTop w:val="0"/>
      <w:marBottom w:val="0"/>
      <w:divBdr>
        <w:top w:val="none" w:sz="0" w:space="0" w:color="auto"/>
        <w:left w:val="none" w:sz="0" w:space="0" w:color="auto"/>
        <w:bottom w:val="none" w:sz="0" w:space="0" w:color="auto"/>
        <w:right w:val="none" w:sz="0" w:space="0" w:color="auto"/>
      </w:divBdr>
    </w:div>
    <w:div w:id="1421024827">
      <w:bodyDiv w:val="1"/>
      <w:marLeft w:val="0"/>
      <w:marRight w:val="0"/>
      <w:marTop w:val="0"/>
      <w:marBottom w:val="0"/>
      <w:divBdr>
        <w:top w:val="none" w:sz="0" w:space="0" w:color="auto"/>
        <w:left w:val="none" w:sz="0" w:space="0" w:color="auto"/>
        <w:bottom w:val="none" w:sz="0" w:space="0" w:color="auto"/>
        <w:right w:val="none" w:sz="0" w:space="0" w:color="auto"/>
      </w:divBdr>
    </w:div>
    <w:div w:id="1422213214">
      <w:bodyDiv w:val="1"/>
      <w:marLeft w:val="0"/>
      <w:marRight w:val="0"/>
      <w:marTop w:val="0"/>
      <w:marBottom w:val="0"/>
      <w:divBdr>
        <w:top w:val="none" w:sz="0" w:space="0" w:color="auto"/>
        <w:left w:val="none" w:sz="0" w:space="0" w:color="auto"/>
        <w:bottom w:val="none" w:sz="0" w:space="0" w:color="auto"/>
        <w:right w:val="none" w:sz="0" w:space="0" w:color="auto"/>
      </w:divBdr>
    </w:div>
    <w:div w:id="1435053063">
      <w:bodyDiv w:val="1"/>
      <w:marLeft w:val="0"/>
      <w:marRight w:val="0"/>
      <w:marTop w:val="0"/>
      <w:marBottom w:val="0"/>
      <w:divBdr>
        <w:top w:val="none" w:sz="0" w:space="0" w:color="auto"/>
        <w:left w:val="none" w:sz="0" w:space="0" w:color="auto"/>
        <w:bottom w:val="none" w:sz="0" w:space="0" w:color="auto"/>
        <w:right w:val="none" w:sz="0" w:space="0" w:color="auto"/>
      </w:divBdr>
    </w:div>
    <w:div w:id="1445347892">
      <w:bodyDiv w:val="1"/>
      <w:marLeft w:val="0"/>
      <w:marRight w:val="0"/>
      <w:marTop w:val="0"/>
      <w:marBottom w:val="0"/>
      <w:divBdr>
        <w:top w:val="none" w:sz="0" w:space="0" w:color="auto"/>
        <w:left w:val="none" w:sz="0" w:space="0" w:color="auto"/>
        <w:bottom w:val="none" w:sz="0" w:space="0" w:color="auto"/>
        <w:right w:val="none" w:sz="0" w:space="0" w:color="auto"/>
      </w:divBdr>
    </w:div>
    <w:div w:id="1450660086">
      <w:bodyDiv w:val="1"/>
      <w:marLeft w:val="0"/>
      <w:marRight w:val="0"/>
      <w:marTop w:val="0"/>
      <w:marBottom w:val="0"/>
      <w:divBdr>
        <w:top w:val="none" w:sz="0" w:space="0" w:color="auto"/>
        <w:left w:val="none" w:sz="0" w:space="0" w:color="auto"/>
        <w:bottom w:val="none" w:sz="0" w:space="0" w:color="auto"/>
        <w:right w:val="none" w:sz="0" w:space="0" w:color="auto"/>
      </w:divBdr>
    </w:div>
    <w:div w:id="1453743198">
      <w:bodyDiv w:val="1"/>
      <w:marLeft w:val="0"/>
      <w:marRight w:val="0"/>
      <w:marTop w:val="0"/>
      <w:marBottom w:val="0"/>
      <w:divBdr>
        <w:top w:val="none" w:sz="0" w:space="0" w:color="auto"/>
        <w:left w:val="none" w:sz="0" w:space="0" w:color="auto"/>
        <w:bottom w:val="none" w:sz="0" w:space="0" w:color="auto"/>
        <w:right w:val="none" w:sz="0" w:space="0" w:color="auto"/>
      </w:divBdr>
    </w:div>
    <w:div w:id="1469401211">
      <w:bodyDiv w:val="1"/>
      <w:marLeft w:val="0"/>
      <w:marRight w:val="0"/>
      <w:marTop w:val="0"/>
      <w:marBottom w:val="0"/>
      <w:divBdr>
        <w:top w:val="none" w:sz="0" w:space="0" w:color="auto"/>
        <w:left w:val="none" w:sz="0" w:space="0" w:color="auto"/>
        <w:bottom w:val="none" w:sz="0" w:space="0" w:color="auto"/>
        <w:right w:val="none" w:sz="0" w:space="0" w:color="auto"/>
      </w:divBdr>
    </w:div>
    <w:div w:id="1487820271">
      <w:bodyDiv w:val="1"/>
      <w:marLeft w:val="0"/>
      <w:marRight w:val="0"/>
      <w:marTop w:val="0"/>
      <w:marBottom w:val="0"/>
      <w:divBdr>
        <w:top w:val="none" w:sz="0" w:space="0" w:color="auto"/>
        <w:left w:val="none" w:sz="0" w:space="0" w:color="auto"/>
        <w:bottom w:val="none" w:sz="0" w:space="0" w:color="auto"/>
        <w:right w:val="none" w:sz="0" w:space="0" w:color="auto"/>
      </w:divBdr>
    </w:div>
    <w:div w:id="1489982190">
      <w:bodyDiv w:val="1"/>
      <w:marLeft w:val="0"/>
      <w:marRight w:val="0"/>
      <w:marTop w:val="0"/>
      <w:marBottom w:val="0"/>
      <w:divBdr>
        <w:top w:val="none" w:sz="0" w:space="0" w:color="auto"/>
        <w:left w:val="none" w:sz="0" w:space="0" w:color="auto"/>
        <w:bottom w:val="none" w:sz="0" w:space="0" w:color="auto"/>
        <w:right w:val="none" w:sz="0" w:space="0" w:color="auto"/>
      </w:divBdr>
    </w:div>
    <w:div w:id="1518350622">
      <w:bodyDiv w:val="1"/>
      <w:marLeft w:val="0"/>
      <w:marRight w:val="0"/>
      <w:marTop w:val="0"/>
      <w:marBottom w:val="0"/>
      <w:divBdr>
        <w:top w:val="none" w:sz="0" w:space="0" w:color="auto"/>
        <w:left w:val="none" w:sz="0" w:space="0" w:color="auto"/>
        <w:bottom w:val="none" w:sz="0" w:space="0" w:color="auto"/>
        <w:right w:val="none" w:sz="0" w:space="0" w:color="auto"/>
      </w:divBdr>
    </w:div>
    <w:div w:id="1536844398">
      <w:bodyDiv w:val="1"/>
      <w:marLeft w:val="0"/>
      <w:marRight w:val="0"/>
      <w:marTop w:val="0"/>
      <w:marBottom w:val="0"/>
      <w:divBdr>
        <w:top w:val="none" w:sz="0" w:space="0" w:color="auto"/>
        <w:left w:val="none" w:sz="0" w:space="0" w:color="auto"/>
        <w:bottom w:val="none" w:sz="0" w:space="0" w:color="auto"/>
        <w:right w:val="none" w:sz="0" w:space="0" w:color="auto"/>
      </w:divBdr>
    </w:div>
    <w:div w:id="1542480031">
      <w:bodyDiv w:val="1"/>
      <w:marLeft w:val="0"/>
      <w:marRight w:val="0"/>
      <w:marTop w:val="0"/>
      <w:marBottom w:val="0"/>
      <w:divBdr>
        <w:top w:val="none" w:sz="0" w:space="0" w:color="auto"/>
        <w:left w:val="none" w:sz="0" w:space="0" w:color="auto"/>
        <w:bottom w:val="none" w:sz="0" w:space="0" w:color="auto"/>
        <w:right w:val="none" w:sz="0" w:space="0" w:color="auto"/>
      </w:divBdr>
    </w:div>
    <w:div w:id="1551648305">
      <w:bodyDiv w:val="1"/>
      <w:marLeft w:val="0"/>
      <w:marRight w:val="0"/>
      <w:marTop w:val="0"/>
      <w:marBottom w:val="0"/>
      <w:divBdr>
        <w:top w:val="none" w:sz="0" w:space="0" w:color="auto"/>
        <w:left w:val="none" w:sz="0" w:space="0" w:color="auto"/>
        <w:bottom w:val="none" w:sz="0" w:space="0" w:color="auto"/>
        <w:right w:val="none" w:sz="0" w:space="0" w:color="auto"/>
      </w:divBdr>
    </w:div>
    <w:div w:id="1562255220">
      <w:bodyDiv w:val="1"/>
      <w:marLeft w:val="0"/>
      <w:marRight w:val="0"/>
      <w:marTop w:val="0"/>
      <w:marBottom w:val="0"/>
      <w:divBdr>
        <w:top w:val="none" w:sz="0" w:space="0" w:color="auto"/>
        <w:left w:val="none" w:sz="0" w:space="0" w:color="auto"/>
        <w:bottom w:val="none" w:sz="0" w:space="0" w:color="auto"/>
        <w:right w:val="none" w:sz="0" w:space="0" w:color="auto"/>
      </w:divBdr>
    </w:div>
    <w:div w:id="1571379225">
      <w:bodyDiv w:val="1"/>
      <w:marLeft w:val="0"/>
      <w:marRight w:val="0"/>
      <w:marTop w:val="0"/>
      <w:marBottom w:val="0"/>
      <w:divBdr>
        <w:top w:val="none" w:sz="0" w:space="0" w:color="auto"/>
        <w:left w:val="none" w:sz="0" w:space="0" w:color="auto"/>
        <w:bottom w:val="none" w:sz="0" w:space="0" w:color="auto"/>
        <w:right w:val="none" w:sz="0" w:space="0" w:color="auto"/>
      </w:divBdr>
    </w:div>
    <w:div w:id="1572350891">
      <w:bodyDiv w:val="1"/>
      <w:marLeft w:val="0"/>
      <w:marRight w:val="0"/>
      <w:marTop w:val="0"/>
      <w:marBottom w:val="0"/>
      <w:divBdr>
        <w:top w:val="none" w:sz="0" w:space="0" w:color="auto"/>
        <w:left w:val="none" w:sz="0" w:space="0" w:color="auto"/>
        <w:bottom w:val="none" w:sz="0" w:space="0" w:color="auto"/>
        <w:right w:val="none" w:sz="0" w:space="0" w:color="auto"/>
      </w:divBdr>
    </w:div>
    <w:div w:id="1579745866">
      <w:bodyDiv w:val="1"/>
      <w:marLeft w:val="0"/>
      <w:marRight w:val="0"/>
      <w:marTop w:val="0"/>
      <w:marBottom w:val="0"/>
      <w:divBdr>
        <w:top w:val="none" w:sz="0" w:space="0" w:color="auto"/>
        <w:left w:val="none" w:sz="0" w:space="0" w:color="auto"/>
        <w:bottom w:val="none" w:sz="0" w:space="0" w:color="auto"/>
        <w:right w:val="none" w:sz="0" w:space="0" w:color="auto"/>
      </w:divBdr>
    </w:div>
    <w:div w:id="1583637408">
      <w:bodyDiv w:val="1"/>
      <w:marLeft w:val="0"/>
      <w:marRight w:val="0"/>
      <w:marTop w:val="0"/>
      <w:marBottom w:val="0"/>
      <w:divBdr>
        <w:top w:val="none" w:sz="0" w:space="0" w:color="auto"/>
        <w:left w:val="none" w:sz="0" w:space="0" w:color="auto"/>
        <w:bottom w:val="none" w:sz="0" w:space="0" w:color="auto"/>
        <w:right w:val="none" w:sz="0" w:space="0" w:color="auto"/>
      </w:divBdr>
    </w:div>
    <w:div w:id="1585187807">
      <w:bodyDiv w:val="1"/>
      <w:marLeft w:val="0"/>
      <w:marRight w:val="0"/>
      <w:marTop w:val="0"/>
      <w:marBottom w:val="0"/>
      <w:divBdr>
        <w:top w:val="none" w:sz="0" w:space="0" w:color="auto"/>
        <w:left w:val="none" w:sz="0" w:space="0" w:color="auto"/>
        <w:bottom w:val="none" w:sz="0" w:space="0" w:color="auto"/>
        <w:right w:val="none" w:sz="0" w:space="0" w:color="auto"/>
      </w:divBdr>
    </w:div>
    <w:div w:id="1585996609">
      <w:bodyDiv w:val="1"/>
      <w:marLeft w:val="0"/>
      <w:marRight w:val="0"/>
      <w:marTop w:val="0"/>
      <w:marBottom w:val="0"/>
      <w:divBdr>
        <w:top w:val="none" w:sz="0" w:space="0" w:color="auto"/>
        <w:left w:val="none" w:sz="0" w:space="0" w:color="auto"/>
        <w:bottom w:val="none" w:sz="0" w:space="0" w:color="auto"/>
        <w:right w:val="none" w:sz="0" w:space="0" w:color="auto"/>
      </w:divBdr>
    </w:div>
    <w:div w:id="1590499436">
      <w:bodyDiv w:val="1"/>
      <w:marLeft w:val="0"/>
      <w:marRight w:val="0"/>
      <w:marTop w:val="0"/>
      <w:marBottom w:val="0"/>
      <w:divBdr>
        <w:top w:val="none" w:sz="0" w:space="0" w:color="auto"/>
        <w:left w:val="none" w:sz="0" w:space="0" w:color="auto"/>
        <w:bottom w:val="none" w:sz="0" w:space="0" w:color="auto"/>
        <w:right w:val="none" w:sz="0" w:space="0" w:color="auto"/>
      </w:divBdr>
    </w:div>
    <w:div w:id="1596746345">
      <w:bodyDiv w:val="1"/>
      <w:marLeft w:val="0"/>
      <w:marRight w:val="0"/>
      <w:marTop w:val="0"/>
      <w:marBottom w:val="0"/>
      <w:divBdr>
        <w:top w:val="none" w:sz="0" w:space="0" w:color="auto"/>
        <w:left w:val="none" w:sz="0" w:space="0" w:color="auto"/>
        <w:bottom w:val="none" w:sz="0" w:space="0" w:color="auto"/>
        <w:right w:val="none" w:sz="0" w:space="0" w:color="auto"/>
      </w:divBdr>
    </w:div>
    <w:div w:id="1608539780">
      <w:bodyDiv w:val="1"/>
      <w:marLeft w:val="0"/>
      <w:marRight w:val="0"/>
      <w:marTop w:val="0"/>
      <w:marBottom w:val="0"/>
      <w:divBdr>
        <w:top w:val="none" w:sz="0" w:space="0" w:color="auto"/>
        <w:left w:val="none" w:sz="0" w:space="0" w:color="auto"/>
        <w:bottom w:val="none" w:sz="0" w:space="0" w:color="auto"/>
        <w:right w:val="none" w:sz="0" w:space="0" w:color="auto"/>
      </w:divBdr>
    </w:div>
    <w:div w:id="1612467094">
      <w:bodyDiv w:val="1"/>
      <w:marLeft w:val="0"/>
      <w:marRight w:val="0"/>
      <w:marTop w:val="0"/>
      <w:marBottom w:val="0"/>
      <w:divBdr>
        <w:top w:val="none" w:sz="0" w:space="0" w:color="auto"/>
        <w:left w:val="none" w:sz="0" w:space="0" w:color="auto"/>
        <w:bottom w:val="none" w:sz="0" w:space="0" w:color="auto"/>
        <w:right w:val="none" w:sz="0" w:space="0" w:color="auto"/>
      </w:divBdr>
    </w:div>
    <w:div w:id="1618609285">
      <w:bodyDiv w:val="1"/>
      <w:marLeft w:val="0"/>
      <w:marRight w:val="0"/>
      <w:marTop w:val="0"/>
      <w:marBottom w:val="0"/>
      <w:divBdr>
        <w:top w:val="none" w:sz="0" w:space="0" w:color="auto"/>
        <w:left w:val="none" w:sz="0" w:space="0" w:color="auto"/>
        <w:bottom w:val="none" w:sz="0" w:space="0" w:color="auto"/>
        <w:right w:val="none" w:sz="0" w:space="0" w:color="auto"/>
      </w:divBdr>
    </w:div>
    <w:div w:id="1654063999">
      <w:bodyDiv w:val="1"/>
      <w:marLeft w:val="0"/>
      <w:marRight w:val="0"/>
      <w:marTop w:val="0"/>
      <w:marBottom w:val="0"/>
      <w:divBdr>
        <w:top w:val="none" w:sz="0" w:space="0" w:color="auto"/>
        <w:left w:val="none" w:sz="0" w:space="0" w:color="auto"/>
        <w:bottom w:val="none" w:sz="0" w:space="0" w:color="auto"/>
        <w:right w:val="none" w:sz="0" w:space="0" w:color="auto"/>
      </w:divBdr>
    </w:div>
    <w:div w:id="1663852444">
      <w:bodyDiv w:val="1"/>
      <w:marLeft w:val="0"/>
      <w:marRight w:val="0"/>
      <w:marTop w:val="0"/>
      <w:marBottom w:val="0"/>
      <w:divBdr>
        <w:top w:val="none" w:sz="0" w:space="0" w:color="auto"/>
        <w:left w:val="none" w:sz="0" w:space="0" w:color="auto"/>
        <w:bottom w:val="none" w:sz="0" w:space="0" w:color="auto"/>
        <w:right w:val="none" w:sz="0" w:space="0" w:color="auto"/>
      </w:divBdr>
    </w:div>
    <w:div w:id="1676613896">
      <w:bodyDiv w:val="1"/>
      <w:marLeft w:val="0"/>
      <w:marRight w:val="0"/>
      <w:marTop w:val="0"/>
      <w:marBottom w:val="0"/>
      <w:divBdr>
        <w:top w:val="none" w:sz="0" w:space="0" w:color="auto"/>
        <w:left w:val="none" w:sz="0" w:space="0" w:color="auto"/>
        <w:bottom w:val="none" w:sz="0" w:space="0" w:color="auto"/>
        <w:right w:val="none" w:sz="0" w:space="0" w:color="auto"/>
      </w:divBdr>
    </w:div>
    <w:div w:id="1678577938">
      <w:bodyDiv w:val="1"/>
      <w:marLeft w:val="0"/>
      <w:marRight w:val="0"/>
      <w:marTop w:val="0"/>
      <w:marBottom w:val="0"/>
      <w:divBdr>
        <w:top w:val="none" w:sz="0" w:space="0" w:color="auto"/>
        <w:left w:val="none" w:sz="0" w:space="0" w:color="auto"/>
        <w:bottom w:val="none" w:sz="0" w:space="0" w:color="auto"/>
        <w:right w:val="none" w:sz="0" w:space="0" w:color="auto"/>
      </w:divBdr>
    </w:div>
    <w:div w:id="1686325788">
      <w:bodyDiv w:val="1"/>
      <w:marLeft w:val="0"/>
      <w:marRight w:val="0"/>
      <w:marTop w:val="0"/>
      <w:marBottom w:val="0"/>
      <w:divBdr>
        <w:top w:val="none" w:sz="0" w:space="0" w:color="auto"/>
        <w:left w:val="none" w:sz="0" w:space="0" w:color="auto"/>
        <w:bottom w:val="none" w:sz="0" w:space="0" w:color="auto"/>
        <w:right w:val="none" w:sz="0" w:space="0" w:color="auto"/>
      </w:divBdr>
    </w:div>
    <w:div w:id="1693723321">
      <w:bodyDiv w:val="1"/>
      <w:marLeft w:val="0"/>
      <w:marRight w:val="0"/>
      <w:marTop w:val="0"/>
      <w:marBottom w:val="0"/>
      <w:divBdr>
        <w:top w:val="none" w:sz="0" w:space="0" w:color="auto"/>
        <w:left w:val="none" w:sz="0" w:space="0" w:color="auto"/>
        <w:bottom w:val="none" w:sz="0" w:space="0" w:color="auto"/>
        <w:right w:val="none" w:sz="0" w:space="0" w:color="auto"/>
      </w:divBdr>
    </w:div>
    <w:div w:id="1718164300">
      <w:bodyDiv w:val="1"/>
      <w:marLeft w:val="0"/>
      <w:marRight w:val="0"/>
      <w:marTop w:val="0"/>
      <w:marBottom w:val="0"/>
      <w:divBdr>
        <w:top w:val="none" w:sz="0" w:space="0" w:color="auto"/>
        <w:left w:val="none" w:sz="0" w:space="0" w:color="auto"/>
        <w:bottom w:val="none" w:sz="0" w:space="0" w:color="auto"/>
        <w:right w:val="none" w:sz="0" w:space="0" w:color="auto"/>
      </w:divBdr>
    </w:div>
    <w:div w:id="1729037440">
      <w:bodyDiv w:val="1"/>
      <w:marLeft w:val="0"/>
      <w:marRight w:val="0"/>
      <w:marTop w:val="0"/>
      <w:marBottom w:val="0"/>
      <w:divBdr>
        <w:top w:val="none" w:sz="0" w:space="0" w:color="auto"/>
        <w:left w:val="none" w:sz="0" w:space="0" w:color="auto"/>
        <w:bottom w:val="none" w:sz="0" w:space="0" w:color="auto"/>
        <w:right w:val="none" w:sz="0" w:space="0" w:color="auto"/>
      </w:divBdr>
    </w:div>
    <w:div w:id="1734228945">
      <w:bodyDiv w:val="1"/>
      <w:marLeft w:val="0"/>
      <w:marRight w:val="0"/>
      <w:marTop w:val="0"/>
      <w:marBottom w:val="0"/>
      <w:divBdr>
        <w:top w:val="none" w:sz="0" w:space="0" w:color="auto"/>
        <w:left w:val="none" w:sz="0" w:space="0" w:color="auto"/>
        <w:bottom w:val="none" w:sz="0" w:space="0" w:color="auto"/>
        <w:right w:val="none" w:sz="0" w:space="0" w:color="auto"/>
      </w:divBdr>
    </w:div>
    <w:div w:id="1749813432">
      <w:bodyDiv w:val="1"/>
      <w:marLeft w:val="0"/>
      <w:marRight w:val="0"/>
      <w:marTop w:val="0"/>
      <w:marBottom w:val="0"/>
      <w:divBdr>
        <w:top w:val="none" w:sz="0" w:space="0" w:color="auto"/>
        <w:left w:val="none" w:sz="0" w:space="0" w:color="auto"/>
        <w:bottom w:val="none" w:sz="0" w:space="0" w:color="auto"/>
        <w:right w:val="none" w:sz="0" w:space="0" w:color="auto"/>
      </w:divBdr>
    </w:div>
    <w:div w:id="1767919155">
      <w:bodyDiv w:val="1"/>
      <w:marLeft w:val="0"/>
      <w:marRight w:val="0"/>
      <w:marTop w:val="0"/>
      <w:marBottom w:val="0"/>
      <w:divBdr>
        <w:top w:val="none" w:sz="0" w:space="0" w:color="auto"/>
        <w:left w:val="none" w:sz="0" w:space="0" w:color="auto"/>
        <w:bottom w:val="none" w:sz="0" w:space="0" w:color="auto"/>
        <w:right w:val="none" w:sz="0" w:space="0" w:color="auto"/>
      </w:divBdr>
    </w:div>
    <w:div w:id="1774131594">
      <w:bodyDiv w:val="1"/>
      <w:marLeft w:val="0"/>
      <w:marRight w:val="0"/>
      <w:marTop w:val="0"/>
      <w:marBottom w:val="0"/>
      <w:divBdr>
        <w:top w:val="none" w:sz="0" w:space="0" w:color="auto"/>
        <w:left w:val="none" w:sz="0" w:space="0" w:color="auto"/>
        <w:bottom w:val="none" w:sz="0" w:space="0" w:color="auto"/>
        <w:right w:val="none" w:sz="0" w:space="0" w:color="auto"/>
      </w:divBdr>
    </w:div>
    <w:div w:id="1775588977">
      <w:bodyDiv w:val="1"/>
      <w:marLeft w:val="0"/>
      <w:marRight w:val="0"/>
      <w:marTop w:val="0"/>
      <w:marBottom w:val="0"/>
      <w:divBdr>
        <w:top w:val="none" w:sz="0" w:space="0" w:color="auto"/>
        <w:left w:val="none" w:sz="0" w:space="0" w:color="auto"/>
        <w:bottom w:val="none" w:sz="0" w:space="0" w:color="auto"/>
        <w:right w:val="none" w:sz="0" w:space="0" w:color="auto"/>
      </w:divBdr>
    </w:div>
    <w:div w:id="1792048334">
      <w:bodyDiv w:val="1"/>
      <w:marLeft w:val="0"/>
      <w:marRight w:val="0"/>
      <w:marTop w:val="0"/>
      <w:marBottom w:val="0"/>
      <w:divBdr>
        <w:top w:val="none" w:sz="0" w:space="0" w:color="auto"/>
        <w:left w:val="none" w:sz="0" w:space="0" w:color="auto"/>
        <w:bottom w:val="none" w:sz="0" w:space="0" w:color="auto"/>
        <w:right w:val="none" w:sz="0" w:space="0" w:color="auto"/>
      </w:divBdr>
    </w:div>
    <w:div w:id="1810707766">
      <w:bodyDiv w:val="1"/>
      <w:marLeft w:val="0"/>
      <w:marRight w:val="0"/>
      <w:marTop w:val="0"/>
      <w:marBottom w:val="0"/>
      <w:divBdr>
        <w:top w:val="none" w:sz="0" w:space="0" w:color="auto"/>
        <w:left w:val="none" w:sz="0" w:space="0" w:color="auto"/>
        <w:bottom w:val="none" w:sz="0" w:space="0" w:color="auto"/>
        <w:right w:val="none" w:sz="0" w:space="0" w:color="auto"/>
      </w:divBdr>
    </w:div>
    <w:div w:id="1820421481">
      <w:bodyDiv w:val="1"/>
      <w:marLeft w:val="0"/>
      <w:marRight w:val="0"/>
      <w:marTop w:val="0"/>
      <w:marBottom w:val="0"/>
      <w:divBdr>
        <w:top w:val="none" w:sz="0" w:space="0" w:color="auto"/>
        <w:left w:val="none" w:sz="0" w:space="0" w:color="auto"/>
        <w:bottom w:val="none" w:sz="0" w:space="0" w:color="auto"/>
        <w:right w:val="none" w:sz="0" w:space="0" w:color="auto"/>
      </w:divBdr>
    </w:div>
    <w:div w:id="1821313499">
      <w:bodyDiv w:val="1"/>
      <w:marLeft w:val="0"/>
      <w:marRight w:val="0"/>
      <w:marTop w:val="0"/>
      <w:marBottom w:val="0"/>
      <w:divBdr>
        <w:top w:val="none" w:sz="0" w:space="0" w:color="auto"/>
        <w:left w:val="none" w:sz="0" w:space="0" w:color="auto"/>
        <w:bottom w:val="none" w:sz="0" w:space="0" w:color="auto"/>
        <w:right w:val="none" w:sz="0" w:space="0" w:color="auto"/>
      </w:divBdr>
    </w:div>
    <w:div w:id="1833642781">
      <w:bodyDiv w:val="1"/>
      <w:marLeft w:val="0"/>
      <w:marRight w:val="0"/>
      <w:marTop w:val="0"/>
      <w:marBottom w:val="0"/>
      <w:divBdr>
        <w:top w:val="none" w:sz="0" w:space="0" w:color="auto"/>
        <w:left w:val="none" w:sz="0" w:space="0" w:color="auto"/>
        <w:bottom w:val="none" w:sz="0" w:space="0" w:color="auto"/>
        <w:right w:val="none" w:sz="0" w:space="0" w:color="auto"/>
      </w:divBdr>
    </w:div>
    <w:div w:id="1833910465">
      <w:bodyDiv w:val="1"/>
      <w:marLeft w:val="0"/>
      <w:marRight w:val="0"/>
      <w:marTop w:val="0"/>
      <w:marBottom w:val="0"/>
      <w:divBdr>
        <w:top w:val="none" w:sz="0" w:space="0" w:color="auto"/>
        <w:left w:val="none" w:sz="0" w:space="0" w:color="auto"/>
        <w:bottom w:val="none" w:sz="0" w:space="0" w:color="auto"/>
        <w:right w:val="none" w:sz="0" w:space="0" w:color="auto"/>
      </w:divBdr>
    </w:div>
    <w:div w:id="1837577410">
      <w:bodyDiv w:val="1"/>
      <w:marLeft w:val="0"/>
      <w:marRight w:val="0"/>
      <w:marTop w:val="0"/>
      <w:marBottom w:val="0"/>
      <w:divBdr>
        <w:top w:val="none" w:sz="0" w:space="0" w:color="auto"/>
        <w:left w:val="none" w:sz="0" w:space="0" w:color="auto"/>
        <w:bottom w:val="none" w:sz="0" w:space="0" w:color="auto"/>
        <w:right w:val="none" w:sz="0" w:space="0" w:color="auto"/>
      </w:divBdr>
    </w:div>
    <w:div w:id="1856000193">
      <w:bodyDiv w:val="1"/>
      <w:marLeft w:val="0"/>
      <w:marRight w:val="0"/>
      <w:marTop w:val="0"/>
      <w:marBottom w:val="0"/>
      <w:divBdr>
        <w:top w:val="none" w:sz="0" w:space="0" w:color="auto"/>
        <w:left w:val="none" w:sz="0" w:space="0" w:color="auto"/>
        <w:bottom w:val="none" w:sz="0" w:space="0" w:color="auto"/>
        <w:right w:val="none" w:sz="0" w:space="0" w:color="auto"/>
      </w:divBdr>
    </w:div>
    <w:div w:id="1859850835">
      <w:bodyDiv w:val="1"/>
      <w:marLeft w:val="0"/>
      <w:marRight w:val="0"/>
      <w:marTop w:val="0"/>
      <w:marBottom w:val="0"/>
      <w:divBdr>
        <w:top w:val="none" w:sz="0" w:space="0" w:color="auto"/>
        <w:left w:val="none" w:sz="0" w:space="0" w:color="auto"/>
        <w:bottom w:val="none" w:sz="0" w:space="0" w:color="auto"/>
        <w:right w:val="none" w:sz="0" w:space="0" w:color="auto"/>
      </w:divBdr>
    </w:div>
    <w:div w:id="1860587272">
      <w:bodyDiv w:val="1"/>
      <w:marLeft w:val="0"/>
      <w:marRight w:val="0"/>
      <w:marTop w:val="0"/>
      <w:marBottom w:val="0"/>
      <w:divBdr>
        <w:top w:val="none" w:sz="0" w:space="0" w:color="auto"/>
        <w:left w:val="none" w:sz="0" w:space="0" w:color="auto"/>
        <w:bottom w:val="none" w:sz="0" w:space="0" w:color="auto"/>
        <w:right w:val="none" w:sz="0" w:space="0" w:color="auto"/>
      </w:divBdr>
    </w:div>
    <w:div w:id="1868057576">
      <w:bodyDiv w:val="1"/>
      <w:marLeft w:val="0"/>
      <w:marRight w:val="0"/>
      <w:marTop w:val="0"/>
      <w:marBottom w:val="0"/>
      <w:divBdr>
        <w:top w:val="none" w:sz="0" w:space="0" w:color="auto"/>
        <w:left w:val="none" w:sz="0" w:space="0" w:color="auto"/>
        <w:bottom w:val="none" w:sz="0" w:space="0" w:color="auto"/>
        <w:right w:val="none" w:sz="0" w:space="0" w:color="auto"/>
      </w:divBdr>
    </w:div>
    <w:div w:id="1872381415">
      <w:bodyDiv w:val="1"/>
      <w:marLeft w:val="0"/>
      <w:marRight w:val="0"/>
      <w:marTop w:val="0"/>
      <w:marBottom w:val="0"/>
      <w:divBdr>
        <w:top w:val="none" w:sz="0" w:space="0" w:color="auto"/>
        <w:left w:val="none" w:sz="0" w:space="0" w:color="auto"/>
        <w:bottom w:val="none" w:sz="0" w:space="0" w:color="auto"/>
        <w:right w:val="none" w:sz="0" w:space="0" w:color="auto"/>
      </w:divBdr>
    </w:div>
    <w:div w:id="1879775141">
      <w:bodyDiv w:val="1"/>
      <w:marLeft w:val="0"/>
      <w:marRight w:val="0"/>
      <w:marTop w:val="0"/>
      <w:marBottom w:val="0"/>
      <w:divBdr>
        <w:top w:val="none" w:sz="0" w:space="0" w:color="auto"/>
        <w:left w:val="none" w:sz="0" w:space="0" w:color="auto"/>
        <w:bottom w:val="none" w:sz="0" w:space="0" w:color="auto"/>
        <w:right w:val="none" w:sz="0" w:space="0" w:color="auto"/>
      </w:divBdr>
    </w:div>
    <w:div w:id="1882664037">
      <w:bodyDiv w:val="1"/>
      <w:marLeft w:val="0"/>
      <w:marRight w:val="0"/>
      <w:marTop w:val="0"/>
      <w:marBottom w:val="0"/>
      <w:divBdr>
        <w:top w:val="none" w:sz="0" w:space="0" w:color="auto"/>
        <w:left w:val="none" w:sz="0" w:space="0" w:color="auto"/>
        <w:bottom w:val="none" w:sz="0" w:space="0" w:color="auto"/>
        <w:right w:val="none" w:sz="0" w:space="0" w:color="auto"/>
      </w:divBdr>
    </w:div>
    <w:div w:id="1884513100">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01018422">
      <w:bodyDiv w:val="1"/>
      <w:marLeft w:val="0"/>
      <w:marRight w:val="0"/>
      <w:marTop w:val="0"/>
      <w:marBottom w:val="0"/>
      <w:divBdr>
        <w:top w:val="none" w:sz="0" w:space="0" w:color="auto"/>
        <w:left w:val="none" w:sz="0" w:space="0" w:color="auto"/>
        <w:bottom w:val="none" w:sz="0" w:space="0" w:color="auto"/>
        <w:right w:val="none" w:sz="0" w:space="0" w:color="auto"/>
      </w:divBdr>
    </w:div>
    <w:div w:id="1912806699">
      <w:bodyDiv w:val="1"/>
      <w:marLeft w:val="0"/>
      <w:marRight w:val="0"/>
      <w:marTop w:val="0"/>
      <w:marBottom w:val="0"/>
      <w:divBdr>
        <w:top w:val="none" w:sz="0" w:space="0" w:color="auto"/>
        <w:left w:val="none" w:sz="0" w:space="0" w:color="auto"/>
        <w:bottom w:val="none" w:sz="0" w:space="0" w:color="auto"/>
        <w:right w:val="none" w:sz="0" w:space="0" w:color="auto"/>
      </w:divBdr>
    </w:div>
    <w:div w:id="1914657916">
      <w:bodyDiv w:val="1"/>
      <w:marLeft w:val="0"/>
      <w:marRight w:val="0"/>
      <w:marTop w:val="0"/>
      <w:marBottom w:val="0"/>
      <w:divBdr>
        <w:top w:val="none" w:sz="0" w:space="0" w:color="auto"/>
        <w:left w:val="none" w:sz="0" w:space="0" w:color="auto"/>
        <w:bottom w:val="none" w:sz="0" w:space="0" w:color="auto"/>
        <w:right w:val="none" w:sz="0" w:space="0" w:color="auto"/>
      </w:divBdr>
    </w:div>
    <w:div w:id="1946382843">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82225320">
      <w:bodyDiv w:val="1"/>
      <w:marLeft w:val="0"/>
      <w:marRight w:val="0"/>
      <w:marTop w:val="0"/>
      <w:marBottom w:val="0"/>
      <w:divBdr>
        <w:top w:val="none" w:sz="0" w:space="0" w:color="auto"/>
        <w:left w:val="none" w:sz="0" w:space="0" w:color="auto"/>
        <w:bottom w:val="none" w:sz="0" w:space="0" w:color="auto"/>
        <w:right w:val="none" w:sz="0" w:space="0" w:color="auto"/>
      </w:divBdr>
    </w:div>
    <w:div w:id="2027053883">
      <w:bodyDiv w:val="1"/>
      <w:marLeft w:val="0"/>
      <w:marRight w:val="0"/>
      <w:marTop w:val="0"/>
      <w:marBottom w:val="0"/>
      <w:divBdr>
        <w:top w:val="none" w:sz="0" w:space="0" w:color="auto"/>
        <w:left w:val="none" w:sz="0" w:space="0" w:color="auto"/>
        <w:bottom w:val="none" w:sz="0" w:space="0" w:color="auto"/>
        <w:right w:val="none" w:sz="0" w:space="0" w:color="auto"/>
      </w:divBdr>
    </w:div>
    <w:div w:id="2041317759">
      <w:bodyDiv w:val="1"/>
      <w:marLeft w:val="0"/>
      <w:marRight w:val="0"/>
      <w:marTop w:val="0"/>
      <w:marBottom w:val="0"/>
      <w:divBdr>
        <w:top w:val="none" w:sz="0" w:space="0" w:color="auto"/>
        <w:left w:val="none" w:sz="0" w:space="0" w:color="auto"/>
        <w:bottom w:val="none" w:sz="0" w:space="0" w:color="auto"/>
        <w:right w:val="none" w:sz="0" w:space="0" w:color="auto"/>
      </w:divBdr>
    </w:div>
    <w:div w:id="2045133499">
      <w:bodyDiv w:val="1"/>
      <w:marLeft w:val="0"/>
      <w:marRight w:val="0"/>
      <w:marTop w:val="0"/>
      <w:marBottom w:val="0"/>
      <w:divBdr>
        <w:top w:val="none" w:sz="0" w:space="0" w:color="auto"/>
        <w:left w:val="none" w:sz="0" w:space="0" w:color="auto"/>
        <w:bottom w:val="none" w:sz="0" w:space="0" w:color="auto"/>
        <w:right w:val="none" w:sz="0" w:space="0" w:color="auto"/>
      </w:divBdr>
    </w:div>
    <w:div w:id="2086173972">
      <w:bodyDiv w:val="1"/>
      <w:marLeft w:val="0"/>
      <w:marRight w:val="0"/>
      <w:marTop w:val="0"/>
      <w:marBottom w:val="0"/>
      <w:divBdr>
        <w:top w:val="none" w:sz="0" w:space="0" w:color="auto"/>
        <w:left w:val="none" w:sz="0" w:space="0" w:color="auto"/>
        <w:bottom w:val="none" w:sz="0" w:space="0" w:color="auto"/>
        <w:right w:val="none" w:sz="0" w:space="0" w:color="auto"/>
      </w:divBdr>
    </w:div>
    <w:div w:id="2086490328">
      <w:bodyDiv w:val="1"/>
      <w:marLeft w:val="0"/>
      <w:marRight w:val="0"/>
      <w:marTop w:val="0"/>
      <w:marBottom w:val="0"/>
      <w:divBdr>
        <w:top w:val="none" w:sz="0" w:space="0" w:color="auto"/>
        <w:left w:val="none" w:sz="0" w:space="0" w:color="auto"/>
        <w:bottom w:val="none" w:sz="0" w:space="0" w:color="auto"/>
        <w:right w:val="none" w:sz="0" w:space="0" w:color="auto"/>
      </w:divBdr>
    </w:div>
    <w:div w:id="2099716746">
      <w:bodyDiv w:val="1"/>
      <w:marLeft w:val="0"/>
      <w:marRight w:val="0"/>
      <w:marTop w:val="0"/>
      <w:marBottom w:val="0"/>
      <w:divBdr>
        <w:top w:val="none" w:sz="0" w:space="0" w:color="auto"/>
        <w:left w:val="none" w:sz="0" w:space="0" w:color="auto"/>
        <w:bottom w:val="none" w:sz="0" w:space="0" w:color="auto"/>
        <w:right w:val="none" w:sz="0" w:space="0" w:color="auto"/>
      </w:divBdr>
    </w:div>
    <w:div w:id="2111122857">
      <w:bodyDiv w:val="1"/>
      <w:marLeft w:val="0"/>
      <w:marRight w:val="0"/>
      <w:marTop w:val="0"/>
      <w:marBottom w:val="0"/>
      <w:divBdr>
        <w:top w:val="none" w:sz="0" w:space="0" w:color="auto"/>
        <w:left w:val="none" w:sz="0" w:space="0" w:color="auto"/>
        <w:bottom w:val="none" w:sz="0" w:space="0" w:color="auto"/>
        <w:right w:val="none" w:sz="0" w:space="0" w:color="auto"/>
      </w:divBdr>
    </w:div>
    <w:div w:id="2119399398">
      <w:bodyDiv w:val="1"/>
      <w:marLeft w:val="0"/>
      <w:marRight w:val="0"/>
      <w:marTop w:val="0"/>
      <w:marBottom w:val="0"/>
      <w:divBdr>
        <w:top w:val="none" w:sz="0" w:space="0" w:color="auto"/>
        <w:left w:val="none" w:sz="0" w:space="0" w:color="auto"/>
        <w:bottom w:val="none" w:sz="0" w:space="0" w:color="auto"/>
        <w:right w:val="none" w:sz="0" w:space="0" w:color="auto"/>
      </w:divBdr>
    </w:div>
    <w:div w:id="2121291057">
      <w:bodyDiv w:val="1"/>
      <w:marLeft w:val="0"/>
      <w:marRight w:val="0"/>
      <w:marTop w:val="0"/>
      <w:marBottom w:val="0"/>
      <w:divBdr>
        <w:top w:val="none" w:sz="0" w:space="0" w:color="auto"/>
        <w:left w:val="none" w:sz="0" w:space="0" w:color="auto"/>
        <w:bottom w:val="none" w:sz="0" w:space="0" w:color="auto"/>
        <w:right w:val="none" w:sz="0" w:space="0" w:color="auto"/>
      </w:divBdr>
    </w:div>
    <w:div w:id="2125030871">
      <w:bodyDiv w:val="1"/>
      <w:marLeft w:val="0"/>
      <w:marRight w:val="0"/>
      <w:marTop w:val="0"/>
      <w:marBottom w:val="0"/>
      <w:divBdr>
        <w:top w:val="none" w:sz="0" w:space="0" w:color="auto"/>
        <w:left w:val="none" w:sz="0" w:space="0" w:color="auto"/>
        <w:bottom w:val="none" w:sz="0" w:space="0" w:color="auto"/>
        <w:right w:val="none" w:sz="0" w:space="0" w:color="auto"/>
      </w:divBdr>
    </w:div>
    <w:div w:id="2136176139">
      <w:bodyDiv w:val="1"/>
      <w:marLeft w:val="0"/>
      <w:marRight w:val="0"/>
      <w:marTop w:val="0"/>
      <w:marBottom w:val="0"/>
      <w:divBdr>
        <w:top w:val="none" w:sz="0" w:space="0" w:color="auto"/>
        <w:left w:val="none" w:sz="0" w:space="0" w:color="auto"/>
        <w:bottom w:val="none" w:sz="0" w:space="0" w:color="auto"/>
        <w:right w:val="none" w:sz="0" w:space="0" w:color="auto"/>
      </w:divBdr>
    </w:div>
    <w:div w:id="2143233768">
      <w:bodyDiv w:val="1"/>
      <w:marLeft w:val="0"/>
      <w:marRight w:val="0"/>
      <w:marTop w:val="0"/>
      <w:marBottom w:val="0"/>
      <w:divBdr>
        <w:top w:val="none" w:sz="0" w:space="0" w:color="auto"/>
        <w:left w:val="none" w:sz="0" w:space="0" w:color="auto"/>
        <w:bottom w:val="none" w:sz="0" w:space="0" w:color="auto"/>
        <w:right w:val="none" w:sz="0" w:space="0" w:color="auto"/>
      </w:divBdr>
    </w:div>
    <w:div w:id="214469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CAAA-EAE5-4FFF-92DA-012739E3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7934</Words>
  <Characters>45229</Characters>
  <Application>Microsoft Office Word</Application>
  <DocSecurity>0</DocSecurity>
  <Lines>376</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dc:creator>
  <cp:lastModifiedBy>Korisnik</cp:lastModifiedBy>
  <cp:revision>80</cp:revision>
  <cp:lastPrinted>2015-03-16T07:43:00Z</cp:lastPrinted>
  <dcterms:created xsi:type="dcterms:W3CDTF">2015-03-16T10:56:00Z</dcterms:created>
  <dcterms:modified xsi:type="dcterms:W3CDTF">2015-05-04T05:45:00Z</dcterms:modified>
</cp:coreProperties>
</file>