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8CD7" w14:textId="7A9E6478" w:rsidR="0047293F" w:rsidRDefault="007755F9" w:rsidP="007755F9">
      <w:pPr>
        <w:jc w:val="center"/>
      </w:pPr>
      <w:r>
        <w:rPr>
          <w:noProof/>
        </w:rPr>
        <w:drawing>
          <wp:inline distT="0" distB="0" distL="0" distR="0" wp14:anchorId="694D5A89" wp14:editId="7773C9DC">
            <wp:extent cx="2181860" cy="557618"/>
            <wp:effectExtent l="0" t="0" r="8890" b="0"/>
            <wp:docPr id="13" name="Picture 13" descr="C:\Users\User\Pictures\logoPrivred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Privredni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142" cy="60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3FCD2" w14:textId="77777777" w:rsidR="007755F9" w:rsidRPr="005C6EB6" w:rsidRDefault="007755F9" w:rsidP="007755F9">
      <w:pPr>
        <w:jc w:val="center"/>
        <w:rPr>
          <w:rFonts w:cs="Arial"/>
          <w:b/>
          <w:bCs/>
          <w:sz w:val="24"/>
          <w:szCs w:val="24"/>
        </w:rPr>
      </w:pPr>
      <w:r w:rsidRPr="005C6EB6">
        <w:rPr>
          <w:rFonts w:cs="Arial"/>
          <w:b/>
          <w:bCs/>
          <w:sz w:val="24"/>
          <w:szCs w:val="24"/>
        </w:rPr>
        <w:t xml:space="preserve">Stefana </w:t>
      </w:r>
      <w:proofErr w:type="spellStart"/>
      <w:r w:rsidRPr="005C6EB6">
        <w:rPr>
          <w:rFonts w:cs="Arial"/>
          <w:b/>
          <w:bCs/>
          <w:sz w:val="24"/>
          <w:szCs w:val="24"/>
        </w:rPr>
        <w:t>Dečanskog</w:t>
      </w:r>
      <w:proofErr w:type="spellEnd"/>
      <w:r w:rsidRPr="005C6EB6">
        <w:rPr>
          <w:rFonts w:cs="Arial"/>
          <w:b/>
          <w:bCs/>
          <w:sz w:val="24"/>
          <w:szCs w:val="24"/>
        </w:rPr>
        <w:t xml:space="preserve"> 125, 76300 Bijeljina</w:t>
      </w:r>
    </w:p>
    <w:p w14:paraId="29813F50" w14:textId="33E0987E" w:rsidR="007755F9" w:rsidRDefault="007755F9" w:rsidP="007755F9">
      <w:pPr>
        <w:jc w:val="center"/>
      </w:pPr>
    </w:p>
    <w:p w14:paraId="4A46F8B5" w14:textId="1FC016EA" w:rsidR="007755F9" w:rsidRDefault="007755F9" w:rsidP="007755F9">
      <w:pPr>
        <w:jc w:val="center"/>
      </w:pPr>
    </w:p>
    <w:p w14:paraId="273BDCB6" w14:textId="2F787C6B" w:rsidR="007755F9" w:rsidRDefault="007755F9" w:rsidP="007755F9">
      <w:pPr>
        <w:jc w:val="center"/>
      </w:pPr>
    </w:p>
    <w:p w14:paraId="3C49D0AA" w14:textId="76D6E1A5" w:rsidR="007755F9" w:rsidRDefault="007755F9" w:rsidP="007755F9">
      <w:pPr>
        <w:jc w:val="center"/>
      </w:pPr>
    </w:p>
    <w:p w14:paraId="2C9B799E" w14:textId="639573D8" w:rsidR="007755F9" w:rsidRDefault="007755F9" w:rsidP="007755F9">
      <w:pPr>
        <w:jc w:val="center"/>
      </w:pPr>
    </w:p>
    <w:p w14:paraId="778A1050" w14:textId="77777777" w:rsidR="007755F9" w:rsidRDefault="007755F9" w:rsidP="007755F9">
      <w:pPr>
        <w:jc w:val="center"/>
      </w:pPr>
    </w:p>
    <w:p w14:paraId="68D28EFD" w14:textId="77777777" w:rsidR="007755F9" w:rsidRPr="00222580" w:rsidRDefault="007755F9" w:rsidP="007755F9">
      <w:pPr>
        <w:jc w:val="center"/>
        <w:rPr>
          <w:rFonts w:cstheme="minorHAnsi"/>
          <w:b/>
          <w:sz w:val="52"/>
          <w:szCs w:val="52"/>
        </w:rPr>
      </w:pPr>
      <w:r w:rsidRPr="00222580">
        <w:rPr>
          <w:rFonts w:cstheme="minorHAnsi"/>
          <w:b/>
          <w:sz w:val="52"/>
          <w:szCs w:val="52"/>
        </w:rPr>
        <w:t>GODIŠNJI IZVJEŠTAJ O POSLOVANJU</w:t>
      </w:r>
    </w:p>
    <w:p w14:paraId="70C46D14" w14:textId="77777777" w:rsidR="007755F9" w:rsidRPr="005C6EB6" w:rsidRDefault="007755F9" w:rsidP="007755F9">
      <w:pPr>
        <w:jc w:val="center"/>
        <w:rPr>
          <w:rFonts w:cstheme="minorHAnsi"/>
          <w:sz w:val="24"/>
          <w:szCs w:val="24"/>
        </w:rPr>
      </w:pPr>
    </w:p>
    <w:p w14:paraId="3A998B0E" w14:textId="7CA53587" w:rsidR="007755F9" w:rsidRPr="005C6EB6" w:rsidRDefault="007755F9" w:rsidP="007755F9">
      <w:pPr>
        <w:jc w:val="center"/>
        <w:rPr>
          <w:rFonts w:cstheme="minorHAnsi"/>
          <w:b/>
          <w:sz w:val="40"/>
          <w:szCs w:val="40"/>
          <w:lang w:val="es-AR"/>
        </w:rPr>
      </w:pPr>
      <w:proofErr w:type="spellStart"/>
      <w:r w:rsidRPr="005C6EB6">
        <w:rPr>
          <w:rFonts w:cstheme="minorHAnsi"/>
          <w:b/>
          <w:sz w:val="40"/>
          <w:szCs w:val="40"/>
          <w:lang w:val="es-AR"/>
        </w:rPr>
        <w:t>za</w:t>
      </w:r>
      <w:proofErr w:type="spellEnd"/>
      <w:r w:rsidRPr="005C6EB6">
        <w:rPr>
          <w:rFonts w:cstheme="minorHAnsi"/>
          <w:b/>
          <w:sz w:val="40"/>
          <w:szCs w:val="40"/>
          <w:lang w:val="es-AR"/>
        </w:rPr>
        <w:t xml:space="preserve"> 202</w:t>
      </w:r>
      <w:r w:rsidR="00B76F66">
        <w:rPr>
          <w:rFonts w:cstheme="minorHAnsi"/>
          <w:b/>
          <w:sz w:val="40"/>
          <w:szCs w:val="40"/>
          <w:lang w:val="es-AR"/>
        </w:rPr>
        <w:t>4</w:t>
      </w:r>
      <w:r w:rsidRPr="005C6EB6">
        <w:rPr>
          <w:rFonts w:cstheme="minorHAnsi"/>
          <w:b/>
          <w:sz w:val="40"/>
          <w:szCs w:val="40"/>
          <w:lang w:val="es-AR"/>
        </w:rPr>
        <w:t xml:space="preserve">. </w:t>
      </w:r>
      <w:proofErr w:type="spellStart"/>
      <w:r w:rsidRPr="005C6EB6">
        <w:rPr>
          <w:rFonts w:cstheme="minorHAnsi"/>
          <w:b/>
          <w:sz w:val="40"/>
          <w:szCs w:val="40"/>
          <w:lang w:val="es-AR"/>
        </w:rPr>
        <w:t>godinu</w:t>
      </w:r>
      <w:proofErr w:type="spellEnd"/>
    </w:p>
    <w:p w14:paraId="0D1E91F8" w14:textId="77777777" w:rsidR="007755F9" w:rsidRDefault="007755F9" w:rsidP="007755F9">
      <w:pPr>
        <w:jc w:val="center"/>
      </w:pPr>
    </w:p>
    <w:p w14:paraId="24F9AFF9" w14:textId="06A0CE05" w:rsidR="007755F9" w:rsidRDefault="007755F9" w:rsidP="007755F9">
      <w:pPr>
        <w:jc w:val="center"/>
      </w:pPr>
    </w:p>
    <w:p w14:paraId="620C3A28" w14:textId="0A1FEE0C" w:rsidR="007755F9" w:rsidRDefault="007755F9" w:rsidP="007755F9">
      <w:pPr>
        <w:jc w:val="center"/>
      </w:pPr>
    </w:p>
    <w:p w14:paraId="05FBE9DA" w14:textId="2C46F91C" w:rsidR="007755F9" w:rsidRDefault="007755F9" w:rsidP="007755F9">
      <w:pPr>
        <w:jc w:val="center"/>
      </w:pPr>
    </w:p>
    <w:p w14:paraId="39CF6164" w14:textId="63D81856" w:rsidR="007755F9" w:rsidRDefault="007755F9" w:rsidP="007755F9">
      <w:pPr>
        <w:jc w:val="center"/>
      </w:pPr>
    </w:p>
    <w:p w14:paraId="742A815E" w14:textId="1DB1E318" w:rsidR="007755F9" w:rsidRDefault="007755F9" w:rsidP="007755F9">
      <w:pPr>
        <w:jc w:val="center"/>
      </w:pPr>
    </w:p>
    <w:p w14:paraId="4C61D195" w14:textId="5FB20E01" w:rsidR="007755F9" w:rsidRDefault="007755F9" w:rsidP="007755F9">
      <w:pPr>
        <w:jc w:val="center"/>
      </w:pPr>
    </w:p>
    <w:p w14:paraId="4CD02423" w14:textId="68074281" w:rsidR="007755F9" w:rsidRDefault="007755F9" w:rsidP="007755F9">
      <w:pPr>
        <w:jc w:val="center"/>
      </w:pPr>
    </w:p>
    <w:p w14:paraId="798F4F5D" w14:textId="09E49055" w:rsidR="007755F9" w:rsidRDefault="007755F9" w:rsidP="007755F9">
      <w:pPr>
        <w:jc w:val="center"/>
      </w:pPr>
    </w:p>
    <w:p w14:paraId="2081D5F0" w14:textId="2FF90F7C" w:rsidR="007755F9" w:rsidRDefault="007755F9" w:rsidP="007755F9">
      <w:pPr>
        <w:jc w:val="center"/>
      </w:pPr>
    </w:p>
    <w:p w14:paraId="00D3E3D7" w14:textId="5BD84FC6" w:rsidR="007755F9" w:rsidRDefault="007755F9" w:rsidP="007755F9">
      <w:pPr>
        <w:jc w:val="center"/>
      </w:pPr>
    </w:p>
    <w:p w14:paraId="14794044" w14:textId="0AA32DC6" w:rsidR="007755F9" w:rsidRDefault="007755F9" w:rsidP="007755F9">
      <w:pPr>
        <w:jc w:val="center"/>
      </w:pPr>
    </w:p>
    <w:p w14:paraId="311FB9D5" w14:textId="3373374D" w:rsidR="007755F9" w:rsidRDefault="007755F9" w:rsidP="007755F9">
      <w:pPr>
        <w:jc w:val="center"/>
        <w:rPr>
          <w:color w:val="4472C4" w:themeColor="accent1"/>
        </w:rPr>
      </w:pPr>
    </w:p>
    <w:p w14:paraId="3E5E565E" w14:textId="442437A7" w:rsidR="00757A9F" w:rsidRDefault="00757A9F" w:rsidP="007755F9">
      <w:pPr>
        <w:jc w:val="center"/>
        <w:rPr>
          <w:color w:val="4472C4" w:themeColor="accent1"/>
        </w:rPr>
      </w:pPr>
    </w:p>
    <w:p w14:paraId="3C77E3E6" w14:textId="77777777" w:rsidR="00757A9F" w:rsidRPr="00CB580D" w:rsidRDefault="00757A9F" w:rsidP="007755F9">
      <w:pPr>
        <w:jc w:val="center"/>
        <w:rPr>
          <w:color w:val="4472C4" w:themeColor="accent1"/>
        </w:rPr>
      </w:pPr>
    </w:p>
    <w:p w14:paraId="0E52CD6A" w14:textId="38DCF1B0" w:rsidR="007755F9" w:rsidRPr="005C6EB6" w:rsidRDefault="007755F9" w:rsidP="007755F9">
      <w:pPr>
        <w:jc w:val="center"/>
        <w:rPr>
          <w:rFonts w:cs="Arial"/>
          <w:b/>
          <w:bCs/>
          <w:sz w:val="24"/>
          <w:szCs w:val="24"/>
        </w:rPr>
      </w:pPr>
      <w:r w:rsidRPr="005C6EB6">
        <w:rPr>
          <w:rFonts w:cs="Arial"/>
          <w:b/>
          <w:bCs/>
          <w:sz w:val="24"/>
          <w:szCs w:val="24"/>
        </w:rPr>
        <w:t xml:space="preserve">Bijeljina, </w:t>
      </w:r>
      <w:r w:rsidR="00D00891">
        <w:rPr>
          <w:rFonts w:cs="Arial"/>
          <w:b/>
          <w:bCs/>
          <w:sz w:val="24"/>
          <w:szCs w:val="24"/>
          <w:lang w:val="sr-Latn-RS"/>
        </w:rPr>
        <w:t>februar</w:t>
      </w:r>
      <w:r w:rsidRPr="005C6EB6">
        <w:rPr>
          <w:rFonts w:cs="Arial"/>
          <w:b/>
          <w:bCs/>
          <w:sz w:val="24"/>
          <w:szCs w:val="24"/>
        </w:rPr>
        <w:t xml:space="preserve"> 202</w:t>
      </w:r>
      <w:r w:rsidR="00DD476A">
        <w:rPr>
          <w:rFonts w:cs="Arial"/>
          <w:b/>
          <w:bCs/>
          <w:sz w:val="24"/>
          <w:szCs w:val="24"/>
        </w:rPr>
        <w:t>5</w:t>
      </w:r>
      <w:r w:rsidRPr="005C6EB6">
        <w:rPr>
          <w:rFonts w:cs="Arial"/>
          <w:b/>
          <w:bCs/>
          <w:sz w:val="24"/>
          <w:szCs w:val="24"/>
        </w:rPr>
        <w:t xml:space="preserve">. </w:t>
      </w:r>
      <w:proofErr w:type="spellStart"/>
      <w:r w:rsidR="00CB580D" w:rsidRPr="005C6EB6">
        <w:rPr>
          <w:rFonts w:cs="Arial"/>
          <w:b/>
          <w:bCs/>
          <w:sz w:val="24"/>
          <w:szCs w:val="24"/>
        </w:rPr>
        <w:t>g</w:t>
      </w:r>
      <w:r w:rsidRPr="005C6EB6">
        <w:rPr>
          <w:rFonts w:cs="Arial"/>
          <w:b/>
          <w:bCs/>
          <w:sz w:val="24"/>
          <w:szCs w:val="24"/>
        </w:rPr>
        <w:t>odine</w:t>
      </w:r>
      <w:proofErr w:type="spellEnd"/>
    </w:p>
    <w:p w14:paraId="0A979E4E" w14:textId="77777777" w:rsidR="00CD5CF7" w:rsidRDefault="00CD5CF7" w:rsidP="007755F9">
      <w:pPr>
        <w:jc w:val="center"/>
        <w:rPr>
          <w:rFonts w:cs="Arial"/>
          <w:b/>
          <w:bCs/>
          <w:color w:val="4472C4"/>
          <w:sz w:val="24"/>
          <w:szCs w:val="24"/>
        </w:rPr>
      </w:pPr>
    </w:p>
    <w:p w14:paraId="5A5B3397" w14:textId="77777777" w:rsidR="00DD476A" w:rsidRDefault="00DD476A" w:rsidP="007755F9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025EC39" w14:textId="77777777" w:rsidR="00DD476A" w:rsidRDefault="007755F9">
      <w:pPr>
        <w:pStyle w:val="TOCHeading"/>
        <w:rPr>
          <w:rFonts w:ascii="Verdana" w:hAnsi="Verdana" w:cs="Arial"/>
          <w:b/>
          <w:bCs/>
          <w:sz w:val="20"/>
          <w:szCs w:val="20"/>
        </w:rPr>
      </w:pPr>
      <w:r w:rsidRPr="00425127">
        <w:rPr>
          <w:rFonts w:ascii="Verdana" w:hAnsi="Verdana" w:cs="Arial"/>
          <w:b/>
          <w:bCs/>
          <w:sz w:val="20"/>
          <w:szCs w:val="20"/>
        </w:rPr>
        <w:t>SADRŽAJ</w:t>
      </w:r>
    </w:p>
    <w:sdt>
      <w:sdtPr>
        <w:rPr>
          <w:rFonts w:ascii="Verdana" w:hAnsi="Verdana"/>
          <w:sz w:val="20"/>
          <w:szCs w:val="20"/>
        </w:rPr>
        <w:id w:val="-13518782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70FC5E" w14:textId="59E42B8F" w:rsidR="00CB580D" w:rsidRPr="00425127" w:rsidRDefault="007755F9" w:rsidP="00DD476A">
          <w:pPr>
            <w:jc w:val="center"/>
            <w:rPr>
              <w:rFonts w:eastAsiaTheme="minorEastAsia"/>
              <w:b/>
              <w:bCs/>
              <w:lang w:val="sr-Latn-BA" w:eastAsia="sr-Latn-BA"/>
            </w:rPr>
          </w:pPr>
          <w:r w:rsidRPr="00425127">
            <w:fldChar w:fldCharType="begin"/>
          </w:r>
          <w:r w:rsidRPr="00425127">
            <w:instrText xml:space="preserve"> TOC \o "1-3" \h \z \u </w:instrText>
          </w:r>
          <w:r w:rsidRPr="00425127">
            <w:fldChar w:fldCharType="separate"/>
          </w:r>
        </w:p>
        <w:p w14:paraId="278E807C" w14:textId="0751DB64" w:rsidR="00CB580D" w:rsidRPr="007F7B94" w:rsidRDefault="007F7B94" w:rsidP="007F7B94">
          <w:pPr>
            <w:pStyle w:val="TOC1"/>
            <w:rPr>
              <w:rFonts w:eastAsiaTheme="minorEastAsia"/>
              <w:lang w:val="sr-Latn-BA" w:eastAsia="sr-Latn-BA"/>
            </w:rPr>
          </w:pPr>
          <w:hyperlink w:anchor="_Toc72918229" w:history="1">
            <w:r w:rsidRPr="007F7B94">
              <w:rPr>
                <w:rStyle w:val="Hyperlink"/>
                <w:b/>
                <w:bCs/>
                <w:color w:val="auto"/>
              </w:rPr>
              <w:t>1</w:t>
            </w:r>
            <w:r w:rsidR="00CB580D" w:rsidRPr="007F7B94">
              <w:rPr>
                <w:rStyle w:val="Hyperlink"/>
                <w:b/>
                <w:bCs/>
                <w:color w:val="auto"/>
              </w:rPr>
              <w:t>.</w:t>
            </w:r>
            <w:r w:rsidR="00CB580D" w:rsidRPr="007F7B94">
              <w:rPr>
                <w:rFonts w:eastAsiaTheme="minorEastAsia"/>
                <w:lang w:val="sr-Latn-BA" w:eastAsia="sr-Latn-BA"/>
              </w:rPr>
              <w:tab/>
            </w:r>
            <w:r w:rsidR="00CB580D" w:rsidRPr="007F7B94">
              <w:rPr>
                <w:rStyle w:val="Hyperlink"/>
                <w:b/>
                <w:bCs/>
                <w:color w:val="auto"/>
              </w:rPr>
              <w:t>UVOD</w:t>
            </w:r>
            <w:r w:rsidR="00CB580D" w:rsidRPr="007F7B94">
              <w:rPr>
                <w:webHidden/>
              </w:rPr>
              <w:tab/>
            </w:r>
            <w:r w:rsidR="00CB580D" w:rsidRPr="007F7B94">
              <w:rPr>
                <w:webHidden/>
              </w:rPr>
              <w:fldChar w:fldCharType="begin"/>
            </w:r>
            <w:r w:rsidR="00CB580D" w:rsidRPr="007F7B94">
              <w:rPr>
                <w:webHidden/>
              </w:rPr>
              <w:instrText xml:space="preserve"> PAGEREF _Toc72918229 \h </w:instrText>
            </w:r>
            <w:r w:rsidR="00CB580D" w:rsidRPr="007F7B94">
              <w:rPr>
                <w:webHidden/>
              </w:rPr>
            </w:r>
            <w:r w:rsidR="00CB580D" w:rsidRPr="007F7B94">
              <w:rPr>
                <w:webHidden/>
              </w:rPr>
              <w:fldChar w:fldCharType="separate"/>
            </w:r>
            <w:r w:rsidR="00F508F1">
              <w:rPr>
                <w:webHidden/>
              </w:rPr>
              <w:t>3</w:t>
            </w:r>
            <w:r w:rsidR="00CB580D" w:rsidRPr="007F7B94">
              <w:rPr>
                <w:webHidden/>
              </w:rPr>
              <w:fldChar w:fldCharType="end"/>
            </w:r>
          </w:hyperlink>
        </w:p>
        <w:p w14:paraId="20E3E2D3" w14:textId="1E421A25" w:rsidR="00CB580D" w:rsidRPr="00425127" w:rsidRDefault="007F7B94" w:rsidP="007F7B94">
          <w:pPr>
            <w:pStyle w:val="TOC1"/>
            <w:rPr>
              <w:rFonts w:eastAsiaTheme="minorEastAsia"/>
              <w:lang w:val="sr-Latn-BA" w:eastAsia="sr-Latn-BA"/>
            </w:rPr>
          </w:pPr>
          <w:hyperlink w:anchor="_Toc72918230" w:history="1">
            <w:r>
              <w:rPr>
                <w:rStyle w:val="Hyperlink"/>
                <w:b/>
                <w:bCs/>
                <w:color w:val="auto"/>
              </w:rPr>
              <w:t>2</w:t>
            </w:r>
            <w:r w:rsidR="00CB580D" w:rsidRPr="00425127">
              <w:rPr>
                <w:rStyle w:val="Hyperlink"/>
                <w:b/>
                <w:bCs/>
                <w:color w:val="auto"/>
              </w:rPr>
              <w:t>.</w:t>
            </w:r>
            <w:r w:rsidR="00CB580D" w:rsidRPr="00425127">
              <w:rPr>
                <w:rFonts w:eastAsiaTheme="minorEastAsia"/>
                <w:lang w:val="sr-Latn-BA" w:eastAsia="sr-Latn-BA"/>
              </w:rPr>
              <w:tab/>
            </w:r>
            <w:r w:rsidR="00CB580D" w:rsidRPr="00425127">
              <w:rPr>
                <w:rStyle w:val="Hyperlink"/>
                <w:b/>
                <w:bCs/>
                <w:color w:val="auto"/>
              </w:rPr>
              <w:t>OPŠTE INFORMACIJE O DRUŠTVU</w:t>
            </w:r>
            <w:r w:rsidR="00CB580D" w:rsidRPr="00425127">
              <w:rPr>
                <w:webHidden/>
              </w:rPr>
              <w:tab/>
            </w:r>
            <w:r w:rsidR="00CB580D" w:rsidRPr="00425127">
              <w:rPr>
                <w:webHidden/>
              </w:rPr>
              <w:fldChar w:fldCharType="begin"/>
            </w:r>
            <w:r w:rsidR="00CB580D" w:rsidRPr="00425127">
              <w:rPr>
                <w:webHidden/>
              </w:rPr>
              <w:instrText xml:space="preserve"> PAGEREF _Toc72918230 \h </w:instrText>
            </w:r>
            <w:r w:rsidR="00CB580D" w:rsidRPr="00425127">
              <w:rPr>
                <w:webHidden/>
              </w:rPr>
            </w:r>
            <w:r w:rsidR="00CB580D" w:rsidRPr="00425127">
              <w:rPr>
                <w:webHidden/>
              </w:rPr>
              <w:fldChar w:fldCharType="separate"/>
            </w:r>
            <w:r w:rsidR="00F508F1">
              <w:rPr>
                <w:webHidden/>
              </w:rPr>
              <w:t>3</w:t>
            </w:r>
            <w:r w:rsidR="00CB580D" w:rsidRPr="00425127">
              <w:rPr>
                <w:webHidden/>
              </w:rPr>
              <w:fldChar w:fldCharType="end"/>
            </w:r>
          </w:hyperlink>
        </w:p>
        <w:p w14:paraId="618180F5" w14:textId="1CAF66F1" w:rsidR="00CB580D" w:rsidRPr="00425127" w:rsidRDefault="00CB580D" w:rsidP="007F7B94">
          <w:pPr>
            <w:pStyle w:val="TOC1"/>
            <w:rPr>
              <w:rFonts w:eastAsiaTheme="minorEastAsia"/>
              <w:lang w:val="sr-Latn-BA" w:eastAsia="sr-Latn-BA"/>
            </w:rPr>
          </w:pPr>
          <w:hyperlink w:anchor="_Toc72918231" w:history="1">
            <w:r w:rsidRPr="00425127">
              <w:rPr>
                <w:rStyle w:val="Hyperlink"/>
                <w:color w:val="auto"/>
              </w:rPr>
              <w:t>a.</w:t>
            </w:r>
            <w:r w:rsidRPr="00425127">
              <w:rPr>
                <w:rFonts w:eastAsiaTheme="minorEastAsia"/>
                <w:lang w:val="sr-Latn-BA" w:eastAsia="sr-Latn-BA"/>
              </w:rPr>
              <w:tab/>
            </w:r>
            <w:r w:rsidRPr="00425127">
              <w:rPr>
                <w:rStyle w:val="Hyperlink"/>
                <w:color w:val="auto"/>
              </w:rPr>
              <w:t>Osnivanje i razvoj</w:t>
            </w:r>
            <w:r w:rsidRPr="00425127">
              <w:rPr>
                <w:webHidden/>
              </w:rPr>
              <w:tab/>
            </w:r>
            <w:r w:rsidRPr="00425127">
              <w:rPr>
                <w:webHidden/>
              </w:rPr>
              <w:fldChar w:fldCharType="begin"/>
            </w:r>
            <w:r w:rsidRPr="00425127">
              <w:rPr>
                <w:webHidden/>
              </w:rPr>
              <w:instrText xml:space="preserve"> PAGEREF _Toc72918231 \h </w:instrText>
            </w:r>
            <w:r w:rsidRPr="00425127">
              <w:rPr>
                <w:webHidden/>
              </w:rPr>
            </w:r>
            <w:r w:rsidRPr="00425127">
              <w:rPr>
                <w:webHidden/>
              </w:rPr>
              <w:fldChar w:fldCharType="separate"/>
            </w:r>
            <w:r w:rsidR="00F508F1">
              <w:rPr>
                <w:webHidden/>
              </w:rPr>
              <w:t>3</w:t>
            </w:r>
            <w:r w:rsidRPr="00425127">
              <w:rPr>
                <w:webHidden/>
              </w:rPr>
              <w:fldChar w:fldCharType="end"/>
            </w:r>
          </w:hyperlink>
        </w:p>
        <w:p w14:paraId="403D1BB5" w14:textId="588A2493" w:rsidR="00CB580D" w:rsidRPr="00425127" w:rsidRDefault="00CB580D" w:rsidP="007F7B94">
          <w:pPr>
            <w:pStyle w:val="TOC1"/>
            <w:rPr>
              <w:rFonts w:eastAsiaTheme="minorEastAsia"/>
              <w:lang w:val="sr-Latn-BA" w:eastAsia="sr-Latn-BA"/>
            </w:rPr>
          </w:pPr>
          <w:hyperlink w:anchor="_Toc72918232" w:history="1">
            <w:r w:rsidRPr="00425127">
              <w:rPr>
                <w:rStyle w:val="Hyperlink"/>
                <w:color w:val="auto"/>
              </w:rPr>
              <w:t>b.</w:t>
            </w:r>
            <w:r w:rsidRPr="00425127">
              <w:rPr>
                <w:rFonts w:eastAsiaTheme="minorEastAsia"/>
                <w:lang w:val="sr-Latn-BA" w:eastAsia="sr-Latn-BA"/>
              </w:rPr>
              <w:tab/>
            </w:r>
            <w:r w:rsidRPr="00425127">
              <w:rPr>
                <w:rStyle w:val="Hyperlink"/>
                <w:color w:val="auto"/>
              </w:rPr>
              <w:t>Osnovni podaci</w:t>
            </w:r>
            <w:r w:rsidRPr="00425127">
              <w:rPr>
                <w:webHidden/>
              </w:rPr>
              <w:tab/>
            </w:r>
            <w:r w:rsidRPr="00425127">
              <w:rPr>
                <w:webHidden/>
              </w:rPr>
              <w:fldChar w:fldCharType="begin"/>
            </w:r>
            <w:r w:rsidRPr="00425127">
              <w:rPr>
                <w:webHidden/>
              </w:rPr>
              <w:instrText xml:space="preserve"> PAGEREF _Toc72918232 \h </w:instrText>
            </w:r>
            <w:r w:rsidRPr="00425127">
              <w:rPr>
                <w:webHidden/>
              </w:rPr>
            </w:r>
            <w:r w:rsidRPr="00425127">
              <w:rPr>
                <w:webHidden/>
              </w:rPr>
              <w:fldChar w:fldCharType="separate"/>
            </w:r>
            <w:r w:rsidR="00F508F1">
              <w:rPr>
                <w:webHidden/>
              </w:rPr>
              <w:t>3</w:t>
            </w:r>
            <w:r w:rsidRPr="00425127">
              <w:rPr>
                <w:webHidden/>
              </w:rPr>
              <w:fldChar w:fldCharType="end"/>
            </w:r>
          </w:hyperlink>
        </w:p>
        <w:p w14:paraId="035CCD64" w14:textId="05AFE978" w:rsidR="00CB580D" w:rsidRPr="00425127" w:rsidRDefault="00CB580D" w:rsidP="007F7B94">
          <w:pPr>
            <w:pStyle w:val="TOC1"/>
            <w:rPr>
              <w:rFonts w:eastAsiaTheme="minorEastAsia"/>
              <w:lang w:val="sr-Latn-BA" w:eastAsia="sr-Latn-BA"/>
            </w:rPr>
          </w:pPr>
          <w:hyperlink w:anchor="_Toc72918233" w:history="1">
            <w:r w:rsidRPr="00425127">
              <w:rPr>
                <w:rStyle w:val="Hyperlink"/>
                <w:color w:val="auto"/>
              </w:rPr>
              <w:t>c.</w:t>
            </w:r>
            <w:r w:rsidRPr="00425127">
              <w:rPr>
                <w:rFonts w:eastAsiaTheme="minorEastAsia"/>
                <w:lang w:val="sr-Latn-BA" w:eastAsia="sr-Latn-BA"/>
              </w:rPr>
              <w:tab/>
            </w:r>
            <w:r w:rsidRPr="00425127">
              <w:rPr>
                <w:rStyle w:val="Hyperlink"/>
                <w:color w:val="auto"/>
              </w:rPr>
              <w:t>Organi upravljanja</w:t>
            </w:r>
            <w:r w:rsidRPr="00425127">
              <w:rPr>
                <w:webHidden/>
              </w:rPr>
              <w:tab/>
            </w:r>
            <w:r w:rsidRPr="00425127">
              <w:rPr>
                <w:webHidden/>
              </w:rPr>
              <w:fldChar w:fldCharType="begin"/>
            </w:r>
            <w:r w:rsidRPr="00425127">
              <w:rPr>
                <w:webHidden/>
              </w:rPr>
              <w:instrText xml:space="preserve"> PAGEREF _Toc72918233 \h </w:instrText>
            </w:r>
            <w:r w:rsidRPr="00425127">
              <w:rPr>
                <w:webHidden/>
              </w:rPr>
            </w:r>
            <w:r w:rsidRPr="00425127">
              <w:rPr>
                <w:webHidden/>
              </w:rPr>
              <w:fldChar w:fldCharType="separate"/>
            </w:r>
            <w:r w:rsidR="00F508F1">
              <w:rPr>
                <w:webHidden/>
              </w:rPr>
              <w:t>3</w:t>
            </w:r>
            <w:r w:rsidRPr="00425127">
              <w:rPr>
                <w:webHidden/>
              </w:rPr>
              <w:fldChar w:fldCharType="end"/>
            </w:r>
          </w:hyperlink>
        </w:p>
        <w:p w14:paraId="1A40389E" w14:textId="7CB324EC" w:rsidR="00CB580D" w:rsidRPr="00425127" w:rsidRDefault="00CB580D" w:rsidP="007F7B94">
          <w:pPr>
            <w:pStyle w:val="TOC1"/>
            <w:rPr>
              <w:rFonts w:eastAsiaTheme="minorEastAsia"/>
              <w:lang w:val="sr-Latn-BA" w:eastAsia="sr-Latn-BA"/>
            </w:rPr>
          </w:pPr>
          <w:hyperlink w:anchor="_Toc72918234" w:history="1">
            <w:r w:rsidRPr="00777200">
              <w:rPr>
                <w:rStyle w:val="Hyperlink"/>
                <w:color w:val="auto"/>
                <w:lang w:val="sr-Latn-BA"/>
              </w:rPr>
              <w:t>d.</w:t>
            </w:r>
            <w:r w:rsidRPr="00425127">
              <w:rPr>
                <w:rFonts w:eastAsiaTheme="minorEastAsia"/>
                <w:lang w:val="sr-Latn-BA" w:eastAsia="sr-Latn-BA"/>
              </w:rPr>
              <w:tab/>
            </w:r>
            <w:r w:rsidRPr="00777200">
              <w:rPr>
                <w:rStyle w:val="Hyperlink"/>
                <w:color w:val="auto"/>
                <w:lang w:val="sr-Latn-BA"/>
              </w:rPr>
              <w:t>Organizaciona šema i struktura zaposlenih</w:t>
            </w:r>
          </w:hyperlink>
          <w:r w:rsidR="007F7B94" w:rsidRPr="00777200">
            <w:rPr>
              <w:lang w:val="sr-Latn-BA"/>
            </w:rPr>
            <w:t>………………………………………………………………….4</w:t>
          </w:r>
        </w:p>
        <w:p w14:paraId="2CC8BD39" w14:textId="6EEBFADB" w:rsidR="00CB580D" w:rsidRPr="00425127" w:rsidRDefault="00CB580D" w:rsidP="007F7B94">
          <w:pPr>
            <w:pStyle w:val="TOC1"/>
            <w:rPr>
              <w:rFonts w:eastAsiaTheme="minorEastAsia"/>
              <w:lang w:val="sr-Latn-BA" w:eastAsia="sr-Latn-BA"/>
            </w:rPr>
          </w:pPr>
          <w:hyperlink w:anchor="_Toc72918235" w:history="1">
            <w:r w:rsidRPr="00777200">
              <w:rPr>
                <w:rStyle w:val="Hyperlink"/>
                <w:color w:val="auto"/>
                <w:lang w:val="sr-Latn-BA"/>
              </w:rPr>
              <w:t>e.</w:t>
            </w:r>
            <w:r w:rsidRPr="00425127">
              <w:rPr>
                <w:rFonts w:eastAsiaTheme="minorEastAsia"/>
                <w:lang w:val="sr-Latn-BA" w:eastAsia="sr-Latn-BA"/>
              </w:rPr>
              <w:tab/>
            </w:r>
            <w:r w:rsidRPr="00777200">
              <w:rPr>
                <w:rStyle w:val="Hyperlink"/>
                <w:color w:val="auto"/>
                <w:lang w:val="sr-Latn-BA"/>
              </w:rPr>
              <w:t>Djelatnost</w:t>
            </w:r>
          </w:hyperlink>
          <w:r w:rsidR="007F7B94" w:rsidRPr="00777200">
            <w:rPr>
              <w:lang w:val="sr-Latn-BA"/>
            </w:rPr>
            <w:t>……………………………………………………………………………………………………………………….5</w:t>
          </w:r>
        </w:p>
        <w:p w14:paraId="72DCE997" w14:textId="3AD46C94" w:rsidR="007F7B94" w:rsidRPr="00777200" w:rsidRDefault="00CB580D" w:rsidP="007F7B94">
          <w:pPr>
            <w:pStyle w:val="TOC1"/>
            <w:rPr>
              <w:lang w:val="sr-Latn-BA"/>
            </w:rPr>
          </w:pPr>
          <w:hyperlink w:anchor="_Toc72918236" w:history="1">
            <w:r w:rsidRPr="00777200">
              <w:rPr>
                <w:rStyle w:val="Hyperlink"/>
                <w:color w:val="auto"/>
                <w:lang w:val="sr-Latn-BA"/>
              </w:rPr>
              <w:t>f.</w:t>
            </w:r>
            <w:r w:rsidRPr="00425127">
              <w:rPr>
                <w:rFonts w:eastAsiaTheme="minorEastAsia"/>
                <w:lang w:val="sr-Latn-BA" w:eastAsia="sr-Latn-BA"/>
              </w:rPr>
              <w:tab/>
            </w:r>
            <w:r w:rsidRPr="00777200">
              <w:rPr>
                <w:rStyle w:val="Hyperlink"/>
                <w:color w:val="auto"/>
                <w:lang w:val="sr-Latn-BA"/>
              </w:rPr>
              <w:t>Kreditn</w:t>
            </w:r>
            <w:r w:rsidR="00291B57" w:rsidRPr="00777200">
              <w:rPr>
                <w:rStyle w:val="Hyperlink"/>
                <w:color w:val="auto"/>
                <w:lang w:val="sr-Latn-BA"/>
              </w:rPr>
              <w:t>i proizvodi</w:t>
            </w:r>
          </w:hyperlink>
          <w:r w:rsidR="007F7B94" w:rsidRPr="00777200">
            <w:rPr>
              <w:lang w:val="sr-Latn-BA"/>
            </w:rPr>
            <w:t>…………………………………………………………………………………………................5</w:t>
          </w:r>
        </w:p>
        <w:p w14:paraId="3EAF2E0C" w14:textId="357497C4" w:rsidR="007F7B94" w:rsidRPr="00777200" w:rsidRDefault="007F7B94" w:rsidP="007F7B94">
          <w:pPr>
            <w:rPr>
              <w:rFonts w:ascii="Verdana" w:hAnsi="Verdana"/>
              <w:sz w:val="20"/>
              <w:szCs w:val="20"/>
              <w:lang w:val="sr-Latn-BA"/>
            </w:rPr>
          </w:pPr>
          <w:r w:rsidRPr="00777200">
            <w:rPr>
              <w:b/>
              <w:bCs/>
              <w:lang w:val="sr-Latn-BA"/>
            </w:rPr>
            <w:t xml:space="preserve">3. </w:t>
          </w:r>
          <w:r w:rsidRPr="00777200">
            <w:rPr>
              <w:rFonts w:ascii="Verdana" w:hAnsi="Verdana"/>
              <w:b/>
              <w:bCs/>
              <w:sz w:val="20"/>
              <w:szCs w:val="20"/>
              <w:lang w:val="sr-Latn-BA"/>
            </w:rPr>
            <w:t xml:space="preserve">   PROCJENA OČEKIVANOG BUDUĆEG RAZVOJA DRUŠTVA</w:t>
          </w:r>
          <w:r w:rsidRPr="00777200">
            <w:rPr>
              <w:rFonts w:ascii="Verdana" w:hAnsi="Verdana"/>
              <w:sz w:val="20"/>
              <w:szCs w:val="20"/>
              <w:lang w:val="sr-Latn-BA"/>
            </w:rPr>
            <w:t>…………………………………..7</w:t>
          </w:r>
        </w:p>
        <w:p w14:paraId="7270A0B5" w14:textId="3EF0478A" w:rsidR="007F7B94" w:rsidRPr="00777200" w:rsidRDefault="007F7B94" w:rsidP="007F7B94">
          <w:pPr>
            <w:rPr>
              <w:rFonts w:ascii="Verdana" w:hAnsi="Verdana"/>
              <w:sz w:val="20"/>
              <w:szCs w:val="20"/>
              <w:lang w:val="it-IT"/>
            </w:rPr>
          </w:pPr>
          <w:r w:rsidRPr="00777200">
            <w:rPr>
              <w:rFonts w:ascii="Verdana" w:hAnsi="Verdana"/>
              <w:b/>
              <w:bCs/>
              <w:sz w:val="20"/>
              <w:szCs w:val="20"/>
              <w:lang w:val="it-IT"/>
            </w:rPr>
            <w:t>4.   NAJVAŽNIJE AKTIVNOSTI U VEZI ISTRAŽIVANJA I RAZVOJA</w:t>
          </w:r>
          <w:r w:rsidRPr="00777200">
            <w:rPr>
              <w:rFonts w:ascii="Verdana" w:hAnsi="Verdana"/>
              <w:sz w:val="20"/>
              <w:szCs w:val="20"/>
              <w:lang w:val="it-IT"/>
            </w:rPr>
            <w:t>………………………….8</w:t>
          </w:r>
        </w:p>
        <w:p w14:paraId="36B100D2" w14:textId="0B873E90" w:rsidR="007F7B94" w:rsidRPr="00777200" w:rsidRDefault="007F7B94" w:rsidP="007F7B94">
          <w:pPr>
            <w:rPr>
              <w:rFonts w:ascii="Verdana" w:hAnsi="Verdana"/>
              <w:sz w:val="20"/>
              <w:szCs w:val="20"/>
              <w:lang w:val="it-IT"/>
            </w:rPr>
          </w:pPr>
          <w:r w:rsidRPr="00777200">
            <w:rPr>
              <w:rFonts w:ascii="Verdana" w:hAnsi="Verdana"/>
              <w:b/>
              <w:bCs/>
              <w:sz w:val="20"/>
              <w:szCs w:val="20"/>
              <w:lang w:val="it-IT"/>
            </w:rPr>
            <w:t>5.   INFORMACIJA O OTKUPU UDJELA</w:t>
          </w:r>
          <w:r w:rsidRPr="00777200">
            <w:rPr>
              <w:rFonts w:ascii="Verdana" w:hAnsi="Verdana"/>
              <w:sz w:val="20"/>
              <w:szCs w:val="20"/>
              <w:lang w:val="it-IT"/>
            </w:rPr>
            <w:t>………………………………………..………………………………..8</w:t>
          </w:r>
        </w:p>
        <w:p w14:paraId="72B66695" w14:textId="3888E587" w:rsidR="007F7B94" w:rsidRPr="00777200" w:rsidRDefault="007F7B94" w:rsidP="007F7B94">
          <w:pPr>
            <w:rPr>
              <w:rFonts w:ascii="Verdana" w:hAnsi="Verdana"/>
              <w:sz w:val="20"/>
              <w:szCs w:val="20"/>
              <w:lang w:val="it-IT"/>
            </w:rPr>
          </w:pPr>
          <w:r w:rsidRPr="00777200">
            <w:rPr>
              <w:rFonts w:ascii="Verdana" w:hAnsi="Verdana"/>
              <w:b/>
              <w:bCs/>
              <w:sz w:val="20"/>
              <w:szCs w:val="20"/>
              <w:lang w:val="it-IT"/>
            </w:rPr>
            <w:t>6.   REGULATORNI OKVIR</w:t>
          </w:r>
          <w:r w:rsidRPr="00777200">
            <w:rPr>
              <w:rFonts w:ascii="Verdana" w:hAnsi="Verdana"/>
              <w:sz w:val="20"/>
              <w:szCs w:val="20"/>
              <w:lang w:val="it-IT"/>
            </w:rPr>
            <w:t>…………………………………………………………………………………………………</w:t>
          </w:r>
          <w:r w:rsidR="004B3634">
            <w:rPr>
              <w:rFonts w:ascii="Verdana" w:hAnsi="Verdana"/>
              <w:sz w:val="20"/>
              <w:szCs w:val="20"/>
              <w:lang w:val="it-IT"/>
            </w:rPr>
            <w:t>8</w:t>
          </w:r>
        </w:p>
        <w:p w14:paraId="0586896D" w14:textId="05C06004" w:rsidR="002B7D60" w:rsidRPr="00777200" w:rsidRDefault="002B7D60" w:rsidP="007F7B94">
          <w:pPr>
            <w:rPr>
              <w:rFonts w:ascii="Verdana" w:hAnsi="Verdana"/>
              <w:sz w:val="20"/>
              <w:szCs w:val="20"/>
              <w:lang w:val="it-IT"/>
            </w:rPr>
          </w:pPr>
          <w:r w:rsidRPr="00777200">
            <w:rPr>
              <w:rFonts w:ascii="Verdana" w:hAnsi="Verdana"/>
              <w:b/>
              <w:bCs/>
              <w:sz w:val="20"/>
              <w:szCs w:val="20"/>
              <w:lang w:val="it-IT"/>
            </w:rPr>
            <w:t>7.   MIKROKREDITNI SEKTOR RS I POLOŽAJ DRUŠTVA NA TRŽIŠTU</w:t>
          </w:r>
          <w:r w:rsidRPr="00777200">
            <w:rPr>
              <w:rFonts w:ascii="Verdana" w:hAnsi="Verdana"/>
              <w:sz w:val="20"/>
              <w:szCs w:val="20"/>
              <w:lang w:val="it-IT"/>
            </w:rPr>
            <w:t>…………………….9</w:t>
          </w:r>
        </w:p>
        <w:p w14:paraId="12AE7E58" w14:textId="2EEB7E72" w:rsidR="002B7D60" w:rsidRPr="00777200" w:rsidRDefault="002B7D60" w:rsidP="007F7B94">
          <w:pPr>
            <w:rPr>
              <w:rFonts w:ascii="Verdana" w:hAnsi="Verdana"/>
              <w:sz w:val="20"/>
              <w:szCs w:val="20"/>
              <w:lang w:val="it-IT"/>
            </w:rPr>
          </w:pPr>
          <w:r w:rsidRPr="00777200">
            <w:rPr>
              <w:rFonts w:ascii="Verdana" w:hAnsi="Verdana"/>
              <w:b/>
              <w:bCs/>
              <w:sz w:val="20"/>
              <w:szCs w:val="20"/>
              <w:lang w:val="it-IT"/>
            </w:rPr>
            <w:t>8.   FINANSIJSKE INFORMACIJE</w:t>
          </w:r>
          <w:r w:rsidRPr="00777200">
            <w:rPr>
              <w:rFonts w:ascii="Verdana" w:hAnsi="Verdana"/>
              <w:sz w:val="20"/>
              <w:szCs w:val="20"/>
              <w:lang w:val="it-IT"/>
            </w:rPr>
            <w:t>…………………………………………………………………………………..1</w:t>
          </w:r>
          <w:r w:rsidR="004B3634">
            <w:rPr>
              <w:rFonts w:ascii="Verdana" w:hAnsi="Verdana"/>
              <w:sz w:val="20"/>
              <w:szCs w:val="20"/>
              <w:lang w:val="it-IT"/>
            </w:rPr>
            <w:t>1</w:t>
          </w:r>
        </w:p>
        <w:p w14:paraId="48FE9C3E" w14:textId="1BACCCAB" w:rsidR="00CB580D" w:rsidRPr="00425127" w:rsidRDefault="002B7D60" w:rsidP="007F7B94">
          <w:pPr>
            <w:pStyle w:val="TOC1"/>
            <w:rPr>
              <w:rFonts w:eastAsiaTheme="minorEastAsia"/>
              <w:lang w:val="sr-Latn-BA" w:eastAsia="sr-Latn-BA"/>
            </w:rPr>
          </w:pPr>
          <w:r w:rsidRPr="00777200">
            <w:rPr>
              <w:lang w:val="it-IT"/>
            </w:rPr>
            <w:t>a.</w:t>
          </w:r>
          <w:r w:rsidR="008A4E2E" w:rsidRPr="00777200">
            <w:rPr>
              <w:lang w:val="it-IT"/>
            </w:rPr>
            <w:t xml:space="preserve"> </w:t>
          </w:r>
          <w:r w:rsidR="002B5679" w:rsidRPr="00777200">
            <w:rPr>
              <w:lang w:val="it-IT"/>
            </w:rPr>
            <w:t xml:space="preserve">   </w:t>
          </w:r>
          <w:r w:rsidR="008A4E2E" w:rsidRPr="00777200">
            <w:rPr>
              <w:lang w:val="it-IT"/>
            </w:rPr>
            <w:t>Skraćeni godišnji finansijski izvještaji</w:t>
          </w:r>
          <w:r w:rsidRPr="00777200">
            <w:rPr>
              <w:lang w:val="it-IT"/>
            </w:rPr>
            <w:t>………………</w:t>
          </w:r>
          <w:r w:rsidR="008A4E2E" w:rsidRPr="00777200">
            <w:rPr>
              <w:lang w:val="it-IT"/>
            </w:rPr>
            <w:t>……</w:t>
          </w:r>
          <w:r w:rsidR="002B5679" w:rsidRPr="00777200">
            <w:rPr>
              <w:lang w:val="it-IT"/>
            </w:rPr>
            <w:t>……………………………………………...….1</w:t>
          </w:r>
          <w:r w:rsidR="004B3634">
            <w:rPr>
              <w:lang w:val="it-IT"/>
            </w:rPr>
            <w:t>1</w:t>
          </w:r>
        </w:p>
        <w:p w14:paraId="6ABCD395" w14:textId="4F346ED9" w:rsidR="00CB580D" w:rsidRPr="00425127" w:rsidRDefault="00CB580D" w:rsidP="007F7B94">
          <w:pPr>
            <w:pStyle w:val="TOC1"/>
            <w:rPr>
              <w:rFonts w:eastAsiaTheme="minorEastAsia"/>
              <w:lang w:val="sr-Latn-BA" w:eastAsia="sr-Latn-BA"/>
            </w:rPr>
          </w:pPr>
          <w:hyperlink w:anchor="_Toc72918244" w:history="1">
            <w:r w:rsidRPr="00425127">
              <w:rPr>
                <w:rStyle w:val="Hyperlink"/>
                <w:rFonts w:cs="Times New Roman"/>
                <w:color w:val="auto"/>
              </w:rPr>
              <w:t>b.</w:t>
            </w:r>
            <w:r w:rsidRPr="00425127">
              <w:rPr>
                <w:rFonts w:eastAsiaTheme="minorEastAsia"/>
                <w:lang w:val="sr-Latn-BA" w:eastAsia="sr-Latn-BA"/>
              </w:rPr>
              <w:tab/>
            </w:r>
            <w:r w:rsidR="008A4E2E" w:rsidRPr="00425127">
              <w:rPr>
                <w:rFonts w:eastAsiaTheme="minorEastAsia" w:cs="Arial"/>
                <w:lang w:val="sr-Latn-BA" w:eastAsia="sr-Latn-BA"/>
              </w:rPr>
              <w:t>Prikaz rezultata poslovanja</w:t>
            </w:r>
            <w:r w:rsidRPr="00425127">
              <w:rPr>
                <w:webHidden/>
              </w:rPr>
              <w:tab/>
            </w:r>
            <w:r w:rsidRPr="00425127">
              <w:rPr>
                <w:webHidden/>
              </w:rPr>
              <w:fldChar w:fldCharType="begin"/>
            </w:r>
            <w:r w:rsidRPr="00425127">
              <w:rPr>
                <w:webHidden/>
              </w:rPr>
              <w:instrText xml:space="preserve"> PAGEREF _Toc72918244 \h </w:instrText>
            </w:r>
            <w:r w:rsidRPr="00425127">
              <w:rPr>
                <w:webHidden/>
              </w:rPr>
            </w:r>
            <w:r w:rsidRPr="00425127">
              <w:rPr>
                <w:webHidden/>
              </w:rPr>
              <w:fldChar w:fldCharType="separate"/>
            </w:r>
            <w:r w:rsidR="00F508F1">
              <w:rPr>
                <w:webHidden/>
              </w:rPr>
              <w:t>1</w:t>
            </w:r>
            <w:r w:rsidRPr="00425127">
              <w:rPr>
                <w:webHidden/>
              </w:rPr>
              <w:fldChar w:fldCharType="end"/>
            </w:r>
          </w:hyperlink>
          <w:r w:rsidR="002B7D60">
            <w:t>4</w:t>
          </w:r>
        </w:p>
        <w:p w14:paraId="690DEBE5" w14:textId="26BA11FB" w:rsidR="00CB580D" w:rsidRPr="00425127" w:rsidRDefault="00CB580D" w:rsidP="007F7B94">
          <w:pPr>
            <w:pStyle w:val="TOC1"/>
            <w:rPr>
              <w:rFonts w:eastAsiaTheme="minorEastAsia"/>
              <w:lang w:val="sr-Latn-BA" w:eastAsia="sr-Latn-BA"/>
            </w:rPr>
          </w:pPr>
          <w:hyperlink w:anchor="_Toc72918245" w:history="1">
            <w:r w:rsidRPr="00425127">
              <w:rPr>
                <w:rStyle w:val="Hyperlink"/>
                <w:rFonts w:cs="Times New Roman"/>
                <w:color w:val="auto"/>
              </w:rPr>
              <w:t>c.</w:t>
            </w:r>
            <w:r w:rsidRPr="00425127">
              <w:rPr>
                <w:rFonts w:eastAsiaTheme="minorEastAsia"/>
                <w:lang w:val="sr-Latn-BA" w:eastAsia="sr-Latn-BA"/>
              </w:rPr>
              <w:tab/>
            </w:r>
            <w:r w:rsidRPr="00425127">
              <w:rPr>
                <w:rStyle w:val="Hyperlink"/>
                <w:rFonts w:cs="Times New Roman"/>
                <w:color w:val="auto"/>
              </w:rPr>
              <w:t>Informacije o bonitetu Društva</w:t>
            </w:r>
            <w:r w:rsidRPr="00425127">
              <w:rPr>
                <w:webHidden/>
              </w:rPr>
              <w:tab/>
            </w:r>
            <w:r w:rsidRPr="00425127">
              <w:rPr>
                <w:webHidden/>
              </w:rPr>
              <w:fldChar w:fldCharType="begin"/>
            </w:r>
            <w:r w:rsidRPr="00425127">
              <w:rPr>
                <w:webHidden/>
              </w:rPr>
              <w:instrText xml:space="preserve"> PAGEREF _Toc72918245 \h </w:instrText>
            </w:r>
            <w:r w:rsidRPr="00425127">
              <w:rPr>
                <w:webHidden/>
              </w:rPr>
            </w:r>
            <w:r w:rsidRPr="00425127">
              <w:rPr>
                <w:webHidden/>
              </w:rPr>
              <w:fldChar w:fldCharType="separate"/>
            </w:r>
            <w:r w:rsidR="00F508F1">
              <w:rPr>
                <w:webHidden/>
              </w:rPr>
              <w:t>15</w:t>
            </w:r>
            <w:r w:rsidRPr="00425127">
              <w:rPr>
                <w:webHidden/>
              </w:rPr>
              <w:fldChar w:fldCharType="end"/>
            </w:r>
          </w:hyperlink>
        </w:p>
        <w:p w14:paraId="561F9831" w14:textId="2DCAFE19" w:rsidR="00CB580D" w:rsidRPr="00425127" w:rsidRDefault="00CB580D" w:rsidP="007F7B94">
          <w:pPr>
            <w:pStyle w:val="TOC1"/>
            <w:rPr>
              <w:rFonts w:eastAsiaTheme="minorEastAsia"/>
              <w:lang w:val="sr-Latn-BA" w:eastAsia="sr-Latn-BA"/>
            </w:rPr>
          </w:pPr>
          <w:hyperlink w:anchor="_Toc72918246" w:history="1">
            <w:r w:rsidRPr="00560371">
              <w:rPr>
                <w:rStyle w:val="Hyperlink"/>
                <w:rFonts w:cs="Times New Roman"/>
                <w:color w:val="auto"/>
                <w:lang w:val="it-IT"/>
              </w:rPr>
              <w:t>d.</w:t>
            </w:r>
            <w:r w:rsidRPr="00425127">
              <w:rPr>
                <w:rFonts w:eastAsiaTheme="minorEastAsia"/>
                <w:lang w:val="sr-Latn-BA" w:eastAsia="sr-Latn-BA"/>
              </w:rPr>
              <w:tab/>
            </w:r>
            <w:r w:rsidRPr="00560371">
              <w:rPr>
                <w:rStyle w:val="Hyperlink"/>
                <w:rFonts w:cs="Times New Roman"/>
                <w:color w:val="auto"/>
                <w:lang w:val="it-IT"/>
              </w:rPr>
              <w:t>Poslovanje Društva</w:t>
            </w:r>
            <w:r w:rsidRPr="00560371">
              <w:rPr>
                <w:webHidden/>
                <w:lang w:val="it-IT"/>
              </w:rPr>
              <w:tab/>
            </w:r>
            <w:r w:rsidRPr="00425127">
              <w:rPr>
                <w:webHidden/>
              </w:rPr>
              <w:fldChar w:fldCharType="begin"/>
            </w:r>
            <w:r w:rsidRPr="00560371">
              <w:rPr>
                <w:webHidden/>
                <w:lang w:val="it-IT"/>
              </w:rPr>
              <w:instrText xml:space="preserve"> PAGEREF _Toc72918246 \h </w:instrText>
            </w:r>
            <w:r w:rsidRPr="00425127">
              <w:rPr>
                <w:webHidden/>
              </w:rPr>
            </w:r>
            <w:r w:rsidRPr="00425127">
              <w:rPr>
                <w:webHidden/>
              </w:rPr>
              <w:fldChar w:fldCharType="separate"/>
            </w:r>
            <w:r w:rsidR="00F508F1" w:rsidRPr="00560371">
              <w:rPr>
                <w:webHidden/>
                <w:lang w:val="it-IT"/>
              </w:rPr>
              <w:t>1</w:t>
            </w:r>
            <w:r w:rsidRPr="00425127">
              <w:rPr>
                <w:webHidden/>
              </w:rPr>
              <w:fldChar w:fldCharType="end"/>
            </w:r>
          </w:hyperlink>
          <w:r w:rsidR="004B3634" w:rsidRPr="00560371">
            <w:rPr>
              <w:lang w:val="it-IT"/>
            </w:rPr>
            <w:t>6</w:t>
          </w:r>
        </w:p>
        <w:p w14:paraId="151E6E23" w14:textId="7DCB1537" w:rsidR="00CB580D" w:rsidRPr="00777200" w:rsidRDefault="00CB580D" w:rsidP="007F7B94">
          <w:pPr>
            <w:pStyle w:val="TOC1"/>
            <w:rPr>
              <w:lang w:val="it-IT"/>
            </w:rPr>
          </w:pPr>
          <w:hyperlink w:anchor="_Toc72918247" w:history="1">
            <w:r w:rsidRPr="00777200">
              <w:rPr>
                <w:rStyle w:val="Hyperlink"/>
                <w:rFonts w:cs="Times New Roman"/>
                <w:color w:val="auto"/>
                <w:lang w:val="it-IT"/>
              </w:rPr>
              <w:t>e.</w:t>
            </w:r>
            <w:r w:rsidRPr="00425127">
              <w:rPr>
                <w:rFonts w:eastAsiaTheme="minorEastAsia"/>
                <w:lang w:val="sr-Latn-BA" w:eastAsia="sr-Latn-BA"/>
              </w:rPr>
              <w:tab/>
            </w:r>
            <w:r w:rsidRPr="00777200">
              <w:rPr>
                <w:rStyle w:val="Hyperlink"/>
                <w:rFonts w:cs="Times New Roman"/>
                <w:color w:val="auto"/>
                <w:lang w:val="it-IT"/>
              </w:rPr>
              <w:t xml:space="preserve">Značajni događaji </w:t>
            </w:r>
            <w:r w:rsidR="002B7D60" w:rsidRPr="00777200">
              <w:rPr>
                <w:rStyle w:val="Hyperlink"/>
                <w:rFonts w:cs="Times New Roman"/>
                <w:color w:val="auto"/>
                <w:lang w:val="it-IT"/>
              </w:rPr>
              <w:t>na</w:t>
            </w:r>
            <w:r w:rsidR="002B7D60" w:rsidRPr="00777200">
              <w:rPr>
                <w:webHidden/>
                <w:lang w:val="it-IT"/>
              </w:rPr>
              <w:t>stali</w:t>
            </w:r>
          </w:hyperlink>
          <w:r w:rsidR="002B7D60" w:rsidRPr="00777200">
            <w:rPr>
              <w:lang w:val="it-IT"/>
            </w:rPr>
            <w:t xml:space="preserve"> u periodu od datuma završetka poslovne godine do </w:t>
          </w:r>
        </w:p>
        <w:p w14:paraId="779A9851" w14:textId="72118749" w:rsidR="002B7D60" w:rsidRPr="00777200" w:rsidRDefault="002B7D60" w:rsidP="002B7D60">
          <w:pPr>
            <w:rPr>
              <w:lang w:val="it-IT"/>
            </w:rPr>
          </w:pPr>
          <w:r w:rsidRPr="00777200">
            <w:rPr>
              <w:lang w:val="it-IT"/>
            </w:rPr>
            <w:t xml:space="preserve">       datuma izrade Godišnjeg izvještaja o poslovanju za 202</w:t>
          </w:r>
          <w:r w:rsidR="00690084">
            <w:rPr>
              <w:lang w:val="it-IT"/>
            </w:rPr>
            <w:t>4</w:t>
          </w:r>
          <w:r w:rsidRPr="00777200">
            <w:rPr>
              <w:lang w:val="it-IT"/>
            </w:rPr>
            <w:t>. godinu……………………….20</w:t>
          </w:r>
        </w:p>
        <w:p w14:paraId="3C906414" w14:textId="34DF6FBC" w:rsidR="00CB580D" w:rsidRPr="00425127" w:rsidRDefault="002B7D60" w:rsidP="004B3634">
          <w:pPr>
            <w:pStyle w:val="TOC1"/>
            <w:rPr>
              <w:rFonts w:eastAsiaTheme="minorEastAsia"/>
              <w:lang w:val="sr-Latn-BA" w:eastAsia="sr-Latn-BA"/>
            </w:rPr>
          </w:pPr>
          <w:hyperlink w:anchor="_Toc72918248" w:history="1">
            <w:r w:rsidRPr="00560371">
              <w:rPr>
                <w:rStyle w:val="Hyperlink"/>
                <w:rFonts w:cs="Times New Roman"/>
                <w:b/>
                <w:bCs/>
                <w:color w:val="auto"/>
                <w:lang w:val="it-IT"/>
              </w:rPr>
              <w:t>9</w:t>
            </w:r>
            <w:r w:rsidR="00CB580D" w:rsidRPr="00560371">
              <w:rPr>
                <w:rStyle w:val="Hyperlink"/>
                <w:rFonts w:cs="Times New Roman"/>
                <w:b/>
                <w:bCs/>
                <w:color w:val="auto"/>
                <w:lang w:val="it-IT"/>
              </w:rPr>
              <w:t>.</w:t>
            </w:r>
            <w:r w:rsidR="00CB580D" w:rsidRPr="00425127">
              <w:rPr>
                <w:rFonts w:eastAsiaTheme="minorEastAsia"/>
                <w:lang w:val="sr-Latn-BA" w:eastAsia="sr-Latn-BA"/>
              </w:rPr>
              <w:tab/>
            </w:r>
            <w:r w:rsidR="00CB580D" w:rsidRPr="00560371">
              <w:rPr>
                <w:rStyle w:val="Hyperlink"/>
                <w:rFonts w:cs="Times New Roman"/>
                <w:b/>
                <w:bCs/>
                <w:color w:val="auto"/>
                <w:lang w:val="it-IT"/>
              </w:rPr>
              <w:t>VRSTE I IZLOŽENOST RIZICIMA PRISUTNIM U POSLOVANJU</w:t>
            </w:r>
            <w:r w:rsidR="00CB580D" w:rsidRPr="00560371">
              <w:rPr>
                <w:webHidden/>
                <w:lang w:val="it-IT"/>
              </w:rPr>
              <w:tab/>
            </w:r>
          </w:hyperlink>
          <w:r w:rsidR="004B3634" w:rsidRPr="00560371">
            <w:rPr>
              <w:lang w:val="it-IT"/>
            </w:rPr>
            <w:t xml:space="preserve">…………………….21 </w:t>
          </w:r>
          <w:hyperlink w:anchor="_Toc72918249" w:history="1">
            <w:r w:rsidR="00CB580D" w:rsidRPr="00425127">
              <w:rPr>
                <w:rStyle w:val="Hyperlink"/>
                <w:rFonts w:cs="Arial"/>
                <w:color w:val="auto"/>
                <w:lang w:val="sr-Latn-BA"/>
              </w:rPr>
              <w:t>a.</w:t>
            </w:r>
            <w:r w:rsidR="00CE550D" w:rsidRPr="00425127">
              <w:rPr>
                <w:rFonts w:eastAsiaTheme="minorEastAsia"/>
                <w:lang w:val="sr-Latn-BA" w:eastAsia="sr-Latn-BA"/>
              </w:rPr>
              <w:t xml:space="preserve">     </w:t>
            </w:r>
            <w:r w:rsidR="00CB580D" w:rsidRPr="00425127">
              <w:rPr>
                <w:rStyle w:val="Hyperlink"/>
                <w:rFonts w:cs="Arial"/>
                <w:color w:val="auto"/>
                <w:lang w:val="sr-Latn-BA"/>
              </w:rPr>
              <w:t>Likvidnosni rizik</w:t>
            </w:r>
            <w:r w:rsidR="00CB580D" w:rsidRPr="00560371">
              <w:rPr>
                <w:webHidden/>
                <w:lang w:val="it-IT"/>
              </w:rPr>
              <w:tab/>
            </w:r>
            <w:r w:rsidR="00CB580D" w:rsidRPr="00425127">
              <w:rPr>
                <w:webHidden/>
              </w:rPr>
              <w:fldChar w:fldCharType="begin"/>
            </w:r>
            <w:r w:rsidR="00CB580D" w:rsidRPr="00560371">
              <w:rPr>
                <w:webHidden/>
                <w:lang w:val="it-IT"/>
              </w:rPr>
              <w:instrText xml:space="preserve"> PAGEREF _Toc72918249 \h </w:instrText>
            </w:r>
            <w:r w:rsidR="00CB580D" w:rsidRPr="00425127">
              <w:rPr>
                <w:webHidden/>
              </w:rPr>
            </w:r>
            <w:r w:rsidR="00CB580D" w:rsidRPr="00425127">
              <w:rPr>
                <w:webHidden/>
              </w:rPr>
              <w:fldChar w:fldCharType="separate"/>
            </w:r>
            <w:r w:rsidR="00F508F1" w:rsidRPr="00560371">
              <w:rPr>
                <w:webHidden/>
                <w:lang w:val="it-IT"/>
              </w:rPr>
              <w:t>2</w:t>
            </w:r>
            <w:r w:rsidR="00CB580D" w:rsidRPr="00425127">
              <w:rPr>
                <w:webHidden/>
              </w:rPr>
              <w:fldChar w:fldCharType="end"/>
            </w:r>
          </w:hyperlink>
          <w:r w:rsidR="004B3634" w:rsidRPr="00560371">
            <w:rPr>
              <w:lang w:val="it-IT"/>
            </w:rPr>
            <w:t>1</w:t>
          </w:r>
        </w:p>
        <w:p w14:paraId="0A5C37F9" w14:textId="5664463C" w:rsidR="00CB580D" w:rsidRPr="00425127" w:rsidRDefault="00CB580D" w:rsidP="00CE550D">
          <w:pPr>
            <w:pStyle w:val="TOC2"/>
            <w:tabs>
              <w:tab w:val="left" w:pos="660"/>
              <w:tab w:val="right" w:leader="dot" w:pos="9062"/>
            </w:tabs>
            <w:ind w:left="0"/>
            <w:rPr>
              <w:rFonts w:ascii="Verdana" w:eastAsiaTheme="minorEastAsia" w:hAnsi="Verdana"/>
              <w:noProof/>
              <w:sz w:val="20"/>
              <w:szCs w:val="20"/>
              <w:lang w:val="sr-Latn-BA" w:eastAsia="sr-Latn-BA"/>
            </w:rPr>
          </w:pPr>
          <w:hyperlink w:anchor="_Toc72918250" w:history="1">
            <w:r w:rsidRPr="00425127">
              <w:rPr>
                <w:rStyle w:val="Hyperlink"/>
                <w:rFonts w:ascii="Verdana" w:hAnsi="Verdana" w:cs="Arial"/>
                <w:noProof/>
                <w:color w:val="auto"/>
                <w:sz w:val="20"/>
                <w:szCs w:val="20"/>
                <w:lang w:val="sr-Latn-BA"/>
              </w:rPr>
              <w:t>b.</w:t>
            </w:r>
            <w:r w:rsidR="00CE550D" w:rsidRPr="00425127">
              <w:rPr>
                <w:rFonts w:ascii="Verdana" w:eastAsiaTheme="minorEastAsia" w:hAnsi="Verdana"/>
                <w:noProof/>
                <w:sz w:val="20"/>
                <w:szCs w:val="20"/>
                <w:lang w:val="sr-Latn-BA" w:eastAsia="sr-Latn-BA"/>
              </w:rPr>
              <w:t xml:space="preserve">     </w:t>
            </w:r>
            <w:r w:rsidRPr="00425127">
              <w:rPr>
                <w:rStyle w:val="Hyperlink"/>
                <w:rFonts w:ascii="Verdana" w:hAnsi="Verdana" w:cs="Arial"/>
                <w:noProof/>
                <w:color w:val="auto"/>
                <w:sz w:val="20"/>
                <w:szCs w:val="20"/>
                <w:lang w:val="sr-Latn-BA"/>
              </w:rPr>
              <w:t>Kreditni rizik</w:t>
            </w:r>
            <w:r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tab/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instrText xml:space="preserve"> PAGEREF _Toc72918250 \h </w:instrText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508F1"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t>2</w:t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  <w:r w:rsidR="004B3634" w:rsidRPr="00560371">
            <w:rPr>
              <w:rFonts w:ascii="Verdana" w:hAnsi="Verdana"/>
              <w:noProof/>
              <w:sz w:val="20"/>
              <w:szCs w:val="20"/>
              <w:lang w:val="it-IT"/>
            </w:rPr>
            <w:t>2</w:t>
          </w:r>
        </w:p>
        <w:p w14:paraId="0EDC03BB" w14:textId="47F9BDC8" w:rsidR="00CB580D" w:rsidRPr="00425127" w:rsidRDefault="00CB580D" w:rsidP="00CE550D">
          <w:pPr>
            <w:pStyle w:val="TOC2"/>
            <w:tabs>
              <w:tab w:val="left" w:pos="660"/>
              <w:tab w:val="right" w:leader="dot" w:pos="9062"/>
            </w:tabs>
            <w:ind w:left="0"/>
            <w:rPr>
              <w:rFonts w:ascii="Verdana" w:eastAsiaTheme="minorEastAsia" w:hAnsi="Verdana"/>
              <w:noProof/>
              <w:sz w:val="20"/>
              <w:szCs w:val="20"/>
              <w:lang w:val="sr-Latn-BA" w:eastAsia="sr-Latn-BA"/>
            </w:rPr>
          </w:pPr>
          <w:hyperlink w:anchor="_Toc72918251" w:history="1">
            <w:r w:rsidRPr="00425127">
              <w:rPr>
                <w:rStyle w:val="Hyperlink"/>
                <w:rFonts w:ascii="Verdana" w:eastAsia="ArialNarrow,Bold" w:hAnsi="Verdana" w:cs="Arial"/>
                <w:noProof/>
                <w:color w:val="auto"/>
                <w:sz w:val="20"/>
                <w:szCs w:val="20"/>
                <w:lang w:val="sr-Latn-BA"/>
              </w:rPr>
              <w:t>c.</w:t>
            </w:r>
            <w:r w:rsidR="00CE550D" w:rsidRPr="00425127">
              <w:rPr>
                <w:rFonts w:ascii="Verdana" w:eastAsiaTheme="minorEastAsia" w:hAnsi="Verdana"/>
                <w:noProof/>
                <w:sz w:val="20"/>
                <w:szCs w:val="20"/>
                <w:lang w:val="sr-Latn-BA" w:eastAsia="sr-Latn-BA"/>
              </w:rPr>
              <w:t xml:space="preserve">     </w:t>
            </w:r>
            <w:r w:rsidRPr="00425127">
              <w:rPr>
                <w:rStyle w:val="Hyperlink"/>
                <w:rFonts w:ascii="Verdana" w:eastAsia="ArialNarrow,Bold" w:hAnsi="Verdana" w:cs="Arial"/>
                <w:noProof/>
                <w:color w:val="auto"/>
                <w:sz w:val="20"/>
                <w:szCs w:val="20"/>
                <w:lang w:val="sr-Latn-BA"/>
              </w:rPr>
              <w:t>Kamatni rizik</w:t>
            </w:r>
            <w:r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tab/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instrText xml:space="preserve"> PAGEREF _Toc72918251 \h </w:instrText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508F1"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t>2</w:t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  <w:r w:rsidR="004B3634" w:rsidRPr="00560371">
            <w:rPr>
              <w:rFonts w:ascii="Verdana" w:hAnsi="Verdana"/>
              <w:noProof/>
              <w:sz w:val="20"/>
              <w:szCs w:val="20"/>
              <w:lang w:val="it-IT"/>
            </w:rPr>
            <w:t>2</w:t>
          </w:r>
        </w:p>
        <w:p w14:paraId="2987E039" w14:textId="3B2DCC2C" w:rsidR="00CB580D" w:rsidRPr="00425127" w:rsidRDefault="00CB580D" w:rsidP="00CE550D">
          <w:pPr>
            <w:pStyle w:val="TOC2"/>
            <w:tabs>
              <w:tab w:val="left" w:pos="660"/>
              <w:tab w:val="right" w:leader="dot" w:pos="9062"/>
            </w:tabs>
            <w:ind w:left="0"/>
            <w:rPr>
              <w:rFonts w:ascii="Verdana" w:eastAsiaTheme="minorEastAsia" w:hAnsi="Verdana"/>
              <w:noProof/>
              <w:sz w:val="20"/>
              <w:szCs w:val="20"/>
              <w:lang w:val="sr-Latn-BA" w:eastAsia="sr-Latn-BA"/>
            </w:rPr>
          </w:pPr>
          <w:hyperlink w:anchor="_Toc72918252" w:history="1">
            <w:r w:rsidRPr="00425127">
              <w:rPr>
                <w:rStyle w:val="Hyperlink"/>
                <w:rFonts w:ascii="Verdana" w:eastAsia="ArialNarrow,Bold" w:hAnsi="Verdana" w:cs="Arial"/>
                <w:noProof/>
                <w:color w:val="auto"/>
                <w:sz w:val="20"/>
                <w:szCs w:val="20"/>
                <w:lang w:val="sr-Latn-BA"/>
              </w:rPr>
              <w:t>d.</w:t>
            </w:r>
            <w:r w:rsidR="00CE550D" w:rsidRPr="00425127">
              <w:rPr>
                <w:rFonts w:ascii="Verdana" w:eastAsiaTheme="minorEastAsia" w:hAnsi="Verdana"/>
                <w:noProof/>
                <w:sz w:val="20"/>
                <w:szCs w:val="20"/>
                <w:lang w:val="sr-Latn-BA" w:eastAsia="sr-Latn-BA"/>
              </w:rPr>
              <w:t xml:space="preserve">     </w:t>
            </w:r>
            <w:r w:rsidRPr="00425127">
              <w:rPr>
                <w:rStyle w:val="Hyperlink"/>
                <w:rFonts w:ascii="Verdana" w:eastAsia="ArialNarrow,Bold" w:hAnsi="Verdana" w:cs="Arial"/>
                <w:noProof/>
                <w:color w:val="auto"/>
                <w:sz w:val="20"/>
                <w:szCs w:val="20"/>
                <w:lang w:val="sr-Latn-BA"/>
              </w:rPr>
              <w:t>Rizik koncentracije</w:t>
            </w:r>
            <w:r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tab/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instrText xml:space="preserve"> PAGEREF _Toc72918252 \h </w:instrText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508F1"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t>2</w:t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  <w:r w:rsidR="004B3634" w:rsidRPr="00560371">
            <w:rPr>
              <w:rFonts w:ascii="Verdana" w:hAnsi="Verdana"/>
              <w:noProof/>
              <w:sz w:val="20"/>
              <w:szCs w:val="20"/>
              <w:lang w:val="it-IT"/>
            </w:rPr>
            <w:t>3</w:t>
          </w:r>
        </w:p>
        <w:p w14:paraId="5CB1A287" w14:textId="72560FAE" w:rsidR="00CB580D" w:rsidRPr="00425127" w:rsidRDefault="00CB580D" w:rsidP="00CE550D">
          <w:pPr>
            <w:pStyle w:val="TOC2"/>
            <w:tabs>
              <w:tab w:val="left" w:pos="660"/>
              <w:tab w:val="right" w:leader="dot" w:pos="9062"/>
            </w:tabs>
            <w:ind w:left="0"/>
            <w:rPr>
              <w:rFonts w:ascii="Verdana" w:eastAsiaTheme="minorEastAsia" w:hAnsi="Verdana"/>
              <w:noProof/>
              <w:sz w:val="20"/>
              <w:szCs w:val="20"/>
              <w:lang w:val="sr-Latn-BA" w:eastAsia="sr-Latn-BA"/>
            </w:rPr>
          </w:pPr>
          <w:hyperlink w:anchor="_Toc72918253" w:history="1">
            <w:r w:rsidRPr="00425127">
              <w:rPr>
                <w:rStyle w:val="Hyperlink"/>
                <w:rFonts w:ascii="Verdana" w:eastAsia="ArialNarrow,Bold" w:hAnsi="Verdana" w:cs="Arial"/>
                <w:noProof/>
                <w:color w:val="auto"/>
                <w:sz w:val="20"/>
                <w:szCs w:val="20"/>
                <w:lang w:val="sr-Latn-BA"/>
              </w:rPr>
              <w:t>e.</w:t>
            </w:r>
            <w:r w:rsidR="00CE550D" w:rsidRPr="00425127">
              <w:rPr>
                <w:rFonts w:ascii="Verdana" w:eastAsiaTheme="minorEastAsia" w:hAnsi="Verdana"/>
                <w:noProof/>
                <w:sz w:val="20"/>
                <w:szCs w:val="20"/>
                <w:lang w:val="sr-Latn-BA" w:eastAsia="sr-Latn-BA"/>
              </w:rPr>
              <w:t xml:space="preserve">     </w:t>
            </w:r>
            <w:r w:rsidRPr="00425127">
              <w:rPr>
                <w:rStyle w:val="Hyperlink"/>
                <w:rFonts w:ascii="Verdana" w:eastAsia="ArialNarrow,Bold" w:hAnsi="Verdana" w:cs="Arial"/>
                <w:noProof/>
                <w:color w:val="auto"/>
                <w:sz w:val="20"/>
                <w:szCs w:val="20"/>
                <w:lang w:val="sr-Latn-BA"/>
              </w:rPr>
              <w:t>Rizik zemlje</w:t>
            </w:r>
            <w:r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tab/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instrText xml:space="preserve"> PAGEREF _Toc72918253 \h </w:instrText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508F1"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t>2</w:t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  <w:r w:rsidR="004B3634" w:rsidRPr="00560371">
            <w:rPr>
              <w:rFonts w:ascii="Verdana" w:hAnsi="Verdana"/>
              <w:noProof/>
              <w:sz w:val="20"/>
              <w:szCs w:val="20"/>
              <w:lang w:val="it-IT"/>
            </w:rPr>
            <w:t>3</w:t>
          </w:r>
        </w:p>
        <w:p w14:paraId="25B4FB3F" w14:textId="4C0CD159" w:rsidR="00CB580D" w:rsidRPr="00425127" w:rsidRDefault="00CB580D" w:rsidP="00CE550D">
          <w:pPr>
            <w:pStyle w:val="TOC2"/>
            <w:tabs>
              <w:tab w:val="left" w:pos="660"/>
              <w:tab w:val="right" w:leader="dot" w:pos="9062"/>
            </w:tabs>
            <w:ind w:left="0"/>
            <w:rPr>
              <w:rFonts w:ascii="Verdana" w:eastAsiaTheme="minorEastAsia" w:hAnsi="Verdana"/>
              <w:noProof/>
              <w:sz w:val="20"/>
              <w:szCs w:val="20"/>
              <w:lang w:val="sr-Latn-BA" w:eastAsia="sr-Latn-BA"/>
            </w:rPr>
          </w:pPr>
          <w:hyperlink w:anchor="_Toc72918254" w:history="1">
            <w:r w:rsidRPr="00425127">
              <w:rPr>
                <w:rStyle w:val="Hyperlink"/>
                <w:rFonts w:ascii="Verdana" w:hAnsi="Verdana" w:cs="Arial"/>
                <w:noProof/>
                <w:color w:val="auto"/>
                <w:sz w:val="20"/>
                <w:szCs w:val="20"/>
                <w:lang w:val="sr-Latn-BA"/>
              </w:rPr>
              <w:t>f.</w:t>
            </w:r>
            <w:r w:rsidR="00CE550D" w:rsidRPr="00425127">
              <w:rPr>
                <w:rFonts w:ascii="Verdana" w:eastAsiaTheme="minorEastAsia" w:hAnsi="Verdana"/>
                <w:noProof/>
                <w:sz w:val="20"/>
                <w:szCs w:val="20"/>
                <w:lang w:val="sr-Latn-BA" w:eastAsia="sr-Latn-BA"/>
              </w:rPr>
              <w:t xml:space="preserve">      </w:t>
            </w:r>
            <w:r w:rsidRPr="00425127">
              <w:rPr>
                <w:rStyle w:val="Hyperlink"/>
                <w:rFonts w:ascii="Verdana" w:hAnsi="Verdana" w:cs="Arial"/>
                <w:noProof/>
                <w:color w:val="auto"/>
                <w:sz w:val="20"/>
                <w:szCs w:val="20"/>
                <w:lang w:val="sr-Latn-BA"/>
              </w:rPr>
              <w:t>Operativni rizik</w:t>
            </w:r>
            <w:r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tab/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instrText xml:space="preserve"> PAGEREF _Toc72918254 \h </w:instrText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508F1" w:rsidRPr="00560371">
              <w:rPr>
                <w:rFonts w:ascii="Verdana" w:hAnsi="Verdana"/>
                <w:noProof/>
                <w:webHidden/>
                <w:sz w:val="20"/>
                <w:szCs w:val="20"/>
                <w:lang w:val="it-IT"/>
              </w:rPr>
              <w:t>2</w:t>
            </w:r>
            <w:r w:rsidRPr="00425127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  <w:r w:rsidR="004B3634" w:rsidRPr="00560371">
            <w:rPr>
              <w:rFonts w:ascii="Verdana" w:hAnsi="Verdana"/>
              <w:noProof/>
              <w:sz w:val="20"/>
              <w:szCs w:val="20"/>
              <w:lang w:val="it-IT"/>
            </w:rPr>
            <w:t>4</w:t>
          </w:r>
        </w:p>
        <w:p w14:paraId="2B177070" w14:textId="4ECC29A0" w:rsidR="00CB580D" w:rsidRPr="00425127" w:rsidRDefault="00CB580D" w:rsidP="007F7B94">
          <w:pPr>
            <w:pStyle w:val="TOC1"/>
            <w:rPr>
              <w:rFonts w:eastAsiaTheme="minorEastAsia"/>
              <w:lang w:val="sr-Latn-BA" w:eastAsia="sr-Latn-BA"/>
            </w:rPr>
          </w:pPr>
          <w:hyperlink w:anchor="_Toc72918255" w:history="1">
            <w:r w:rsidRPr="00777200">
              <w:rPr>
                <w:rStyle w:val="Hyperlink"/>
                <w:rFonts w:cs="Times New Roman"/>
                <w:b/>
                <w:bCs/>
                <w:color w:val="auto"/>
                <w:lang w:val="it-IT"/>
              </w:rPr>
              <w:t>1</w:t>
            </w:r>
            <w:r w:rsidR="00F836D7" w:rsidRPr="00777200">
              <w:rPr>
                <w:rStyle w:val="Hyperlink"/>
                <w:rFonts w:cs="Times New Roman"/>
                <w:b/>
                <w:bCs/>
                <w:color w:val="auto"/>
                <w:lang w:val="it-IT"/>
              </w:rPr>
              <w:t>0</w:t>
            </w:r>
            <w:r w:rsidRPr="00777200">
              <w:rPr>
                <w:rStyle w:val="Hyperlink"/>
                <w:rFonts w:cs="Times New Roman"/>
                <w:b/>
                <w:bCs/>
                <w:color w:val="auto"/>
                <w:lang w:val="it-IT"/>
              </w:rPr>
              <w:t>.</w:t>
            </w:r>
            <w:r w:rsidRPr="00425127">
              <w:rPr>
                <w:rFonts w:eastAsiaTheme="minorEastAsia"/>
                <w:lang w:val="sr-Latn-BA" w:eastAsia="sr-Latn-BA"/>
              </w:rPr>
              <w:tab/>
            </w:r>
            <w:r w:rsidR="00F836D7">
              <w:rPr>
                <w:rFonts w:eastAsiaTheme="minorEastAsia"/>
                <w:lang w:val="sr-Latn-BA" w:eastAsia="sr-Latn-BA"/>
              </w:rPr>
              <w:t xml:space="preserve"> </w:t>
            </w:r>
            <w:r w:rsidRPr="00777200">
              <w:rPr>
                <w:rStyle w:val="Hyperlink"/>
                <w:rFonts w:cs="Times New Roman"/>
                <w:b/>
                <w:bCs/>
                <w:color w:val="auto"/>
                <w:lang w:val="it-IT"/>
              </w:rPr>
              <w:t>SUDSKI POSTUP</w:t>
            </w:r>
            <w:r w:rsidR="00F836D7" w:rsidRPr="00777200">
              <w:rPr>
                <w:rStyle w:val="Hyperlink"/>
                <w:rFonts w:cs="Times New Roman"/>
                <w:b/>
                <w:bCs/>
                <w:color w:val="auto"/>
                <w:lang w:val="it-IT"/>
              </w:rPr>
              <w:t>CI</w:t>
            </w:r>
            <w:r w:rsidR="00F836D7" w:rsidRPr="00777200">
              <w:rPr>
                <w:rStyle w:val="Hyperlink"/>
                <w:rFonts w:cs="Times New Roman"/>
                <w:color w:val="auto"/>
                <w:u w:val="none"/>
                <w:lang w:val="it-IT"/>
              </w:rPr>
              <w:t>…………………………………………………………………………………………………..</w:t>
            </w:r>
            <w:r w:rsidR="005D0BD5" w:rsidRPr="00777200">
              <w:rPr>
                <w:webHidden/>
                <w:lang w:val="it-IT"/>
              </w:rPr>
              <w:t>2</w:t>
            </w:r>
          </w:hyperlink>
          <w:r w:rsidR="00210A67" w:rsidRPr="00923D86">
            <w:rPr>
              <w:lang w:val="it-IT"/>
            </w:rPr>
            <w:t>5</w:t>
          </w:r>
        </w:p>
        <w:p w14:paraId="3D413647" w14:textId="383A4567" w:rsidR="00CB580D" w:rsidRPr="00777200" w:rsidRDefault="00CB580D" w:rsidP="007F7B94">
          <w:pPr>
            <w:pStyle w:val="TOC1"/>
            <w:rPr>
              <w:lang w:val="it-IT"/>
            </w:rPr>
          </w:pPr>
          <w:hyperlink w:anchor="_Toc72918256" w:history="1">
            <w:r w:rsidRPr="00777200">
              <w:rPr>
                <w:rStyle w:val="Hyperlink"/>
                <w:rFonts w:cs="Times New Roman"/>
                <w:b/>
                <w:bCs/>
                <w:color w:val="auto"/>
                <w:lang w:val="it-IT"/>
              </w:rPr>
              <w:t>1</w:t>
            </w:r>
            <w:r w:rsidR="00F836D7" w:rsidRPr="00777200">
              <w:rPr>
                <w:rStyle w:val="Hyperlink"/>
                <w:rFonts w:cs="Times New Roman"/>
                <w:b/>
                <w:bCs/>
                <w:color w:val="auto"/>
                <w:lang w:val="it-IT"/>
              </w:rPr>
              <w:t>1</w:t>
            </w:r>
            <w:r w:rsidRPr="00777200">
              <w:rPr>
                <w:rStyle w:val="Hyperlink"/>
                <w:rFonts w:cs="Times New Roman"/>
                <w:b/>
                <w:bCs/>
                <w:color w:val="auto"/>
                <w:lang w:val="it-IT"/>
              </w:rPr>
              <w:t>.</w:t>
            </w:r>
            <w:r w:rsidRPr="00425127">
              <w:rPr>
                <w:rFonts w:eastAsiaTheme="minorEastAsia"/>
                <w:lang w:val="sr-Latn-BA" w:eastAsia="sr-Latn-BA"/>
              </w:rPr>
              <w:tab/>
            </w:r>
            <w:r w:rsidRPr="00777200">
              <w:rPr>
                <w:rStyle w:val="Hyperlink"/>
                <w:rFonts w:cs="Times New Roman"/>
                <w:b/>
                <w:bCs/>
                <w:color w:val="auto"/>
                <w:lang w:val="it-IT"/>
              </w:rPr>
              <w:t>TRANSAKCIJE SA POVEZANIM LICIMA</w:t>
            </w:r>
            <w:r w:rsidRPr="00777200">
              <w:rPr>
                <w:webHidden/>
                <w:lang w:val="it-IT"/>
              </w:rPr>
              <w:tab/>
            </w:r>
          </w:hyperlink>
          <w:r w:rsidR="005D0BD5" w:rsidRPr="00777200">
            <w:rPr>
              <w:lang w:val="it-IT"/>
            </w:rPr>
            <w:t>2</w:t>
          </w:r>
          <w:r w:rsidR="004B3634">
            <w:rPr>
              <w:lang w:val="it-IT"/>
            </w:rPr>
            <w:t>5</w:t>
          </w:r>
        </w:p>
        <w:p w14:paraId="775D4F52" w14:textId="78F577B4" w:rsidR="00F836D7" w:rsidRPr="00777200" w:rsidRDefault="00F836D7" w:rsidP="00F836D7">
          <w:pPr>
            <w:tabs>
              <w:tab w:val="left" w:pos="540"/>
            </w:tabs>
            <w:rPr>
              <w:lang w:val="it-IT"/>
            </w:rPr>
          </w:pPr>
          <w:r w:rsidRPr="00777200">
            <w:rPr>
              <w:b/>
              <w:bCs/>
              <w:lang w:val="it-IT"/>
            </w:rPr>
            <w:t>12.   EKSRERNALIZOVANE AKTIVNOSTI</w:t>
          </w:r>
          <w:r w:rsidRPr="00777200">
            <w:rPr>
              <w:lang w:val="it-IT"/>
            </w:rPr>
            <w:t>…………………………………………………….  25</w:t>
          </w:r>
        </w:p>
        <w:p w14:paraId="6E5C4A31" w14:textId="77777777" w:rsidR="00F836D7" w:rsidRPr="00777200" w:rsidRDefault="00F836D7" w:rsidP="00F836D7">
          <w:pPr>
            <w:tabs>
              <w:tab w:val="left" w:pos="540"/>
            </w:tabs>
            <w:rPr>
              <w:b/>
              <w:bCs/>
              <w:lang w:val="it-IT"/>
            </w:rPr>
          </w:pPr>
          <w:r w:rsidRPr="00777200">
            <w:rPr>
              <w:b/>
              <w:bCs/>
              <w:lang w:val="it-IT"/>
            </w:rPr>
            <w:t xml:space="preserve">13.   SPREČAVANJE PRANJA NOVCA (SPN) I FINANSIRANJE TERORISTIČKIH  </w:t>
          </w:r>
        </w:p>
        <w:p w14:paraId="360503CD" w14:textId="77777777" w:rsidR="00F836D7" w:rsidRDefault="00F836D7" w:rsidP="00F836D7">
          <w:pPr>
            <w:tabs>
              <w:tab w:val="left" w:pos="540"/>
            </w:tabs>
          </w:pPr>
          <w:r w:rsidRPr="00777200">
            <w:rPr>
              <w:b/>
              <w:bCs/>
              <w:lang w:val="it-IT"/>
            </w:rPr>
            <w:t xml:space="preserve">        </w:t>
          </w:r>
          <w:r>
            <w:rPr>
              <w:b/>
              <w:bCs/>
            </w:rPr>
            <w:t xml:space="preserve">AKTIVNOSTI (FTA) </w:t>
          </w:r>
          <w:r>
            <w:t>…………………………………………………………………………. 25</w:t>
          </w:r>
        </w:p>
        <w:p w14:paraId="1796E8A3" w14:textId="3F808043" w:rsidR="00F836D7" w:rsidRPr="00F836D7" w:rsidRDefault="00F836D7" w:rsidP="00F836D7">
          <w:pPr>
            <w:tabs>
              <w:tab w:val="left" w:pos="540"/>
            </w:tabs>
            <w:rPr>
              <w:b/>
              <w:bCs/>
            </w:rPr>
          </w:pPr>
          <w:r>
            <w:rPr>
              <w:b/>
              <w:bCs/>
            </w:rPr>
            <w:t xml:space="preserve">         </w:t>
          </w:r>
        </w:p>
        <w:p w14:paraId="4C56A0DF" w14:textId="531C2493" w:rsidR="007755F9" w:rsidRPr="00425127" w:rsidRDefault="007755F9" w:rsidP="0094222C">
          <w:pPr>
            <w:ind w:right="-284"/>
            <w:rPr>
              <w:rFonts w:ascii="Verdana" w:hAnsi="Verdana"/>
              <w:sz w:val="20"/>
              <w:szCs w:val="20"/>
            </w:rPr>
          </w:pPr>
          <w:r w:rsidRPr="00425127">
            <w:rPr>
              <w:rFonts w:ascii="Verdana" w:hAnsi="Verdana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0C32CF33" w14:textId="567B72C4" w:rsidR="009129A8" w:rsidRDefault="009129A8" w:rsidP="0005629A">
      <w:pPr>
        <w:pStyle w:val="Heading1"/>
        <w:numPr>
          <w:ilvl w:val="0"/>
          <w:numId w:val="0"/>
        </w:numPr>
        <w:spacing w:line="240" w:lineRule="auto"/>
        <w:ind w:left="360"/>
        <w:rPr>
          <w:rFonts w:ascii="Verdana" w:hAnsi="Verdana"/>
          <w:color w:val="auto"/>
          <w:sz w:val="22"/>
          <w:szCs w:val="22"/>
        </w:rPr>
      </w:pPr>
    </w:p>
    <w:p w14:paraId="581995D6" w14:textId="668F6062" w:rsidR="0005629A" w:rsidRPr="00D77A4C" w:rsidRDefault="0005629A" w:rsidP="0005629A">
      <w:pPr>
        <w:rPr>
          <w:rFonts w:ascii="Verdana" w:hAnsi="Verdana"/>
          <w:b/>
          <w:bCs/>
          <w:lang w:val="it-IT"/>
        </w:rPr>
      </w:pPr>
      <w:r w:rsidRPr="00D77A4C">
        <w:rPr>
          <w:rFonts w:ascii="Verdana" w:hAnsi="Verdana"/>
          <w:b/>
          <w:bCs/>
          <w:lang w:val="it-IT"/>
        </w:rPr>
        <w:t>1. UVOD</w:t>
      </w:r>
    </w:p>
    <w:p w14:paraId="7DD6C6EE" w14:textId="77777777" w:rsidR="009129A8" w:rsidRPr="00D77A4C" w:rsidRDefault="009129A8" w:rsidP="009129A8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339A9987" w14:textId="77777777" w:rsidR="009129A8" w:rsidRPr="00A672D4" w:rsidRDefault="009129A8" w:rsidP="009129A8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BA"/>
        </w:rPr>
      </w:pPr>
      <w:r w:rsidRPr="00A672D4">
        <w:rPr>
          <w:rFonts w:ascii="Verdana" w:hAnsi="Verdana" w:cstheme="minorHAnsi"/>
          <w:sz w:val="20"/>
          <w:szCs w:val="20"/>
          <w:lang w:val="sr-Latn-BA"/>
        </w:rPr>
        <w:t xml:space="preserve">U skladu sa članom 25. Zakona o računovodstvu i reviziji Republike Srpske (Službeni glasnik Republike Srpske, broj 94/15) i  Zakona o MKO  (Službeni glasnik Republike Srpske, broj 64/06 i 114/11) sačinjen je izvještaj o poslovanju MKD ,,Privrednik'' d.o.o. Bijeljina </w:t>
      </w:r>
      <w:r w:rsidRPr="00A672D4">
        <w:rPr>
          <w:rFonts w:ascii="Verdana" w:hAnsi="Verdana" w:cstheme="minorHAnsi"/>
          <w:sz w:val="20"/>
          <w:szCs w:val="20"/>
          <w:lang w:val="es-AR"/>
        </w:rPr>
        <w:t xml:space="preserve">(u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daljem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tekstu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: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Društvo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>)</w:t>
      </w:r>
      <w:r w:rsidRPr="00A672D4">
        <w:rPr>
          <w:rFonts w:ascii="Verdana" w:hAnsi="Verdana" w:cstheme="minorHAnsi"/>
          <w:sz w:val="20"/>
          <w:szCs w:val="20"/>
          <w:lang w:val="sr-Latn-BA"/>
        </w:rPr>
        <w:t>.</w:t>
      </w:r>
    </w:p>
    <w:p w14:paraId="4D00920E" w14:textId="77777777" w:rsidR="009129A8" w:rsidRPr="00D77A4C" w:rsidRDefault="009129A8" w:rsidP="009129A8">
      <w:pPr>
        <w:spacing w:after="0" w:line="240" w:lineRule="auto"/>
        <w:jc w:val="both"/>
        <w:rPr>
          <w:rFonts w:ascii="Verdana" w:hAnsi="Verdana"/>
          <w:sz w:val="20"/>
          <w:szCs w:val="20"/>
          <w:lang w:val="sr-Latn-BA"/>
        </w:rPr>
      </w:pPr>
    </w:p>
    <w:p w14:paraId="29EFFDE7" w14:textId="136E9C49" w:rsidR="009129A8" w:rsidRDefault="0005629A" w:rsidP="0005629A">
      <w:pPr>
        <w:pStyle w:val="Heading1"/>
        <w:numPr>
          <w:ilvl w:val="0"/>
          <w:numId w:val="0"/>
        </w:numPr>
        <w:spacing w:line="240" w:lineRule="auto"/>
        <w:rPr>
          <w:rFonts w:ascii="Verdana" w:hAnsi="Verdana"/>
          <w:color w:val="auto"/>
          <w:sz w:val="22"/>
          <w:szCs w:val="22"/>
        </w:rPr>
      </w:pPr>
      <w:bookmarkStart w:id="0" w:name="_Toc72918230"/>
      <w:r>
        <w:rPr>
          <w:rFonts w:ascii="Verdana" w:hAnsi="Verdana"/>
          <w:color w:val="auto"/>
          <w:sz w:val="22"/>
          <w:szCs w:val="22"/>
        </w:rPr>
        <w:t xml:space="preserve">2. </w:t>
      </w:r>
      <w:r w:rsidR="009129A8" w:rsidRPr="00F35299">
        <w:rPr>
          <w:rFonts w:ascii="Verdana" w:hAnsi="Verdana"/>
          <w:color w:val="auto"/>
          <w:sz w:val="22"/>
          <w:szCs w:val="22"/>
        </w:rPr>
        <w:t>OPŠTE INFORMACIJE O DRUŠTVU</w:t>
      </w:r>
      <w:bookmarkEnd w:id="0"/>
    </w:p>
    <w:p w14:paraId="76EC4016" w14:textId="77777777" w:rsidR="009129A8" w:rsidRPr="00F35299" w:rsidRDefault="009129A8" w:rsidP="009129A8"/>
    <w:p w14:paraId="60637C88" w14:textId="77777777" w:rsidR="009129A8" w:rsidRPr="00A672D4" w:rsidRDefault="009129A8" w:rsidP="009129A8">
      <w:pPr>
        <w:pStyle w:val="Heading1"/>
        <w:numPr>
          <w:ilvl w:val="1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bookmarkStart w:id="1" w:name="_Toc72918231"/>
      <w:proofErr w:type="spellStart"/>
      <w:r w:rsidRPr="00A672D4">
        <w:rPr>
          <w:rFonts w:ascii="Verdana" w:hAnsi="Verdana"/>
          <w:color w:val="auto"/>
          <w:sz w:val="20"/>
          <w:szCs w:val="20"/>
        </w:rPr>
        <w:t>Osnivanje</w:t>
      </w:r>
      <w:proofErr w:type="spellEnd"/>
      <w:r w:rsidRPr="00A672D4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/>
          <w:color w:val="auto"/>
          <w:sz w:val="20"/>
          <w:szCs w:val="20"/>
        </w:rPr>
        <w:t>i</w:t>
      </w:r>
      <w:proofErr w:type="spellEnd"/>
      <w:r w:rsidRPr="00A672D4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/>
          <w:color w:val="auto"/>
          <w:sz w:val="20"/>
          <w:szCs w:val="20"/>
        </w:rPr>
        <w:t>razvoj</w:t>
      </w:r>
      <w:bookmarkEnd w:id="1"/>
      <w:proofErr w:type="spellEnd"/>
    </w:p>
    <w:p w14:paraId="63AD6703" w14:textId="77777777" w:rsidR="009129A8" w:rsidRPr="00A672D4" w:rsidRDefault="009129A8" w:rsidP="009129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E55D6BA" w14:textId="77777777" w:rsidR="009129A8" w:rsidRPr="00A672D4" w:rsidRDefault="009129A8" w:rsidP="009129A8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Društvo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je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počelo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radom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2017.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godine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,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na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osnovu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dobijene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saglasnosti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za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rad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strane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Agencije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za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bankarstvo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Republike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Srpske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.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Društvo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je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osnovano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pravnom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obliku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privrednog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društva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kapitala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ograničenom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odgovornošću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.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Svrha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osnivanja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Društva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je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obavljanje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poslova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odobravanja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mikrokredita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kao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osnovne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djelatnosti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i u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manjem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obimu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drugih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poslova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predviđenih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Zakonom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o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mikrokreditnim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theme="minorHAnsi"/>
          <w:sz w:val="20"/>
          <w:szCs w:val="20"/>
          <w:lang w:val="es-AR"/>
        </w:rPr>
        <w:t>organizacijama</w:t>
      </w:r>
      <w:proofErr w:type="spellEnd"/>
      <w:r w:rsidRPr="00A672D4">
        <w:rPr>
          <w:rFonts w:ascii="Verdana" w:hAnsi="Verdana" w:cstheme="minorHAnsi"/>
          <w:sz w:val="20"/>
          <w:szCs w:val="20"/>
          <w:lang w:val="es-AR"/>
        </w:rPr>
        <w:t xml:space="preserve">. </w:t>
      </w:r>
    </w:p>
    <w:p w14:paraId="0E1B61FC" w14:textId="77777777" w:rsidR="009129A8" w:rsidRPr="00A672D4" w:rsidRDefault="009129A8" w:rsidP="009129A8">
      <w:pPr>
        <w:pStyle w:val="Heading1"/>
        <w:numPr>
          <w:ilvl w:val="1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bookmarkStart w:id="2" w:name="_Toc72918232"/>
      <w:proofErr w:type="spellStart"/>
      <w:r w:rsidRPr="00A672D4">
        <w:rPr>
          <w:rFonts w:ascii="Verdana" w:hAnsi="Verdana"/>
          <w:color w:val="auto"/>
          <w:sz w:val="20"/>
          <w:szCs w:val="20"/>
        </w:rPr>
        <w:t>Osnovni</w:t>
      </w:r>
      <w:proofErr w:type="spellEnd"/>
      <w:r w:rsidRPr="00A672D4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/>
          <w:color w:val="auto"/>
          <w:sz w:val="20"/>
          <w:szCs w:val="20"/>
        </w:rPr>
        <w:t>podaci</w:t>
      </w:r>
      <w:bookmarkEnd w:id="2"/>
      <w:proofErr w:type="spellEnd"/>
    </w:p>
    <w:p w14:paraId="4B8AADCE" w14:textId="77777777" w:rsidR="009129A8" w:rsidRPr="00A672D4" w:rsidRDefault="009129A8" w:rsidP="009129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23A8696" w14:textId="77777777" w:rsidR="009129A8" w:rsidRDefault="009129A8" w:rsidP="009129A8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777200">
        <w:rPr>
          <w:rFonts w:ascii="Verdana" w:hAnsi="Verdana"/>
          <w:sz w:val="20"/>
          <w:szCs w:val="20"/>
          <w:lang w:val="it-IT"/>
        </w:rPr>
        <w:t>U narednoj tabeli dati su osnovni podaci o Društvu.</w:t>
      </w:r>
    </w:p>
    <w:p w14:paraId="7681336A" w14:textId="77777777" w:rsidR="00F508F1" w:rsidRPr="00777200" w:rsidRDefault="00F508F1" w:rsidP="009129A8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64BE3D1D" w14:textId="756192A0" w:rsidR="00597309" w:rsidRPr="00425127" w:rsidRDefault="00A64A19" w:rsidP="002C15D3">
      <w:pPr>
        <w:spacing w:after="0" w:line="240" w:lineRule="auto"/>
        <w:rPr>
          <w:rFonts w:ascii="Verdana" w:hAnsi="Verdana"/>
          <w:sz w:val="20"/>
          <w:szCs w:val="20"/>
        </w:rPr>
      </w:pPr>
      <w:r w:rsidRPr="00425127">
        <w:rPr>
          <w:rFonts w:ascii="Verdana" w:hAnsi="Verdana"/>
          <w:noProof/>
          <w:sz w:val="20"/>
          <w:szCs w:val="20"/>
        </w:rPr>
        <w:drawing>
          <wp:inline distT="0" distB="0" distL="0" distR="0" wp14:anchorId="4E1B4653" wp14:editId="4EB88BB8">
            <wp:extent cx="5760720" cy="234922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5D882" w14:textId="77777777" w:rsidR="002C15D3" w:rsidRPr="00425127" w:rsidRDefault="002C15D3" w:rsidP="002C15D3">
      <w:pPr>
        <w:pStyle w:val="Heading1"/>
        <w:numPr>
          <w:ilvl w:val="0"/>
          <w:numId w:val="0"/>
        </w:numPr>
        <w:spacing w:before="0" w:line="240" w:lineRule="auto"/>
        <w:ind w:left="360"/>
        <w:rPr>
          <w:rFonts w:ascii="Verdana" w:hAnsi="Verdana"/>
          <w:color w:val="auto"/>
          <w:sz w:val="20"/>
          <w:szCs w:val="20"/>
        </w:rPr>
      </w:pPr>
      <w:bookmarkStart w:id="3" w:name="_Toc72918233"/>
    </w:p>
    <w:p w14:paraId="3D8D1477" w14:textId="543312A3" w:rsidR="00651061" w:rsidRPr="00425127" w:rsidRDefault="00651061" w:rsidP="002C15D3">
      <w:pPr>
        <w:pStyle w:val="Heading1"/>
        <w:numPr>
          <w:ilvl w:val="1"/>
          <w:numId w:val="1"/>
        </w:numPr>
        <w:spacing w:before="0"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25127">
        <w:rPr>
          <w:rFonts w:ascii="Verdana" w:hAnsi="Verdana"/>
          <w:color w:val="auto"/>
          <w:sz w:val="20"/>
          <w:szCs w:val="20"/>
        </w:rPr>
        <w:t>Organi</w:t>
      </w:r>
      <w:proofErr w:type="spellEnd"/>
      <w:r w:rsidRPr="00425127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/>
          <w:color w:val="auto"/>
          <w:sz w:val="20"/>
          <w:szCs w:val="20"/>
        </w:rPr>
        <w:t>upravljanja</w:t>
      </w:r>
      <w:bookmarkEnd w:id="3"/>
      <w:proofErr w:type="spellEnd"/>
    </w:p>
    <w:p w14:paraId="368E9682" w14:textId="77777777" w:rsidR="00945035" w:rsidRPr="00425127" w:rsidRDefault="00945035" w:rsidP="002C15D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315BA25" w14:textId="121479BA" w:rsidR="00651061" w:rsidRPr="00425127" w:rsidRDefault="00651061" w:rsidP="002C15D3">
      <w:pPr>
        <w:spacing w:after="0" w:line="240" w:lineRule="auto"/>
        <w:rPr>
          <w:rFonts w:ascii="Verdana" w:hAnsi="Verdana" w:cs="Arial"/>
          <w:sz w:val="20"/>
          <w:szCs w:val="20"/>
        </w:rPr>
      </w:pPr>
      <w:proofErr w:type="spellStart"/>
      <w:r w:rsidRPr="00425127">
        <w:rPr>
          <w:rFonts w:ascii="Verdana" w:hAnsi="Verdana" w:cs="Arial"/>
          <w:sz w:val="20"/>
          <w:szCs w:val="20"/>
        </w:rPr>
        <w:t>Organi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upravljanja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su</w:t>
      </w:r>
      <w:proofErr w:type="spellEnd"/>
      <w:r w:rsidRPr="00425127">
        <w:rPr>
          <w:rFonts w:ascii="Verdana" w:hAnsi="Verdana" w:cs="Arial"/>
          <w:sz w:val="20"/>
          <w:szCs w:val="20"/>
        </w:rPr>
        <w:t>:</w:t>
      </w:r>
    </w:p>
    <w:p w14:paraId="361FE7D1" w14:textId="77777777" w:rsidR="002C15D3" w:rsidRPr="00425127" w:rsidRDefault="002C15D3" w:rsidP="002C15D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4F5E419" w14:textId="77777777" w:rsidR="00651061" w:rsidRPr="00425127" w:rsidRDefault="00651061" w:rsidP="00AD0F65">
      <w:pPr>
        <w:pStyle w:val="ListParagraph"/>
        <w:numPr>
          <w:ilvl w:val="0"/>
          <w:numId w:val="7"/>
        </w:numPr>
        <w:spacing w:after="0"/>
        <w:ind w:left="36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Skupština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>,</w:t>
      </w:r>
    </w:p>
    <w:p w14:paraId="783C8186" w14:textId="77777777" w:rsidR="00651061" w:rsidRPr="00425127" w:rsidRDefault="00651061" w:rsidP="00AD0F65">
      <w:pPr>
        <w:pStyle w:val="ListParagraph"/>
        <w:numPr>
          <w:ilvl w:val="0"/>
          <w:numId w:val="7"/>
        </w:numPr>
        <w:spacing w:after="0"/>
        <w:ind w:left="36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Upravni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odbor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>,</w:t>
      </w:r>
    </w:p>
    <w:p w14:paraId="4441E7D7" w14:textId="7A4C2613" w:rsidR="00651061" w:rsidRPr="00425127" w:rsidRDefault="00651061" w:rsidP="00AD0F65">
      <w:pPr>
        <w:pStyle w:val="ListParagraph"/>
        <w:numPr>
          <w:ilvl w:val="0"/>
          <w:numId w:val="7"/>
        </w:numPr>
        <w:spacing w:after="0"/>
        <w:ind w:left="36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Odbor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reviziju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</w:p>
    <w:p w14:paraId="195AED49" w14:textId="3C29EEC8" w:rsidR="00651061" w:rsidRPr="00425127" w:rsidRDefault="00651061" w:rsidP="00AD0F65">
      <w:pPr>
        <w:pStyle w:val="ListParagraph"/>
        <w:numPr>
          <w:ilvl w:val="0"/>
          <w:numId w:val="7"/>
        </w:numPr>
        <w:spacing w:after="0"/>
        <w:ind w:left="36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Direktor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>.</w:t>
      </w:r>
    </w:p>
    <w:p w14:paraId="010D08AF" w14:textId="77777777" w:rsidR="002C15D3" w:rsidRPr="00425127" w:rsidRDefault="002C15D3" w:rsidP="002C15D3">
      <w:pPr>
        <w:spacing w:after="0"/>
        <w:rPr>
          <w:rFonts w:ascii="Verdana" w:hAnsi="Verdana" w:cs="Arial"/>
          <w:sz w:val="20"/>
          <w:szCs w:val="20"/>
          <w:lang w:val="es-AR"/>
        </w:rPr>
      </w:pPr>
    </w:p>
    <w:p w14:paraId="16937840" w14:textId="0D88F426" w:rsidR="00651061" w:rsidRDefault="00651061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Vlasnička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struktura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31.12.202</w:t>
      </w:r>
      <w:r w:rsidR="00560371">
        <w:rPr>
          <w:rFonts w:ascii="Verdana" w:hAnsi="Verdana" w:cs="Arial"/>
          <w:sz w:val="20"/>
          <w:szCs w:val="20"/>
          <w:lang w:val="es-AR"/>
        </w:rPr>
        <w:t>4</w:t>
      </w:r>
      <w:r w:rsidRPr="00425127">
        <w:rPr>
          <w:rFonts w:ascii="Verdana" w:hAnsi="Verdana" w:cs="Arial"/>
          <w:sz w:val="20"/>
          <w:szCs w:val="20"/>
          <w:lang w:val="es-AR"/>
        </w:rPr>
        <w:t xml:space="preserve">.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godine</w:t>
      </w:r>
      <w:proofErr w:type="spellEnd"/>
      <w:r w:rsidR="009129A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>
        <w:rPr>
          <w:rFonts w:ascii="Verdana" w:hAnsi="Verdana" w:cs="Arial"/>
          <w:sz w:val="20"/>
          <w:szCs w:val="20"/>
          <w:lang w:val="es-AR"/>
        </w:rPr>
        <w:t>prikazana</w:t>
      </w:r>
      <w:proofErr w:type="spellEnd"/>
      <w:r w:rsidR="009129A8">
        <w:rPr>
          <w:rFonts w:ascii="Verdana" w:hAnsi="Verdana" w:cs="Arial"/>
          <w:sz w:val="20"/>
          <w:szCs w:val="20"/>
          <w:lang w:val="es-AR"/>
        </w:rPr>
        <w:t xml:space="preserve"> je u </w:t>
      </w:r>
      <w:proofErr w:type="spellStart"/>
      <w:r w:rsidR="009129A8">
        <w:rPr>
          <w:rFonts w:ascii="Verdana" w:hAnsi="Verdana" w:cs="Arial"/>
          <w:sz w:val="20"/>
          <w:szCs w:val="20"/>
          <w:lang w:val="es-AR"/>
        </w:rPr>
        <w:t>narednoj</w:t>
      </w:r>
      <w:proofErr w:type="spellEnd"/>
      <w:r w:rsidR="009129A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>
        <w:rPr>
          <w:rFonts w:ascii="Verdana" w:hAnsi="Verdana" w:cs="Arial"/>
          <w:sz w:val="20"/>
          <w:szCs w:val="20"/>
          <w:lang w:val="es-AR"/>
        </w:rPr>
        <w:t>tabeli</w:t>
      </w:r>
      <w:proofErr w:type="spellEnd"/>
      <w:r w:rsidR="009129A8">
        <w:rPr>
          <w:rFonts w:ascii="Verdana" w:hAnsi="Verdana" w:cs="Arial"/>
          <w:sz w:val="20"/>
          <w:szCs w:val="20"/>
          <w:lang w:val="es-AR"/>
        </w:rPr>
        <w:t>:</w:t>
      </w:r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</w:p>
    <w:p w14:paraId="67993B39" w14:textId="77777777" w:rsidR="000D31F7" w:rsidRDefault="000D31F7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790B7976" w14:textId="77777777" w:rsidR="000D31F7" w:rsidRDefault="000D31F7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71B8C79D" w14:textId="77777777" w:rsidR="000D31F7" w:rsidRDefault="000D31F7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12333699" w14:textId="77777777" w:rsidR="000D31F7" w:rsidRDefault="000D31F7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267AF749" w14:textId="77777777" w:rsidR="000D31F7" w:rsidRDefault="000D31F7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3D130C1C" w14:textId="77777777" w:rsidR="000D31F7" w:rsidRDefault="000D31F7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70C5A206" w14:textId="77777777" w:rsidR="000D31F7" w:rsidRDefault="000D31F7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4EBAB345" w14:textId="77777777" w:rsidR="000D31F7" w:rsidRDefault="000D31F7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495AFFFC" w14:textId="75CC4085" w:rsidR="000D31F7" w:rsidRDefault="000D31F7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  <w:r w:rsidRPr="000D31F7">
        <w:rPr>
          <w:noProof/>
        </w:rPr>
        <w:drawing>
          <wp:inline distT="0" distB="0" distL="0" distR="0" wp14:anchorId="65AC5368" wp14:editId="1274AD83">
            <wp:extent cx="5760720" cy="1474470"/>
            <wp:effectExtent l="0" t="0" r="0" b="0"/>
            <wp:docPr id="1885401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1E4DD" w14:textId="77777777" w:rsidR="00D16A9E" w:rsidRDefault="00D16A9E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5AF2D42B" w14:textId="462DAD0A" w:rsidR="00651061" w:rsidRPr="00425127" w:rsidRDefault="00651061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Članovi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upravnog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odbora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: </w:t>
      </w:r>
    </w:p>
    <w:p w14:paraId="5703E3C6" w14:textId="77777777" w:rsidR="00D9528A" w:rsidRPr="00425127" w:rsidRDefault="00D9528A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30C2492B" w14:textId="607CF110" w:rsidR="00651061" w:rsidRPr="00425127" w:rsidRDefault="00651061" w:rsidP="00AD0F65">
      <w:pPr>
        <w:pStyle w:val="ListParagraph"/>
        <w:numPr>
          <w:ilvl w:val="0"/>
          <w:numId w:val="8"/>
        </w:numPr>
        <w:spacing w:after="0"/>
        <w:ind w:left="36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Tanja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Mihajlović</w:t>
      </w:r>
      <w:proofErr w:type="spellEnd"/>
      <w:r w:rsidR="009129A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>
        <w:rPr>
          <w:rFonts w:ascii="Verdana" w:hAnsi="Verdana" w:cs="Arial"/>
          <w:sz w:val="20"/>
          <w:szCs w:val="20"/>
          <w:lang w:val="es-AR"/>
        </w:rPr>
        <w:t>Sekulić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predsjednik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>,</w:t>
      </w:r>
    </w:p>
    <w:p w14:paraId="287DBE67" w14:textId="77777777" w:rsidR="00651061" w:rsidRPr="00425127" w:rsidRDefault="00651061" w:rsidP="00AD0F65">
      <w:pPr>
        <w:pStyle w:val="ListParagraph"/>
        <w:numPr>
          <w:ilvl w:val="0"/>
          <w:numId w:val="8"/>
        </w:numPr>
        <w:spacing w:after="0"/>
        <w:ind w:left="36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Đorđe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Slavinjak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član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>,</w:t>
      </w:r>
    </w:p>
    <w:p w14:paraId="7AFE4FB4" w14:textId="1C46DD68" w:rsidR="00651061" w:rsidRPr="00425127" w:rsidRDefault="00651061" w:rsidP="00AD0F65">
      <w:pPr>
        <w:pStyle w:val="ListParagraph"/>
        <w:numPr>
          <w:ilvl w:val="0"/>
          <w:numId w:val="8"/>
        </w:numPr>
        <w:spacing w:after="0"/>
        <w:ind w:left="360"/>
        <w:rPr>
          <w:rFonts w:ascii="Verdana" w:hAnsi="Verdana" w:cs="Arial"/>
          <w:sz w:val="20"/>
          <w:szCs w:val="20"/>
          <w:lang w:val="es-AR"/>
        </w:rPr>
      </w:pPr>
      <w:r w:rsidRPr="00425127">
        <w:rPr>
          <w:rFonts w:ascii="Verdana" w:hAnsi="Verdana" w:cs="Arial"/>
          <w:sz w:val="20"/>
          <w:szCs w:val="20"/>
          <w:lang w:val="es-AR"/>
        </w:rPr>
        <w:t xml:space="preserve">Savo </w:t>
      </w:r>
      <w:proofErr w:type="spellStart"/>
      <w:r w:rsidR="003F0D93" w:rsidRPr="00425127">
        <w:rPr>
          <w:rFonts w:ascii="Verdana" w:hAnsi="Verdana" w:cs="Arial"/>
          <w:sz w:val="20"/>
          <w:szCs w:val="20"/>
          <w:lang w:val="es-AR"/>
        </w:rPr>
        <w:t>S</w:t>
      </w:r>
      <w:r w:rsidRPr="00425127">
        <w:rPr>
          <w:rFonts w:ascii="Verdana" w:hAnsi="Verdana" w:cs="Arial"/>
          <w:sz w:val="20"/>
          <w:szCs w:val="20"/>
          <w:lang w:val="es-AR"/>
        </w:rPr>
        <w:t>tevanović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član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. </w:t>
      </w:r>
    </w:p>
    <w:p w14:paraId="68EE407F" w14:textId="77777777" w:rsidR="00CB580D" w:rsidRPr="00425127" w:rsidRDefault="00CB580D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28C19D42" w14:textId="3DA9CBA3" w:rsidR="00D9528A" w:rsidRPr="00425127" w:rsidRDefault="00651061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Članovi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odbora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reviziju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: </w:t>
      </w:r>
    </w:p>
    <w:p w14:paraId="790C89F7" w14:textId="77777777" w:rsidR="00CF115F" w:rsidRPr="00425127" w:rsidRDefault="00CF115F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6A40391B" w14:textId="77777777" w:rsidR="00651061" w:rsidRPr="00425127" w:rsidRDefault="00651061" w:rsidP="00AD0F65">
      <w:pPr>
        <w:pStyle w:val="ListParagraph"/>
        <w:numPr>
          <w:ilvl w:val="0"/>
          <w:numId w:val="9"/>
        </w:numPr>
        <w:spacing w:after="0"/>
        <w:ind w:left="36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Borka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Stoparić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predsjednik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</w:p>
    <w:p w14:paraId="3CDB9DCC" w14:textId="099AC724" w:rsidR="00651061" w:rsidRPr="00425127" w:rsidRDefault="00651061" w:rsidP="00AD0F65">
      <w:pPr>
        <w:pStyle w:val="ListParagraph"/>
        <w:numPr>
          <w:ilvl w:val="0"/>
          <w:numId w:val="9"/>
        </w:numPr>
        <w:spacing w:after="0"/>
        <w:ind w:left="360"/>
        <w:rPr>
          <w:rFonts w:ascii="Verdana" w:hAnsi="Verdana" w:cs="Arial"/>
          <w:sz w:val="20"/>
          <w:szCs w:val="20"/>
          <w:lang w:val="es-AR"/>
        </w:rPr>
      </w:pPr>
      <w:r w:rsidRPr="00425127">
        <w:rPr>
          <w:rFonts w:ascii="Verdana" w:hAnsi="Verdana" w:cs="Arial"/>
          <w:sz w:val="20"/>
          <w:szCs w:val="20"/>
          <w:lang w:val="es-AR"/>
        </w:rPr>
        <w:t xml:space="preserve">Milena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Tomić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član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>,</w:t>
      </w:r>
    </w:p>
    <w:p w14:paraId="50415E8B" w14:textId="000074DB" w:rsidR="00651061" w:rsidRPr="00425127" w:rsidRDefault="000D31F7" w:rsidP="00AD0F65">
      <w:pPr>
        <w:pStyle w:val="ListParagraph"/>
        <w:numPr>
          <w:ilvl w:val="0"/>
          <w:numId w:val="9"/>
        </w:numPr>
        <w:spacing w:after="0"/>
        <w:ind w:left="360"/>
        <w:rPr>
          <w:rFonts w:ascii="Verdana" w:hAnsi="Verdana" w:cs="Arial"/>
          <w:sz w:val="20"/>
          <w:szCs w:val="20"/>
          <w:lang w:val="es-AR"/>
        </w:rPr>
      </w:pPr>
      <w:r>
        <w:rPr>
          <w:rFonts w:ascii="Verdana" w:hAnsi="Verdana" w:cs="Arial"/>
          <w:sz w:val="20"/>
          <w:szCs w:val="20"/>
          <w:lang w:val="es-AR"/>
        </w:rPr>
        <w:t xml:space="preserve">Gordana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Đukić</w:t>
      </w:r>
      <w:proofErr w:type="spellEnd"/>
      <w:r w:rsidR="00651061"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="00651061" w:rsidRPr="00425127">
        <w:rPr>
          <w:rFonts w:ascii="Verdana" w:hAnsi="Verdana" w:cs="Arial"/>
          <w:sz w:val="20"/>
          <w:szCs w:val="20"/>
          <w:lang w:val="es-AR"/>
        </w:rPr>
        <w:t>član</w:t>
      </w:r>
      <w:proofErr w:type="spellEnd"/>
      <w:r w:rsidR="00651061" w:rsidRPr="00425127">
        <w:rPr>
          <w:rFonts w:ascii="Verdana" w:hAnsi="Verdana" w:cs="Arial"/>
          <w:sz w:val="20"/>
          <w:szCs w:val="20"/>
          <w:lang w:val="es-AR"/>
        </w:rPr>
        <w:t>.</w:t>
      </w:r>
    </w:p>
    <w:p w14:paraId="76D4E69D" w14:textId="77777777" w:rsidR="00651061" w:rsidRPr="00425127" w:rsidRDefault="00651061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2BC858D1" w14:textId="5A762B31" w:rsidR="00651061" w:rsidRPr="00425127" w:rsidRDefault="00651061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Direktor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Društva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Davor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Pejić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>.</w:t>
      </w:r>
    </w:p>
    <w:p w14:paraId="436D6274" w14:textId="77777777" w:rsidR="002C15D3" w:rsidRDefault="002C15D3" w:rsidP="002C15D3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362985B5" w14:textId="77777777" w:rsidR="009129A8" w:rsidRPr="00F35299" w:rsidRDefault="009129A8" w:rsidP="009129A8">
      <w:pPr>
        <w:pStyle w:val="Heading1"/>
        <w:numPr>
          <w:ilvl w:val="1"/>
          <w:numId w:val="1"/>
        </w:numPr>
        <w:spacing w:before="0" w:line="240" w:lineRule="auto"/>
        <w:rPr>
          <w:rFonts w:ascii="Verdana" w:hAnsi="Verdana"/>
          <w:color w:val="auto"/>
          <w:sz w:val="20"/>
          <w:szCs w:val="20"/>
        </w:rPr>
      </w:pPr>
      <w:r w:rsidRPr="00F35299">
        <w:rPr>
          <w:rFonts w:ascii="Verdana" w:hAnsi="Verdana"/>
          <w:color w:val="auto"/>
          <w:sz w:val="20"/>
          <w:szCs w:val="20"/>
          <w:lang w:val="sr-Latn-RS"/>
        </w:rPr>
        <w:t>S</w:t>
      </w:r>
      <w:proofErr w:type="spellStart"/>
      <w:r w:rsidRPr="00F35299">
        <w:rPr>
          <w:rFonts w:ascii="Verdana" w:hAnsi="Verdana"/>
          <w:color w:val="auto"/>
          <w:sz w:val="20"/>
          <w:szCs w:val="20"/>
        </w:rPr>
        <w:t>truktura</w:t>
      </w:r>
      <w:proofErr w:type="spellEnd"/>
      <w:r w:rsidRPr="00F35299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F35299">
        <w:rPr>
          <w:rFonts w:ascii="Verdana" w:hAnsi="Verdana"/>
          <w:color w:val="auto"/>
          <w:sz w:val="20"/>
          <w:szCs w:val="20"/>
        </w:rPr>
        <w:t>zaposlenih</w:t>
      </w:r>
      <w:proofErr w:type="spellEnd"/>
      <w:r w:rsidRPr="00F35299">
        <w:rPr>
          <w:rFonts w:ascii="Verdana" w:hAnsi="Verdana"/>
          <w:color w:val="auto"/>
          <w:sz w:val="20"/>
          <w:szCs w:val="20"/>
          <w:lang w:val="sr-Cyrl-BA"/>
        </w:rPr>
        <w:t xml:space="preserve"> </w:t>
      </w:r>
      <w:r w:rsidRPr="00F35299">
        <w:rPr>
          <w:rFonts w:ascii="Verdana" w:hAnsi="Verdana"/>
          <w:color w:val="auto"/>
          <w:sz w:val="20"/>
          <w:szCs w:val="20"/>
          <w:lang w:val="sr-Latn-RS"/>
        </w:rPr>
        <w:t>i o</w:t>
      </w:r>
      <w:proofErr w:type="spellStart"/>
      <w:r w:rsidRPr="00F35299">
        <w:rPr>
          <w:rFonts w:ascii="Verdana" w:hAnsi="Verdana"/>
          <w:color w:val="auto"/>
          <w:sz w:val="20"/>
          <w:szCs w:val="20"/>
        </w:rPr>
        <w:t>rganizaciona</w:t>
      </w:r>
      <w:proofErr w:type="spellEnd"/>
      <w:r w:rsidRPr="00F35299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F35299">
        <w:rPr>
          <w:rFonts w:ascii="Verdana" w:hAnsi="Verdana"/>
          <w:color w:val="auto"/>
          <w:sz w:val="20"/>
          <w:szCs w:val="20"/>
        </w:rPr>
        <w:t>šema</w:t>
      </w:r>
      <w:proofErr w:type="spellEnd"/>
      <w:r w:rsidRPr="00F35299">
        <w:rPr>
          <w:rFonts w:ascii="Verdana" w:hAnsi="Verdana"/>
          <w:color w:val="auto"/>
          <w:sz w:val="20"/>
          <w:szCs w:val="20"/>
        </w:rPr>
        <w:t xml:space="preserve"> </w:t>
      </w:r>
    </w:p>
    <w:p w14:paraId="71FB365C" w14:textId="77777777" w:rsidR="009129A8" w:rsidRPr="00F35299" w:rsidRDefault="009129A8" w:rsidP="009129A8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4D615DCF" w14:textId="1C2AB92D" w:rsidR="009129A8" w:rsidRDefault="009129A8" w:rsidP="00560371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  <w:r w:rsidRPr="00F35299">
        <w:rPr>
          <w:rFonts w:cs="Arial"/>
          <w:sz w:val="20"/>
          <w:szCs w:val="20"/>
          <w:lang w:val="es-AR"/>
        </w:rPr>
        <w:t>→</w:t>
      </w:r>
      <w:r w:rsidRPr="00F35299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35299">
        <w:rPr>
          <w:rFonts w:ascii="Verdana" w:hAnsi="Verdana" w:cs="Arial"/>
          <w:sz w:val="20"/>
          <w:szCs w:val="20"/>
          <w:lang w:val="es-AR"/>
        </w:rPr>
        <w:t>Ukupan</w:t>
      </w:r>
      <w:proofErr w:type="spellEnd"/>
      <w:r w:rsidRPr="00F35299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35299">
        <w:rPr>
          <w:rFonts w:ascii="Verdana" w:hAnsi="Verdana" w:cs="Arial"/>
          <w:sz w:val="20"/>
          <w:szCs w:val="20"/>
          <w:lang w:val="es-AR"/>
        </w:rPr>
        <w:t>broj</w:t>
      </w:r>
      <w:proofErr w:type="spellEnd"/>
      <w:r w:rsidRPr="00F35299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35299">
        <w:rPr>
          <w:rFonts w:ascii="Verdana" w:hAnsi="Verdana" w:cs="Arial"/>
          <w:sz w:val="20"/>
          <w:szCs w:val="20"/>
          <w:lang w:val="es-AR"/>
        </w:rPr>
        <w:t>zaposlenih</w:t>
      </w:r>
      <w:proofErr w:type="spellEnd"/>
      <w:r w:rsidRPr="00F35299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F35299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F35299">
        <w:rPr>
          <w:rFonts w:ascii="Verdana" w:hAnsi="Verdana" w:cs="Arial"/>
          <w:sz w:val="20"/>
          <w:szCs w:val="20"/>
          <w:lang w:val="es-AR"/>
        </w:rPr>
        <w:t xml:space="preserve"> 31.12.202</w:t>
      </w:r>
      <w:r w:rsidR="00560371">
        <w:rPr>
          <w:rFonts w:ascii="Verdana" w:hAnsi="Verdana" w:cs="Arial"/>
          <w:sz w:val="20"/>
          <w:szCs w:val="20"/>
          <w:lang w:val="es-AR"/>
        </w:rPr>
        <w:t>4</w:t>
      </w:r>
      <w:r w:rsidRPr="00F35299">
        <w:rPr>
          <w:rFonts w:ascii="Verdana" w:hAnsi="Verdana" w:cs="Arial"/>
          <w:sz w:val="20"/>
          <w:szCs w:val="20"/>
          <w:lang w:val="es-AR"/>
        </w:rPr>
        <w:t xml:space="preserve">. </w:t>
      </w:r>
      <w:proofErr w:type="spellStart"/>
      <w:r w:rsidRPr="00F35299">
        <w:rPr>
          <w:rFonts w:ascii="Verdana" w:hAnsi="Verdana" w:cs="Arial"/>
          <w:sz w:val="20"/>
          <w:szCs w:val="20"/>
          <w:lang w:val="es-AR"/>
        </w:rPr>
        <w:t>godine</w:t>
      </w:r>
      <w:proofErr w:type="spellEnd"/>
      <w:r w:rsidRPr="00F35299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35299">
        <w:rPr>
          <w:rFonts w:ascii="Verdana" w:hAnsi="Verdana" w:cs="Arial"/>
          <w:sz w:val="20"/>
          <w:szCs w:val="20"/>
          <w:lang w:val="es-AR"/>
        </w:rPr>
        <w:t>čini</w:t>
      </w:r>
      <w:proofErr w:type="spellEnd"/>
      <w:r w:rsidRPr="00F35299">
        <w:rPr>
          <w:rFonts w:ascii="Verdana" w:hAnsi="Verdana" w:cs="Arial"/>
          <w:sz w:val="20"/>
          <w:szCs w:val="20"/>
          <w:lang w:val="es-AR"/>
        </w:rPr>
        <w:t xml:space="preserve"> </w:t>
      </w:r>
      <w:r w:rsidR="00560371">
        <w:rPr>
          <w:rFonts w:ascii="Verdana" w:hAnsi="Verdana" w:cs="Arial"/>
          <w:sz w:val="20"/>
          <w:szCs w:val="20"/>
          <w:lang w:val="es-AR"/>
        </w:rPr>
        <w:t>10</w:t>
      </w:r>
      <w:r w:rsidRPr="00F35299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35299">
        <w:rPr>
          <w:rFonts w:ascii="Verdana" w:hAnsi="Verdana" w:cs="Arial"/>
          <w:sz w:val="20"/>
          <w:szCs w:val="20"/>
          <w:lang w:val="es-AR"/>
        </w:rPr>
        <w:t>radnika</w:t>
      </w:r>
      <w:proofErr w:type="spellEnd"/>
      <w:r w:rsidRPr="00F35299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35299">
        <w:rPr>
          <w:rFonts w:ascii="Verdana" w:hAnsi="Verdana" w:cs="Arial"/>
          <w:sz w:val="20"/>
          <w:szCs w:val="20"/>
          <w:lang w:val="es-AR"/>
        </w:rPr>
        <w:t>sa</w:t>
      </w:r>
      <w:proofErr w:type="spellEnd"/>
      <w:r w:rsidRPr="00F35299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35299">
        <w:rPr>
          <w:rFonts w:ascii="Verdana" w:hAnsi="Verdana" w:cs="Arial"/>
          <w:sz w:val="20"/>
          <w:szCs w:val="20"/>
          <w:lang w:val="es-AR"/>
        </w:rPr>
        <w:t>sljedećom</w:t>
      </w:r>
      <w:proofErr w:type="spellEnd"/>
      <w:r w:rsidRPr="00F35299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35299">
        <w:rPr>
          <w:rFonts w:ascii="Verdana" w:hAnsi="Verdana" w:cs="Arial"/>
          <w:sz w:val="20"/>
          <w:szCs w:val="20"/>
          <w:lang w:val="es-AR"/>
        </w:rPr>
        <w:t>starosnom</w:t>
      </w:r>
      <w:proofErr w:type="spellEnd"/>
      <w:r w:rsidRPr="00F35299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35299">
        <w:rPr>
          <w:rFonts w:ascii="Verdana" w:hAnsi="Verdana" w:cs="Arial"/>
          <w:sz w:val="20"/>
          <w:szCs w:val="20"/>
          <w:lang w:val="es-AR"/>
        </w:rPr>
        <w:t>strukturom</w:t>
      </w:r>
      <w:proofErr w:type="spellEnd"/>
      <w:r w:rsidRPr="00F35299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F35299">
        <w:rPr>
          <w:rFonts w:ascii="Verdana" w:hAnsi="Verdana" w:cs="Arial"/>
          <w:sz w:val="20"/>
          <w:szCs w:val="20"/>
          <w:lang w:val="es-AR"/>
        </w:rPr>
        <w:t>školskom</w:t>
      </w:r>
      <w:proofErr w:type="spellEnd"/>
      <w:r w:rsidRPr="00F35299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35299">
        <w:rPr>
          <w:rFonts w:ascii="Verdana" w:hAnsi="Verdana" w:cs="Arial"/>
          <w:sz w:val="20"/>
          <w:szCs w:val="20"/>
          <w:lang w:val="es-AR"/>
        </w:rPr>
        <w:t>spremom</w:t>
      </w:r>
      <w:proofErr w:type="spellEnd"/>
      <w:r w:rsidRPr="00F35299">
        <w:rPr>
          <w:rFonts w:ascii="Verdana" w:hAnsi="Verdana" w:cs="Arial"/>
          <w:sz w:val="20"/>
          <w:szCs w:val="20"/>
          <w:lang w:val="es-AR"/>
        </w:rPr>
        <w:t>:</w:t>
      </w:r>
    </w:p>
    <w:p w14:paraId="183BF3DC" w14:textId="77777777" w:rsidR="00560371" w:rsidRDefault="00560371" w:rsidP="00560371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</w:p>
    <w:p w14:paraId="5CCF73B6" w14:textId="0CA133CF" w:rsidR="00560371" w:rsidRDefault="00560371" w:rsidP="009129A8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  <w:r w:rsidRPr="00560371">
        <w:rPr>
          <w:noProof/>
        </w:rPr>
        <w:drawing>
          <wp:inline distT="0" distB="0" distL="0" distR="0" wp14:anchorId="2E91818B" wp14:editId="710BAA33">
            <wp:extent cx="5760720" cy="1641475"/>
            <wp:effectExtent l="0" t="0" r="0" b="0"/>
            <wp:docPr id="2027273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C3E94" w14:textId="77777777" w:rsidR="000D31F7" w:rsidRDefault="000D31F7" w:rsidP="009129A8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023D859B" w14:textId="2A140BEA" w:rsidR="00D7568D" w:rsidRPr="00425127" w:rsidRDefault="0028426D" w:rsidP="0065756D">
      <w:pPr>
        <w:spacing w:after="0"/>
        <w:rPr>
          <w:rFonts w:ascii="Verdana" w:hAnsi="Verdana" w:cs="Arial"/>
          <w:sz w:val="20"/>
          <w:szCs w:val="20"/>
          <w:lang w:val="es-AR"/>
        </w:rPr>
      </w:pPr>
      <w:r w:rsidRPr="00425127">
        <w:rPr>
          <w:rFonts w:cs="Arial"/>
          <w:sz w:val="20"/>
          <w:szCs w:val="20"/>
          <w:lang w:val="es-AR"/>
        </w:rPr>
        <w:t>→</w:t>
      </w:r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Zaposleni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popunjavaju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radna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mjesta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736465" w:rsidRPr="00425127">
        <w:rPr>
          <w:rFonts w:ascii="Verdana" w:hAnsi="Verdana" w:cs="Arial"/>
          <w:sz w:val="20"/>
          <w:szCs w:val="20"/>
          <w:lang w:val="es-AR"/>
        </w:rPr>
        <w:t>sadržana</w:t>
      </w:r>
      <w:proofErr w:type="spellEnd"/>
      <w:r w:rsidR="00736465" w:rsidRPr="00425127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sljedećo</w:t>
      </w:r>
      <w:r w:rsidR="00736465" w:rsidRPr="00425127">
        <w:rPr>
          <w:rFonts w:ascii="Verdana" w:hAnsi="Verdana" w:cs="Arial"/>
          <w:sz w:val="20"/>
          <w:szCs w:val="20"/>
          <w:lang w:val="es-AR"/>
        </w:rPr>
        <w:t>j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organizaciono</w:t>
      </w:r>
      <w:r w:rsidR="00736465" w:rsidRPr="00425127">
        <w:rPr>
          <w:rFonts w:ascii="Verdana" w:hAnsi="Verdana" w:cs="Arial"/>
          <w:sz w:val="20"/>
          <w:szCs w:val="20"/>
          <w:lang w:val="es-AR"/>
        </w:rPr>
        <w:t>j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šem</w:t>
      </w:r>
      <w:r w:rsidR="00736465" w:rsidRPr="00425127">
        <w:rPr>
          <w:rFonts w:ascii="Verdana" w:hAnsi="Verdana" w:cs="Arial"/>
          <w:sz w:val="20"/>
          <w:szCs w:val="20"/>
          <w:lang w:val="es-AR"/>
        </w:rPr>
        <w:t>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>:</w:t>
      </w:r>
    </w:p>
    <w:p w14:paraId="11704FF3" w14:textId="77777777" w:rsidR="003F7BF3" w:rsidRPr="00425127" w:rsidRDefault="003F7BF3" w:rsidP="0065756D">
      <w:pPr>
        <w:spacing w:after="0"/>
        <w:rPr>
          <w:rFonts w:ascii="Verdana" w:hAnsi="Verdana" w:cs="Arial"/>
          <w:sz w:val="20"/>
          <w:szCs w:val="20"/>
          <w:lang w:val="es-AR"/>
        </w:rPr>
      </w:pPr>
    </w:p>
    <w:p w14:paraId="734D2338" w14:textId="77777777" w:rsidR="00CB2CEC" w:rsidRPr="00425127" w:rsidRDefault="00CB2CEC" w:rsidP="0065756D">
      <w:pPr>
        <w:spacing w:after="0"/>
        <w:rPr>
          <w:rFonts w:ascii="Verdana" w:hAnsi="Verdana" w:cs="Arial"/>
          <w:sz w:val="20"/>
          <w:szCs w:val="20"/>
          <w:lang w:val="es-AR"/>
        </w:rPr>
      </w:pPr>
    </w:p>
    <w:p w14:paraId="714D1BEB" w14:textId="5AEA83A5" w:rsidR="00CB2CEC" w:rsidRDefault="003B0990" w:rsidP="0065756D">
      <w:pPr>
        <w:spacing w:after="0"/>
        <w:rPr>
          <w:rFonts w:ascii="Verdana" w:hAnsi="Verdana" w:cs="Arial"/>
          <w:sz w:val="20"/>
          <w:szCs w:val="20"/>
          <w:lang w:val="es-AR"/>
        </w:rPr>
      </w:pPr>
      <w:r w:rsidRPr="003B0990">
        <w:rPr>
          <w:noProof/>
        </w:rPr>
        <w:lastRenderedPageBreak/>
        <w:drawing>
          <wp:inline distT="0" distB="0" distL="0" distR="0" wp14:anchorId="02FB055D" wp14:editId="574790BB">
            <wp:extent cx="5760720" cy="3046095"/>
            <wp:effectExtent l="0" t="0" r="0" b="1905"/>
            <wp:docPr id="2282945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0366A" w14:textId="4636FD48" w:rsidR="009129A8" w:rsidRPr="009129A8" w:rsidRDefault="009129A8" w:rsidP="009129A8">
      <w:pPr>
        <w:pStyle w:val="Heading1"/>
        <w:numPr>
          <w:ilvl w:val="1"/>
          <w:numId w:val="1"/>
        </w:numPr>
        <w:spacing w:afterLines="60" w:after="144" w:line="240" w:lineRule="auto"/>
        <w:jc w:val="both"/>
        <w:rPr>
          <w:rFonts w:ascii="Verdana" w:hAnsi="Verdana" w:cs="Arial"/>
          <w:color w:val="auto"/>
          <w:sz w:val="20"/>
          <w:szCs w:val="20"/>
        </w:rPr>
      </w:pPr>
      <w:proofErr w:type="spellStart"/>
      <w:r w:rsidRPr="009129A8">
        <w:rPr>
          <w:rFonts w:ascii="Verdana" w:hAnsi="Verdana" w:cs="Arial"/>
          <w:color w:val="auto"/>
          <w:sz w:val="20"/>
          <w:szCs w:val="20"/>
        </w:rPr>
        <w:t>Djelatnost</w:t>
      </w:r>
      <w:proofErr w:type="spellEnd"/>
    </w:p>
    <w:p w14:paraId="2292C97B" w14:textId="469F9756" w:rsidR="009129A8" w:rsidRPr="00A672D4" w:rsidRDefault="009129A8" w:rsidP="009129A8">
      <w:pPr>
        <w:spacing w:before="240" w:afterLines="60" w:after="144" w:line="240" w:lineRule="auto"/>
        <w:jc w:val="both"/>
        <w:rPr>
          <w:rFonts w:ascii="Verdana" w:hAnsi="Verdana" w:cs="Arial"/>
          <w:sz w:val="20"/>
          <w:szCs w:val="20"/>
          <w:highlight w:val="yellow"/>
        </w:rPr>
      </w:pPr>
      <w:proofErr w:type="spellStart"/>
      <w:r>
        <w:rPr>
          <w:rFonts w:ascii="Verdana" w:hAnsi="Verdana" w:cs="Arial"/>
          <w:sz w:val="20"/>
          <w:szCs w:val="20"/>
        </w:rPr>
        <w:t>O</w:t>
      </w:r>
      <w:r w:rsidRPr="00A672D4">
        <w:rPr>
          <w:rFonts w:ascii="Verdana" w:hAnsi="Verdana" w:cs="Arial"/>
          <w:sz w:val="20"/>
          <w:szCs w:val="20"/>
        </w:rPr>
        <w:t>snovna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djelatnost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Društva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je 64.92 – </w:t>
      </w:r>
      <w:proofErr w:type="spellStart"/>
      <w:r w:rsidRPr="00A672D4">
        <w:rPr>
          <w:rFonts w:ascii="Verdana" w:hAnsi="Verdana" w:cs="Arial"/>
          <w:sz w:val="20"/>
          <w:szCs w:val="20"/>
        </w:rPr>
        <w:t>ostalo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odobravanje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kredita</w:t>
      </w:r>
      <w:proofErr w:type="spellEnd"/>
      <w:r w:rsidRPr="00A672D4">
        <w:rPr>
          <w:rFonts w:ascii="Verdana" w:hAnsi="Verdana" w:cs="Arial"/>
          <w:sz w:val="20"/>
          <w:szCs w:val="20"/>
        </w:rPr>
        <w:t>.</w:t>
      </w:r>
    </w:p>
    <w:p w14:paraId="4D474D80" w14:textId="77777777" w:rsidR="0048320F" w:rsidRDefault="009129A8" w:rsidP="00DC12D5">
      <w:pPr>
        <w:spacing w:before="240" w:afterLines="60" w:after="144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A672D4">
        <w:rPr>
          <w:rFonts w:ascii="Verdana" w:hAnsi="Verdana" w:cs="Arial"/>
          <w:sz w:val="20"/>
          <w:szCs w:val="20"/>
        </w:rPr>
        <w:t>Društvo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A672D4">
        <w:rPr>
          <w:rFonts w:ascii="Verdana" w:hAnsi="Verdana" w:cs="Arial"/>
          <w:sz w:val="20"/>
          <w:szCs w:val="20"/>
        </w:rPr>
        <w:t>nedepozitna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finansijska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institucija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koja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upravlja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svojom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imovinom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672D4">
        <w:rPr>
          <w:rFonts w:ascii="Verdana" w:hAnsi="Verdana" w:cs="Arial"/>
          <w:sz w:val="20"/>
          <w:szCs w:val="20"/>
        </w:rPr>
        <w:t>skladu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Zakonom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A672D4">
        <w:rPr>
          <w:rFonts w:ascii="Verdana" w:hAnsi="Verdana" w:cs="Arial"/>
          <w:sz w:val="20"/>
          <w:szCs w:val="20"/>
        </w:rPr>
        <w:t>mikrokreditnim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organizacijama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Republike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Srpske, s </w:t>
      </w:r>
      <w:proofErr w:type="spellStart"/>
      <w:r w:rsidRPr="00A672D4">
        <w:rPr>
          <w:rFonts w:ascii="Verdana" w:hAnsi="Verdana" w:cs="Arial"/>
          <w:sz w:val="20"/>
          <w:szCs w:val="20"/>
        </w:rPr>
        <w:t>ciljem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poboljšanja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materijalnog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položaja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korisnika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mikrokredita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672D4">
        <w:rPr>
          <w:rFonts w:ascii="Verdana" w:hAnsi="Verdana" w:cs="Arial"/>
          <w:sz w:val="20"/>
          <w:szCs w:val="20"/>
        </w:rPr>
        <w:t>povećanja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zaposlenosti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672D4">
        <w:rPr>
          <w:rFonts w:ascii="Verdana" w:hAnsi="Verdana" w:cs="Arial"/>
          <w:sz w:val="20"/>
          <w:szCs w:val="20"/>
        </w:rPr>
        <w:t>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pružanja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podrške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razvoju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preduzetništva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A672D4">
        <w:rPr>
          <w:rFonts w:ascii="Verdana" w:hAnsi="Verdana" w:cs="Arial"/>
          <w:sz w:val="20"/>
          <w:szCs w:val="20"/>
        </w:rPr>
        <w:t>Društvo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djeluje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672D4">
        <w:rPr>
          <w:rFonts w:ascii="Verdana" w:hAnsi="Verdana" w:cs="Arial"/>
          <w:sz w:val="20"/>
          <w:szCs w:val="20"/>
        </w:rPr>
        <w:t>skladu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odredbama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Zakona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A672D4">
        <w:rPr>
          <w:rFonts w:ascii="Verdana" w:hAnsi="Verdana" w:cs="Arial"/>
          <w:sz w:val="20"/>
          <w:szCs w:val="20"/>
        </w:rPr>
        <w:t>privrednim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društvima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Republike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Srpske, </w:t>
      </w:r>
      <w:proofErr w:type="spellStart"/>
      <w:r w:rsidRPr="00A672D4">
        <w:rPr>
          <w:rFonts w:ascii="Verdana" w:hAnsi="Verdana" w:cs="Arial"/>
          <w:sz w:val="20"/>
          <w:szCs w:val="20"/>
        </w:rPr>
        <w:t>ako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Zakonom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A672D4">
        <w:rPr>
          <w:rFonts w:ascii="Verdana" w:hAnsi="Verdana" w:cs="Arial"/>
          <w:sz w:val="20"/>
          <w:szCs w:val="20"/>
        </w:rPr>
        <w:t>mikrokreditnim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organizacijama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Republike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Srpske </w:t>
      </w:r>
      <w:proofErr w:type="spellStart"/>
      <w:r w:rsidRPr="00A672D4">
        <w:rPr>
          <w:rFonts w:ascii="Verdana" w:hAnsi="Verdana" w:cs="Arial"/>
          <w:sz w:val="20"/>
          <w:szCs w:val="20"/>
        </w:rPr>
        <w:t>nije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drugačije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propisano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obzirom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na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njegovo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lex </w:t>
      </w:r>
      <w:proofErr w:type="spellStart"/>
      <w:r w:rsidRPr="00A672D4">
        <w:rPr>
          <w:rFonts w:ascii="Verdana" w:hAnsi="Verdana" w:cs="Arial"/>
          <w:sz w:val="20"/>
          <w:szCs w:val="20"/>
        </w:rPr>
        <w:t>specialis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dejstvo</w:t>
      </w:r>
      <w:proofErr w:type="spellEnd"/>
      <w:r w:rsidRPr="00A672D4">
        <w:rPr>
          <w:rFonts w:ascii="Verdana" w:hAnsi="Verdana" w:cs="Arial"/>
          <w:sz w:val="20"/>
          <w:szCs w:val="20"/>
        </w:rPr>
        <w:t>.</w:t>
      </w:r>
    </w:p>
    <w:p w14:paraId="11BC62EB" w14:textId="605AA9D4" w:rsidR="009129A8" w:rsidRPr="00A672D4" w:rsidRDefault="009129A8" w:rsidP="00DC12D5">
      <w:pPr>
        <w:spacing w:before="240" w:afterLines="60" w:after="144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A672D4">
        <w:rPr>
          <w:rFonts w:ascii="Verdana" w:hAnsi="Verdana" w:cs="Arial"/>
          <w:sz w:val="20"/>
          <w:szCs w:val="20"/>
          <w:lang w:val="sr-Latn-BA"/>
        </w:rPr>
        <w:t xml:space="preserve">Društvo obavlja registrovanu djelatnost u centrali čije je sjedište u Bijeljini, ul. Stefana Dečanskog 125, kao i </w:t>
      </w:r>
      <w:r w:rsidR="003B0990">
        <w:rPr>
          <w:rFonts w:ascii="Verdana" w:hAnsi="Verdana" w:cs="Arial"/>
          <w:sz w:val="20"/>
          <w:szCs w:val="20"/>
          <w:lang w:val="sr-Latn-BA"/>
        </w:rPr>
        <w:t xml:space="preserve"> u 4 </w:t>
      </w:r>
      <w:r w:rsidR="00B17545">
        <w:rPr>
          <w:rFonts w:ascii="Verdana" w:hAnsi="Verdana" w:cs="Arial"/>
          <w:sz w:val="20"/>
          <w:szCs w:val="20"/>
          <w:lang w:val="sr-Latn-BA"/>
        </w:rPr>
        <w:t>filijale</w:t>
      </w:r>
      <w:r w:rsidRPr="00A672D4">
        <w:rPr>
          <w:rFonts w:ascii="Verdana" w:hAnsi="Verdana" w:cs="Arial"/>
          <w:sz w:val="20"/>
          <w:szCs w:val="20"/>
          <w:lang w:val="sr-Latn-BA"/>
        </w:rPr>
        <w:t>:</w:t>
      </w:r>
    </w:p>
    <w:p w14:paraId="2279141D" w14:textId="103CFF7D" w:rsidR="003B0990" w:rsidRPr="003B0990" w:rsidRDefault="003B0990" w:rsidP="003B0990">
      <w:pPr>
        <w:pStyle w:val="ListParagraph"/>
        <w:numPr>
          <w:ilvl w:val="0"/>
          <w:numId w:val="35"/>
        </w:numPr>
        <w:spacing w:after="0"/>
        <w:ind w:left="450"/>
        <w:rPr>
          <w:rFonts w:ascii="Verdana" w:hAnsi="Verdana" w:cs="Arial"/>
          <w:sz w:val="20"/>
          <w:szCs w:val="20"/>
          <w:lang w:val="sr-Latn-BA"/>
        </w:rPr>
      </w:pPr>
      <w:r>
        <w:rPr>
          <w:rFonts w:ascii="Verdana" w:hAnsi="Verdana" w:cs="Arial"/>
          <w:sz w:val="20"/>
          <w:szCs w:val="20"/>
          <w:lang w:val="sr-Latn-BA"/>
        </w:rPr>
        <w:t>u filijali Doboj, ulica Kralja Dragutina 35,</w:t>
      </w:r>
    </w:p>
    <w:p w14:paraId="3AA22754" w14:textId="7B6968C3" w:rsidR="009129A8" w:rsidRPr="00A672D4" w:rsidRDefault="00B17545" w:rsidP="00BC7083">
      <w:pPr>
        <w:pStyle w:val="ListParagraph"/>
        <w:numPr>
          <w:ilvl w:val="0"/>
          <w:numId w:val="10"/>
        </w:numPr>
        <w:spacing w:after="0"/>
        <w:ind w:left="450"/>
        <w:rPr>
          <w:rFonts w:ascii="Verdana" w:hAnsi="Verdana" w:cs="Arial"/>
          <w:sz w:val="20"/>
          <w:szCs w:val="20"/>
          <w:lang w:val="sr-Latn-BA"/>
        </w:rPr>
      </w:pPr>
      <w:r>
        <w:rPr>
          <w:rFonts w:ascii="Verdana" w:hAnsi="Verdana" w:cs="Arial"/>
          <w:sz w:val="20"/>
          <w:szCs w:val="20"/>
          <w:lang w:val="sr-Latn-BA"/>
        </w:rPr>
        <w:t>u filijali Bijeljina</w:t>
      </w:r>
      <w:r w:rsidR="009129A8" w:rsidRPr="00A672D4">
        <w:rPr>
          <w:rFonts w:ascii="Verdana" w:hAnsi="Verdana" w:cs="Arial"/>
          <w:sz w:val="20"/>
          <w:szCs w:val="20"/>
          <w:lang w:val="sr-Latn-BA"/>
        </w:rPr>
        <w:t xml:space="preserve">, ulica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sr-Latn-BA"/>
        </w:rPr>
        <w:t>Svetog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sr-Latn-BA"/>
        </w:rPr>
        <w:t xml:space="preserve"> Save 74, </w:t>
      </w:r>
    </w:p>
    <w:p w14:paraId="79CB9283" w14:textId="69F1E116" w:rsidR="009129A8" w:rsidRPr="00A672D4" w:rsidRDefault="009129A8" w:rsidP="00BC7083">
      <w:pPr>
        <w:pStyle w:val="ListParagraph"/>
        <w:numPr>
          <w:ilvl w:val="0"/>
          <w:numId w:val="10"/>
        </w:numPr>
        <w:spacing w:after="0"/>
        <w:ind w:left="450"/>
        <w:rPr>
          <w:rFonts w:ascii="Verdana" w:hAnsi="Verdana" w:cs="Arial"/>
          <w:sz w:val="20"/>
          <w:szCs w:val="20"/>
          <w:lang w:val="sr-Latn-BA"/>
        </w:rPr>
      </w:pPr>
      <w:r w:rsidRPr="00A672D4">
        <w:rPr>
          <w:rFonts w:ascii="Verdana" w:hAnsi="Verdana" w:cs="Arial"/>
          <w:sz w:val="20"/>
          <w:szCs w:val="20"/>
          <w:lang w:val="sr-Latn-BA"/>
        </w:rPr>
        <w:t xml:space="preserve">u </w:t>
      </w:r>
      <w:r w:rsidR="00B17545">
        <w:rPr>
          <w:rFonts w:ascii="Verdana" w:hAnsi="Verdana" w:cs="Arial"/>
          <w:sz w:val="20"/>
          <w:szCs w:val="20"/>
          <w:lang w:val="sr-Latn-BA"/>
        </w:rPr>
        <w:t>filijali distrikt Brčko</w:t>
      </w:r>
      <w:r w:rsidRPr="00A672D4">
        <w:rPr>
          <w:rFonts w:ascii="Verdana" w:hAnsi="Verdana" w:cs="Arial"/>
          <w:sz w:val="20"/>
          <w:szCs w:val="20"/>
          <w:lang w:val="sr-Latn-BA"/>
        </w:rPr>
        <w:t>, ulica Uzunovića br. 7  i</w:t>
      </w:r>
    </w:p>
    <w:p w14:paraId="11C0A9FF" w14:textId="34B039C1" w:rsidR="009129A8" w:rsidRDefault="009129A8" w:rsidP="00BC7083">
      <w:pPr>
        <w:pStyle w:val="ListParagraph"/>
        <w:numPr>
          <w:ilvl w:val="0"/>
          <w:numId w:val="10"/>
        </w:numPr>
        <w:spacing w:after="0"/>
        <w:ind w:left="450"/>
        <w:rPr>
          <w:rFonts w:ascii="Verdana" w:hAnsi="Verdana" w:cs="Arial"/>
          <w:sz w:val="20"/>
          <w:szCs w:val="20"/>
          <w:lang w:val="sr-Latn-BA"/>
        </w:rPr>
      </w:pPr>
      <w:r w:rsidRPr="00A672D4">
        <w:rPr>
          <w:rFonts w:ascii="Verdana" w:hAnsi="Verdana" w:cs="Arial"/>
          <w:sz w:val="20"/>
          <w:szCs w:val="20"/>
          <w:lang w:val="sr-Latn-BA"/>
        </w:rPr>
        <w:t xml:space="preserve">u </w:t>
      </w:r>
      <w:r w:rsidR="00B17545">
        <w:rPr>
          <w:rFonts w:ascii="Verdana" w:hAnsi="Verdana" w:cs="Arial"/>
          <w:sz w:val="20"/>
          <w:szCs w:val="20"/>
          <w:lang w:val="sr-Latn-BA"/>
        </w:rPr>
        <w:t>filijali Modriča</w:t>
      </w:r>
      <w:r w:rsidRPr="00A672D4">
        <w:rPr>
          <w:rFonts w:ascii="Verdana" w:hAnsi="Verdana" w:cs="Arial"/>
          <w:sz w:val="20"/>
          <w:szCs w:val="20"/>
          <w:lang w:val="sr-Latn-BA"/>
        </w:rPr>
        <w:t>, ulica Trg Jovana Raškovića bb.</w:t>
      </w:r>
    </w:p>
    <w:p w14:paraId="5F9E4D90" w14:textId="43CD14A6" w:rsidR="003B0990" w:rsidRPr="00A672D4" w:rsidRDefault="003B0990" w:rsidP="003B0990">
      <w:pPr>
        <w:pStyle w:val="ListParagraph"/>
        <w:spacing w:after="0"/>
        <w:ind w:left="450" w:firstLine="0"/>
        <w:rPr>
          <w:rFonts w:ascii="Verdana" w:hAnsi="Verdana" w:cs="Arial"/>
          <w:sz w:val="20"/>
          <w:szCs w:val="20"/>
          <w:lang w:val="sr-Latn-BA"/>
        </w:rPr>
      </w:pPr>
    </w:p>
    <w:p w14:paraId="51CE40C1" w14:textId="77777777" w:rsidR="009129A8" w:rsidRPr="00A672D4" w:rsidRDefault="009129A8" w:rsidP="009129A8">
      <w:pPr>
        <w:pStyle w:val="Heading1"/>
        <w:numPr>
          <w:ilvl w:val="1"/>
          <w:numId w:val="1"/>
        </w:numPr>
        <w:spacing w:before="0" w:line="240" w:lineRule="auto"/>
        <w:rPr>
          <w:rFonts w:ascii="Verdana" w:hAnsi="Verdana" w:cs="Arial"/>
          <w:color w:val="auto"/>
          <w:sz w:val="20"/>
          <w:szCs w:val="20"/>
        </w:rPr>
      </w:pPr>
      <w:proofErr w:type="spellStart"/>
      <w:r w:rsidRPr="00A672D4">
        <w:rPr>
          <w:rFonts w:ascii="Verdana" w:hAnsi="Verdana" w:cs="Arial"/>
          <w:color w:val="auto"/>
          <w:sz w:val="20"/>
          <w:szCs w:val="20"/>
        </w:rPr>
        <w:t>Kreditn</w:t>
      </w:r>
      <w:proofErr w:type="spellEnd"/>
      <w:r w:rsidRPr="00A672D4">
        <w:rPr>
          <w:rFonts w:ascii="Verdana" w:hAnsi="Verdana" w:cs="Arial"/>
          <w:color w:val="auto"/>
          <w:sz w:val="20"/>
          <w:szCs w:val="20"/>
          <w:lang w:val="sr-Latn-RS"/>
        </w:rPr>
        <w:t>i proizvodi</w:t>
      </w:r>
    </w:p>
    <w:p w14:paraId="70971396" w14:textId="77777777" w:rsidR="009129A8" w:rsidRPr="00A672D4" w:rsidRDefault="009129A8" w:rsidP="009129A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ED75BC6" w14:textId="77777777" w:rsidR="009129A8" w:rsidRPr="00A672D4" w:rsidRDefault="009129A8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A672D4">
        <w:rPr>
          <w:rFonts w:ascii="Verdana" w:hAnsi="Verdana" w:cs="Arial"/>
          <w:sz w:val="20"/>
          <w:szCs w:val="20"/>
        </w:rPr>
        <w:t>Društvo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672D4">
        <w:rPr>
          <w:rFonts w:ascii="Verdana" w:hAnsi="Verdana" w:cs="Arial"/>
          <w:sz w:val="20"/>
          <w:szCs w:val="20"/>
        </w:rPr>
        <w:t>ponudi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ima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sljedeću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lepezu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mikrokredita</w:t>
      </w:r>
      <w:proofErr w:type="spellEnd"/>
      <w:r w:rsidRPr="00A672D4">
        <w:rPr>
          <w:rFonts w:ascii="Verdana" w:hAnsi="Verdana" w:cs="Arial"/>
          <w:sz w:val="20"/>
          <w:szCs w:val="20"/>
        </w:rPr>
        <w:t>:</w:t>
      </w:r>
    </w:p>
    <w:p w14:paraId="56E8A58D" w14:textId="77777777" w:rsidR="009129A8" w:rsidRPr="00A672D4" w:rsidRDefault="009129A8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623FE58" w14:textId="77777777" w:rsidR="009129A8" w:rsidRPr="00A672D4" w:rsidRDefault="009129A8" w:rsidP="00BC7083">
      <w:pPr>
        <w:pStyle w:val="ListParagraph"/>
        <w:numPr>
          <w:ilvl w:val="0"/>
          <w:numId w:val="11"/>
        </w:numPr>
        <w:spacing w:after="0"/>
        <w:rPr>
          <w:rFonts w:ascii="Verdana" w:hAnsi="Verdana" w:cs="Arial"/>
          <w:sz w:val="20"/>
          <w:szCs w:val="20"/>
        </w:rPr>
      </w:pPr>
      <w:proofErr w:type="spellStart"/>
      <w:r w:rsidRPr="00A672D4">
        <w:rPr>
          <w:rFonts w:ascii="Verdana" w:hAnsi="Verdana" w:cs="Arial"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A672D4">
        <w:rPr>
          <w:rFonts w:ascii="Verdana" w:hAnsi="Verdana" w:cs="Arial"/>
          <w:sz w:val="20"/>
          <w:szCs w:val="20"/>
        </w:rPr>
        <w:t>poljoprivredu</w:t>
      </w:r>
      <w:proofErr w:type="spellEnd"/>
      <w:r w:rsidRPr="00A672D4">
        <w:rPr>
          <w:rFonts w:ascii="Verdana" w:hAnsi="Verdana" w:cs="Arial"/>
          <w:sz w:val="20"/>
          <w:szCs w:val="20"/>
        </w:rPr>
        <w:t>,</w:t>
      </w:r>
    </w:p>
    <w:p w14:paraId="1DE153EE" w14:textId="77777777" w:rsidR="009129A8" w:rsidRPr="00A672D4" w:rsidRDefault="009129A8" w:rsidP="00BC7083">
      <w:pPr>
        <w:pStyle w:val="ListParagraph"/>
        <w:numPr>
          <w:ilvl w:val="0"/>
          <w:numId w:val="11"/>
        </w:numPr>
        <w:spacing w:after="240"/>
        <w:rPr>
          <w:rFonts w:ascii="Verdana" w:hAnsi="Verdana" w:cs="Arial"/>
          <w:sz w:val="20"/>
          <w:szCs w:val="20"/>
        </w:rPr>
      </w:pPr>
      <w:proofErr w:type="spellStart"/>
      <w:r w:rsidRPr="00A672D4">
        <w:rPr>
          <w:rFonts w:ascii="Verdana" w:hAnsi="Verdana" w:cs="Arial"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A672D4">
        <w:rPr>
          <w:rFonts w:ascii="Verdana" w:hAnsi="Verdana" w:cs="Arial"/>
          <w:sz w:val="20"/>
          <w:szCs w:val="20"/>
        </w:rPr>
        <w:t>registraciju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vozila</w:t>
      </w:r>
      <w:proofErr w:type="spellEnd"/>
      <w:r w:rsidRPr="00A672D4">
        <w:rPr>
          <w:rFonts w:ascii="Verdana" w:hAnsi="Verdana" w:cs="Arial"/>
          <w:sz w:val="20"/>
          <w:szCs w:val="20"/>
        </w:rPr>
        <w:t>,</w:t>
      </w:r>
    </w:p>
    <w:p w14:paraId="685DA2C2" w14:textId="77777777" w:rsidR="009129A8" w:rsidRPr="00777200" w:rsidRDefault="009129A8" w:rsidP="00BC7083">
      <w:pPr>
        <w:pStyle w:val="ListParagraph"/>
        <w:numPr>
          <w:ilvl w:val="0"/>
          <w:numId w:val="11"/>
        </w:numPr>
        <w:spacing w:after="240"/>
        <w:rPr>
          <w:rFonts w:ascii="Verdana" w:hAnsi="Verdana" w:cs="Arial"/>
          <w:sz w:val="20"/>
          <w:szCs w:val="20"/>
          <w:lang w:val="it-IT"/>
        </w:rPr>
      </w:pPr>
      <w:r w:rsidRPr="00777200">
        <w:rPr>
          <w:rFonts w:ascii="Verdana" w:hAnsi="Verdana" w:cs="Arial"/>
          <w:sz w:val="20"/>
          <w:szCs w:val="20"/>
          <w:lang w:val="it-IT"/>
        </w:rPr>
        <w:t>Krediti za registraciju vozila-plus,</w:t>
      </w:r>
    </w:p>
    <w:p w14:paraId="6B39C963" w14:textId="77777777" w:rsidR="009129A8" w:rsidRPr="00A672D4" w:rsidRDefault="009129A8" w:rsidP="00BC7083">
      <w:pPr>
        <w:pStyle w:val="ListParagraph"/>
        <w:numPr>
          <w:ilvl w:val="0"/>
          <w:numId w:val="11"/>
        </w:numPr>
        <w:spacing w:after="240"/>
        <w:rPr>
          <w:rFonts w:ascii="Verdana" w:hAnsi="Verdana" w:cs="Arial"/>
          <w:sz w:val="20"/>
          <w:szCs w:val="20"/>
        </w:rPr>
      </w:pPr>
      <w:proofErr w:type="spellStart"/>
      <w:r w:rsidRPr="00A672D4">
        <w:rPr>
          <w:rFonts w:ascii="Verdana" w:hAnsi="Verdana" w:cs="Arial"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A672D4">
        <w:rPr>
          <w:rFonts w:ascii="Verdana" w:hAnsi="Verdana" w:cs="Arial"/>
          <w:sz w:val="20"/>
          <w:szCs w:val="20"/>
        </w:rPr>
        <w:t>penzionere</w:t>
      </w:r>
      <w:proofErr w:type="spellEnd"/>
      <w:r w:rsidRPr="00A672D4">
        <w:rPr>
          <w:rFonts w:ascii="Verdana" w:hAnsi="Verdana" w:cs="Arial"/>
          <w:sz w:val="20"/>
          <w:szCs w:val="20"/>
        </w:rPr>
        <w:t>,</w:t>
      </w:r>
    </w:p>
    <w:p w14:paraId="22EFBDCC" w14:textId="77777777" w:rsidR="009129A8" w:rsidRPr="00A672D4" w:rsidRDefault="009129A8" w:rsidP="00BC7083">
      <w:pPr>
        <w:pStyle w:val="ListParagraph"/>
        <w:numPr>
          <w:ilvl w:val="0"/>
          <w:numId w:val="11"/>
        </w:numPr>
        <w:spacing w:after="240"/>
        <w:rPr>
          <w:rFonts w:ascii="Verdana" w:hAnsi="Verdana" w:cs="Arial"/>
          <w:sz w:val="20"/>
          <w:szCs w:val="20"/>
        </w:rPr>
      </w:pPr>
      <w:r w:rsidRPr="00A672D4">
        <w:rPr>
          <w:rFonts w:ascii="Verdana" w:hAnsi="Verdana" w:cs="Arial"/>
          <w:sz w:val="20"/>
          <w:szCs w:val="20"/>
        </w:rPr>
        <w:t xml:space="preserve">Robni </w:t>
      </w:r>
      <w:proofErr w:type="spellStart"/>
      <w:r w:rsidRPr="00A672D4">
        <w:rPr>
          <w:rFonts w:ascii="Verdana" w:hAnsi="Verdana" w:cs="Arial"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sz w:val="20"/>
          <w:szCs w:val="20"/>
        </w:rPr>
        <w:t>,</w:t>
      </w:r>
    </w:p>
    <w:p w14:paraId="62510510" w14:textId="77777777" w:rsidR="009129A8" w:rsidRPr="00A672D4" w:rsidRDefault="009129A8" w:rsidP="00BC7083">
      <w:pPr>
        <w:pStyle w:val="ListParagraph"/>
        <w:numPr>
          <w:ilvl w:val="0"/>
          <w:numId w:val="12"/>
        </w:numPr>
        <w:spacing w:after="240"/>
        <w:rPr>
          <w:rFonts w:ascii="Verdana" w:hAnsi="Verdana" w:cs="Arial"/>
          <w:sz w:val="20"/>
          <w:szCs w:val="20"/>
        </w:rPr>
      </w:pPr>
      <w:proofErr w:type="spellStart"/>
      <w:r w:rsidRPr="00A672D4">
        <w:rPr>
          <w:rFonts w:ascii="Verdana" w:hAnsi="Verdana" w:cs="Arial"/>
          <w:sz w:val="20"/>
          <w:szCs w:val="20"/>
        </w:rPr>
        <w:t>Potrošački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A672D4">
        <w:rPr>
          <w:rFonts w:ascii="Verdana" w:hAnsi="Verdana" w:cs="Arial"/>
          <w:sz w:val="20"/>
          <w:szCs w:val="20"/>
        </w:rPr>
        <w:t>nenamjenski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A672D4">
        <w:rPr>
          <w:rFonts w:ascii="Verdana" w:hAnsi="Verdana" w:cs="Arial"/>
          <w:sz w:val="20"/>
          <w:szCs w:val="20"/>
        </w:rPr>
        <w:t>krediti</w:t>
      </w:r>
      <w:proofErr w:type="spellEnd"/>
    </w:p>
    <w:p w14:paraId="593C1B5D" w14:textId="77777777" w:rsidR="009129A8" w:rsidRPr="00A672D4" w:rsidRDefault="009129A8" w:rsidP="00BC7083">
      <w:pPr>
        <w:pStyle w:val="ListParagraph"/>
        <w:numPr>
          <w:ilvl w:val="0"/>
          <w:numId w:val="12"/>
        </w:numPr>
        <w:spacing w:after="240"/>
        <w:rPr>
          <w:rFonts w:ascii="Verdana" w:hAnsi="Verdana" w:cs="Arial"/>
          <w:sz w:val="20"/>
          <w:szCs w:val="20"/>
        </w:rPr>
      </w:pPr>
      <w:r w:rsidRPr="00A672D4">
        <w:rPr>
          <w:rFonts w:ascii="Verdana" w:hAnsi="Verdana" w:cs="Arial"/>
          <w:sz w:val="20"/>
          <w:szCs w:val="20"/>
        </w:rPr>
        <w:t xml:space="preserve">Studentski </w:t>
      </w:r>
      <w:proofErr w:type="spellStart"/>
      <w:r w:rsidRPr="00A672D4">
        <w:rPr>
          <w:rFonts w:ascii="Verdana" w:hAnsi="Verdana" w:cs="Arial"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sz w:val="20"/>
          <w:szCs w:val="20"/>
        </w:rPr>
        <w:t>,</w:t>
      </w:r>
    </w:p>
    <w:p w14:paraId="71F2B5D8" w14:textId="77777777" w:rsidR="009129A8" w:rsidRPr="00A672D4" w:rsidRDefault="009129A8" w:rsidP="00BC7083">
      <w:pPr>
        <w:pStyle w:val="ListParagraph"/>
        <w:numPr>
          <w:ilvl w:val="0"/>
          <w:numId w:val="13"/>
        </w:numPr>
        <w:spacing w:after="240"/>
        <w:rPr>
          <w:rFonts w:ascii="Verdana" w:hAnsi="Verdana" w:cs="Arial"/>
          <w:sz w:val="20"/>
          <w:szCs w:val="20"/>
        </w:rPr>
      </w:pPr>
      <w:proofErr w:type="spellStart"/>
      <w:r w:rsidRPr="00A672D4">
        <w:rPr>
          <w:rFonts w:ascii="Verdana" w:hAnsi="Verdana" w:cs="Arial"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A672D4">
        <w:rPr>
          <w:rFonts w:ascii="Verdana" w:hAnsi="Verdana" w:cs="Arial"/>
          <w:sz w:val="20"/>
          <w:szCs w:val="20"/>
        </w:rPr>
        <w:t>refinansiranje</w:t>
      </w:r>
      <w:proofErr w:type="spellEnd"/>
      <w:r w:rsidRPr="00A672D4">
        <w:rPr>
          <w:rFonts w:ascii="Verdana" w:hAnsi="Verdana" w:cs="Arial"/>
          <w:sz w:val="20"/>
          <w:szCs w:val="20"/>
        </w:rPr>
        <w:t>,</w:t>
      </w:r>
    </w:p>
    <w:p w14:paraId="0737115D" w14:textId="77777777" w:rsidR="009129A8" w:rsidRPr="00A672D4" w:rsidRDefault="009129A8" w:rsidP="00BC7083">
      <w:pPr>
        <w:pStyle w:val="ListParagraph"/>
        <w:numPr>
          <w:ilvl w:val="0"/>
          <w:numId w:val="13"/>
        </w:numPr>
        <w:spacing w:after="240"/>
        <w:rPr>
          <w:rFonts w:ascii="Verdana" w:hAnsi="Verdana" w:cs="Arial"/>
          <w:sz w:val="20"/>
          <w:szCs w:val="20"/>
        </w:rPr>
      </w:pPr>
      <w:proofErr w:type="spellStart"/>
      <w:r w:rsidRPr="00A672D4">
        <w:rPr>
          <w:rFonts w:ascii="Verdana" w:hAnsi="Verdana" w:cs="Arial"/>
          <w:sz w:val="20"/>
          <w:szCs w:val="20"/>
        </w:rPr>
        <w:t>Brzi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sz w:val="20"/>
          <w:szCs w:val="20"/>
        </w:rPr>
        <w:t>,</w:t>
      </w:r>
    </w:p>
    <w:p w14:paraId="66A1D3DB" w14:textId="77777777" w:rsidR="009129A8" w:rsidRPr="00A672D4" w:rsidRDefault="009129A8" w:rsidP="00BC7083">
      <w:pPr>
        <w:pStyle w:val="ListParagraph"/>
        <w:numPr>
          <w:ilvl w:val="0"/>
          <w:numId w:val="13"/>
        </w:numPr>
        <w:spacing w:after="240"/>
        <w:rPr>
          <w:rFonts w:ascii="Verdana" w:hAnsi="Verdana" w:cs="Arial"/>
          <w:sz w:val="20"/>
          <w:szCs w:val="20"/>
        </w:rPr>
      </w:pPr>
      <w:r w:rsidRPr="00A672D4">
        <w:rPr>
          <w:rFonts w:ascii="Verdana" w:hAnsi="Verdana" w:cs="Arial"/>
          <w:sz w:val="20"/>
          <w:szCs w:val="20"/>
        </w:rPr>
        <w:t xml:space="preserve">Start-up </w:t>
      </w:r>
      <w:proofErr w:type="spellStart"/>
      <w:r w:rsidRPr="00A672D4">
        <w:rPr>
          <w:rFonts w:ascii="Verdana" w:hAnsi="Verdana" w:cs="Arial"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sz w:val="20"/>
          <w:szCs w:val="20"/>
        </w:rPr>
        <w:t>,</w:t>
      </w:r>
    </w:p>
    <w:p w14:paraId="78140480" w14:textId="77777777" w:rsidR="0038738F" w:rsidRDefault="009129A8" w:rsidP="006964FC">
      <w:pPr>
        <w:pStyle w:val="ListParagraph"/>
        <w:numPr>
          <w:ilvl w:val="0"/>
          <w:numId w:val="13"/>
        </w:numPr>
        <w:spacing w:after="240"/>
        <w:rPr>
          <w:rFonts w:ascii="Verdana" w:hAnsi="Verdana" w:cs="Arial"/>
          <w:sz w:val="20"/>
          <w:szCs w:val="20"/>
          <w:lang w:val="it-IT"/>
        </w:rPr>
      </w:pPr>
      <w:r w:rsidRPr="0038738F">
        <w:rPr>
          <w:rFonts w:ascii="Verdana" w:hAnsi="Verdana" w:cs="Arial"/>
          <w:sz w:val="20"/>
          <w:szCs w:val="20"/>
          <w:lang w:val="it-IT"/>
        </w:rPr>
        <w:t>Krediti za pravna lica i preduzetnike,</w:t>
      </w:r>
    </w:p>
    <w:p w14:paraId="024165F3" w14:textId="532A0B47" w:rsidR="0038738F" w:rsidRDefault="009129A8" w:rsidP="00252461">
      <w:pPr>
        <w:pStyle w:val="ListParagraph"/>
        <w:numPr>
          <w:ilvl w:val="0"/>
          <w:numId w:val="13"/>
        </w:numPr>
        <w:spacing w:after="240"/>
        <w:rPr>
          <w:rFonts w:ascii="Verdana" w:hAnsi="Verdana" w:cs="Arial"/>
          <w:sz w:val="20"/>
          <w:szCs w:val="20"/>
          <w:lang w:val="it-IT"/>
        </w:rPr>
      </w:pPr>
      <w:r w:rsidRPr="0038738F">
        <w:rPr>
          <w:rFonts w:ascii="Verdana" w:hAnsi="Verdana" w:cs="Arial"/>
          <w:sz w:val="20"/>
          <w:szCs w:val="20"/>
          <w:lang w:val="it-IT"/>
        </w:rPr>
        <w:t>Krediti iz sredstava IRB-a</w:t>
      </w:r>
      <w:r w:rsidR="0038738F">
        <w:rPr>
          <w:rFonts w:ascii="Verdana" w:hAnsi="Verdana" w:cs="Arial"/>
          <w:sz w:val="20"/>
          <w:szCs w:val="20"/>
          <w:lang w:val="it-IT"/>
        </w:rPr>
        <w:t>.</w:t>
      </w:r>
    </w:p>
    <w:p w14:paraId="5589D634" w14:textId="5C7B538E" w:rsidR="009129A8" w:rsidRPr="0038738F" w:rsidRDefault="009129A8" w:rsidP="0038738F">
      <w:pPr>
        <w:spacing w:after="240"/>
        <w:rPr>
          <w:rFonts w:ascii="Verdana" w:hAnsi="Verdana" w:cs="Arial"/>
          <w:sz w:val="20"/>
          <w:szCs w:val="20"/>
          <w:lang w:val="it-IT"/>
        </w:rPr>
      </w:pPr>
      <w:r w:rsidRPr="0038738F">
        <w:rPr>
          <w:rFonts w:cs="Arial"/>
          <w:b/>
          <w:bCs/>
          <w:sz w:val="20"/>
          <w:szCs w:val="20"/>
          <w:lang w:val="it-IT"/>
        </w:rPr>
        <w:lastRenderedPageBreak/>
        <w:t>→</w:t>
      </w:r>
      <w:r w:rsidRPr="0038738F">
        <w:rPr>
          <w:rFonts w:ascii="Verdana" w:hAnsi="Verdana" w:cs="Arial"/>
          <w:b/>
          <w:bCs/>
          <w:sz w:val="20"/>
          <w:szCs w:val="20"/>
          <w:lang w:val="it-IT"/>
        </w:rPr>
        <w:t xml:space="preserve"> Krediti za poljoprivredu </w:t>
      </w:r>
      <w:r w:rsidRPr="0038738F">
        <w:rPr>
          <w:rFonts w:ascii="Verdana" w:hAnsi="Verdana" w:cs="Arial"/>
          <w:sz w:val="20"/>
          <w:szCs w:val="20"/>
          <w:lang w:val="it-IT"/>
        </w:rPr>
        <w:t>se odobravaju licima upisanim u registar poljoprivrednih gazdinstava kod APIF-a i licima koja su upisana u Registar poljoprivrednih gazdinstava na području Brčko Distrikta BiH uz maksimalan iznos do 50.000 KM. Namjena kredita je</w:t>
      </w:r>
      <w:r w:rsidRPr="0038738F">
        <w:rPr>
          <w:rFonts w:ascii="Verdana" w:hAnsi="Verdana" w:cs="Arial"/>
          <w:color w:val="000000"/>
          <w:sz w:val="20"/>
          <w:szCs w:val="20"/>
          <w:lang w:val="it-IT" w:eastAsia="bs-Latn-BA"/>
        </w:rPr>
        <w:t xml:space="preserve"> kupovina poljoprivredne mehanizacije, kupovina osnovnog stada, kupovina poljoprivrednog zemljišta, podizanje farmi i ostalo vezano za primarnu poljoprivrednu proizvodnju. </w:t>
      </w:r>
      <w:r w:rsidRPr="0038738F">
        <w:rPr>
          <w:rFonts w:ascii="Verdana" w:hAnsi="Verdana" w:cs="Arial"/>
          <w:sz w:val="20"/>
          <w:szCs w:val="20"/>
          <w:lang w:val="it-IT"/>
        </w:rPr>
        <w:t xml:space="preserve">Poljoprivredni krediti se odobravaju uz jednokratnu otplatu na rok od 12 mjeseci i NKS od 9% - 16%, i anuitetnu otplatu na rok do 60 mjeseci uz NKS od 9% - 16%. Naknada za obradu zahtjeva je od 1% do 2,5% zavisno od roka, min 40 KM. Obezbjeđenje kredita zavisi od kreditne sposobnosti i kreditne istorije klijenta. </w:t>
      </w:r>
    </w:p>
    <w:p w14:paraId="23EB5C37" w14:textId="77777777" w:rsidR="009129A8" w:rsidRPr="00777200" w:rsidRDefault="009129A8" w:rsidP="009129A8">
      <w:pPr>
        <w:spacing w:after="240" w:line="240" w:lineRule="auto"/>
        <w:jc w:val="both"/>
        <w:rPr>
          <w:rFonts w:ascii="Verdana" w:hAnsi="Verdana" w:cs="Arial"/>
          <w:sz w:val="20"/>
          <w:szCs w:val="20"/>
          <w:lang w:val="it-IT"/>
        </w:rPr>
      </w:pPr>
      <w:r w:rsidRPr="00777200">
        <w:rPr>
          <w:rFonts w:cs="Arial"/>
          <w:b/>
          <w:bCs/>
          <w:sz w:val="20"/>
          <w:szCs w:val="20"/>
          <w:lang w:val="it-IT"/>
        </w:rPr>
        <w:t>→</w:t>
      </w:r>
      <w:r w:rsidRPr="00777200">
        <w:rPr>
          <w:rFonts w:ascii="Verdana" w:hAnsi="Verdana" w:cs="Arial"/>
          <w:b/>
          <w:bCs/>
          <w:sz w:val="20"/>
          <w:szCs w:val="20"/>
          <w:lang w:val="it-IT"/>
        </w:rPr>
        <w:t xml:space="preserve"> Krediti za registraciju vozila </w:t>
      </w:r>
      <w:r w:rsidRPr="00777200">
        <w:rPr>
          <w:rFonts w:ascii="Verdana" w:hAnsi="Verdana" w:cs="Arial"/>
          <w:bCs/>
          <w:sz w:val="20"/>
          <w:szCs w:val="20"/>
          <w:lang w:val="it-IT"/>
        </w:rPr>
        <w:t>su</w:t>
      </w:r>
      <w:r w:rsidRPr="00777200">
        <w:rPr>
          <w:rFonts w:ascii="Verdana" w:hAnsi="Verdana" w:cs="Arial"/>
          <w:sz w:val="20"/>
          <w:szCs w:val="20"/>
          <w:lang w:val="it-IT"/>
        </w:rPr>
        <w:t xml:space="preserve"> </w:t>
      </w:r>
      <w:r w:rsidRPr="00777200">
        <w:rPr>
          <w:rFonts w:ascii="Verdana" w:hAnsi="Verdana" w:cs="Arial"/>
          <w:color w:val="000000"/>
          <w:sz w:val="20"/>
          <w:szCs w:val="20"/>
          <w:lang w:val="it-IT" w:eastAsia="bs-Latn-BA"/>
        </w:rPr>
        <w:t xml:space="preserve">namjenjeni za </w:t>
      </w:r>
      <w:r w:rsidRPr="00777200">
        <w:rPr>
          <w:rFonts w:ascii="Verdana" w:hAnsi="Verdana" w:cs="Arial"/>
          <w:sz w:val="20"/>
          <w:szCs w:val="20"/>
          <w:lang w:val="it-IT"/>
        </w:rPr>
        <w:t xml:space="preserve">registraciju i osiguranje putničkih i terenih vozila, uz maksimalan iznos do 3.000 KM. Rok otplate je do 12 mjeseci, u mjesečnim anuitetima. Ovi krediti se odobravaju bez kamate i naknade za obradu zahtjeva, prema ugovorima o poslovno tehničkoj saradnji potpisanom između Društva i osiguravajućih kuća. Obezbjeđenje kredita zavisi od kreditne sposobnosti i kreditne istorije klijenta. </w:t>
      </w:r>
    </w:p>
    <w:p w14:paraId="173D5CDC" w14:textId="77777777" w:rsidR="009129A8" w:rsidRPr="00777200" w:rsidRDefault="009129A8" w:rsidP="009129A8">
      <w:pPr>
        <w:spacing w:after="240" w:line="240" w:lineRule="auto"/>
        <w:jc w:val="both"/>
        <w:rPr>
          <w:rFonts w:ascii="Verdana" w:hAnsi="Verdana" w:cs="Arial"/>
          <w:sz w:val="20"/>
          <w:szCs w:val="20"/>
          <w:lang w:val="it-IT"/>
        </w:rPr>
      </w:pPr>
      <w:r w:rsidRPr="00777200">
        <w:rPr>
          <w:rFonts w:cs="Arial"/>
          <w:b/>
          <w:bCs/>
          <w:sz w:val="20"/>
          <w:szCs w:val="20"/>
          <w:lang w:val="it-IT"/>
        </w:rPr>
        <w:t>→</w:t>
      </w:r>
      <w:r w:rsidRPr="00777200">
        <w:rPr>
          <w:rFonts w:ascii="Verdana" w:hAnsi="Verdana" w:cs="Arial"/>
          <w:b/>
          <w:bCs/>
          <w:sz w:val="20"/>
          <w:szCs w:val="20"/>
          <w:lang w:val="it-IT"/>
        </w:rPr>
        <w:t xml:space="preserve"> Krediti za registraciju vozila-plus su</w:t>
      </w:r>
      <w:r w:rsidRPr="00777200">
        <w:rPr>
          <w:rFonts w:ascii="Verdana" w:hAnsi="Verdana" w:cs="Arial"/>
          <w:sz w:val="20"/>
          <w:szCs w:val="20"/>
          <w:lang w:val="it-IT"/>
        </w:rPr>
        <w:t xml:space="preserve"> </w:t>
      </w:r>
      <w:r w:rsidRPr="00777200">
        <w:rPr>
          <w:rFonts w:ascii="Verdana" w:hAnsi="Verdana" w:cs="Arial"/>
          <w:color w:val="000000"/>
          <w:sz w:val="20"/>
          <w:szCs w:val="20"/>
          <w:lang w:val="it-IT" w:eastAsia="bs-Latn-BA"/>
        </w:rPr>
        <w:t xml:space="preserve">namjenjeni za </w:t>
      </w:r>
      <w:r w:rsidRPr="00777200">
        <w:rPr>
          <w:rFonts w:ascii="Verdana" w:hAnsi="Verdana" w:cs="Arial"/>
          <w:sz w:val="20"/>
          <w:szCs w:val="20"/>
          <w:lang w:val="it-IT"/>
        </w:rPr>
        <w:t xml:space="preserve">registraciju i osiguranje putničkih i terenih vozila, uz maksimalan iznos do 3.000 KM. Rok otplate je do 12 mjeseci, u mjesečnim anuitetima. NKS kod ovih kredita iznosi 13%, a naknada za obradu zahtjeva 30 KM fiksno. Obezbjeđenje kredita zavisi od kreditne sposobnosti i kreditne istorije klijenta. </w:t>
      </w:r>
    </w:p>
    <w:p w14:paraId="28202436" w14:textId="77777777" w:rsidR="009129A8" w:rsidRPr="00A672D4" w:rsidRDefault="009129A8" w:rsidP="009129A8">
      <w:pPr>
        <w:spacing w:after="240" w:line="240" w:lineRule="auto"/>
        <w:jc w:val="both"/>
        <w:rPr>
          <w:rFonts w:ascii="Verdana" w:hAnsi="Verdana" w:cs="Arial"/>
          <w:sz w:val="20"/>
          <w:szCs w:val="20"/>
        </w:rPr>
      </w:pPr>
      <w:r w:rsidRPr="00777200">
        <w:rPr>
          <w:rFonts w:cs="Arial"/>
          <w:b/>
          <w:bCs/>
          <w:sz w:val="20"/>
          <w:szCs w:val="20"/>
          <w:lang w:val="it-IT"/>
        </w:rPr>
        <w:t>→</w:t>
      </w:r>
      <w:r w:rsidRPr="00777200">
        <w:rPr>
          <w:rFonts w:ascii="Verdana" w:hAnsi="Verdana" w:cs="Arial"/>
          <w:b/>
          <w:bCs/>
          <w:sz w:val="20"/>
          <w:szCs w:val="20"/>
          <w:lang w:val="it-IT"/>
        </w:rPr>
        <w:t xml:space="preserve"> Krediti za penzionere </w:t>
      </w:r>
      <w:r w:rsidRPr="00777200">
        <w:rPr>
          <w:rFonts w:ascii="Verdana" w:hAnsi="Verdana" w:cs="Arial"/>
          <w:sz w:val="20"/>
          <w:szCs w:val="20"/>
          <w:lang w:val="it-IT"/>
        </w:rPr>
        <w:t xml:space="preserve">su namijenjeni penzionerima do navršenih 75 godina starosti u trenutku otplate posljednje rate. </w:t>
      </w:r>
      <w:proofErr w:type="spellStart"/>
      <w:r w:rsidRPr="00A672D4">
        <w:rPr>
          <w:rFonts w:ascii="Verdana" w:hAnsi="Verdana" w:cs="Arial"/>
          <w:sz w:val="20"/>
          <w:szCs w:val="20"/>
        </w:rPr>
        <w:t>Iznos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je do 8.000 KM </w:t>
      </w:r>
      <w:proofErr w:type="spellStart"/>
      <w:r w:rsidRPr="00A672D4">
        <w:rPr>
          <w:rFonts w:ascii="Verdana" w:hAnsi="Verdana" w:cs="Arial"/>
          <w:sz w:val="20"/>
          <w:szCs w:val="20"/>
        </w:rPr>
        <w:t>sa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rokom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otplate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do 48 </w:t>
      </w:r>
      <w:proofErr w:type="spellStart"/>
      <w:r w:rsidRPr="00A672D4">
        <w:rPr>
          <w:rFonts w:ascii="Verdana" w:hAnsi="Verdana" w:cs="Arial"/>
          <w:sz w:val="20"/>
          <w:szCs w:val="20"/>
        </w:rPr>
        <w:t>mjeseci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A672D4">
        <w:rPr>
          <w:rFonts w:ascii="Verdana" w:hAnsi="Verdana" w:cs="Arial"/>
          <w:sz w:val="20"/>
          <w:szCs w:val="20"/>
        </w:rPr>
        <w:t>Iznos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rok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mogu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biti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veći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672D4">
        <w:rPr>
          <w:rFonts w:ascii="Verdana" w:hAnsi="Verdana" w:cs="Arial"/>
          <w:sz w:val="20"/>
          <w:szCs w:val="20"/>
        </w:rPr>
        <w:t>zavisnosti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od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starosti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672D4">
        <w:rPr>
          <w:rFonts w:ascii="Verdana" w:hAnsi="Verdana" w:cs="Arial"/>
          <w:sz w:val="20"/>
          <w:szCs w:val="20"/>
        </w:rPr>
        <w:t>kreditne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istorije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672D4">
        <w:rPr>
          <w:rFonts w:ascii="Verdana" w:hAnsi="Verdana" w:cs="Arial"/>
          <w:sz w:val="20"/>
          <w:szCs w:val="20"/>
        </w:rPr>
        <w:t>kreditne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sposobnosti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klijenta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672D4">
        <w:rPr>
          <w:rFonts w:ascii="Verdana" w:hAnsi="Verdana" w:cs="Arial"/>
          <w:sz w:val="20"/>
          <w:szCs w:val="20"/>
        </w:rPr>
        <w:t>obezbjeđenja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. NKS je od 18% - 22%, a </w:t>
      </w:r>
      <w:proofErr w:type="spellStart"/>
      <w:r w:rsidRPr="00A672D4">
        <w:rPr>
          <w:rFonts w:ascii="Verdana" w:hAnsi="Verdana" w:cs="Arial"/>
          <w:sz w:val="20"/>
          <w:szCs w:val="20"/>
        </w:rPr>
        <w:t>naknada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A672D4">
        <w:rPr>
          <w:rFonts w:ascii="Verdana" w:hAnsi="Verdana" w:cs="Arial"/>
          <w:sz w:val="20"/>
          <w:szCs w:val="20"/>
        </w:rPr>
        <w:t>obradu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zahtjeva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do 2,5%, min 50 KM. </w:t>
      </w:r>
      <w:proofErr w:type="spellStart"/>
      <w:r w:rsidRPr="00A672D4">
        <w:rPr>
          <w:rFonts w:ascii="Verdana" w:hAnsi="Verdana" w:cs="Arial"/>
          <w:sz w:val="20"/>
          <w:szCs w:val="20"/>
        </w:rPr>
        <w:t>Obezbjeđenje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zavisi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od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kreditne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sposobnosti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kreditne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istorije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klijenta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. </w:t>
      </w:r>
    </w:p>
    <w:p w14:paraId="7419FF9C" w14:textId="77777777" w:rsidR="009129A8" w:rsidRPr="00A672D4" w:rsidRDefault="009129A8" w:rsidP="009129A8">
      <w:pPr>
        <w:spacing w:after="240" w:line="240" w:lineRule="auto"/>
        <w:jc w:val="both"/>
        <w:rPr>
          <w:rFonts w:ascii="Verdana" w:hAnsi="Verdana" w:cs="Arial"/>
          <w:color w:val="111111"/>
          <w:sz w:val="20"/>
          <w:szCs w:val="20"/>
          <w:shd w:val="clear" w:color="auto" w:fill="FFFFFF"/>
        </w:rPr>
      </w:pPr>
      <w:r w:rsidRPr="00A672D4">
        <w:rPr>
          <w:rFonts w:cs="Arial"/>
          <w:b/>
          <w:bCs/>
          <w:sz w:val="20"/>
          <w:szCs w:val="20"/>
        </w:rPr>
        <w:t>→</w:t>
      </w:r>
      <w:r w:rsidRPr="00A672D4">
        <w:rPr>
          <w:rFonts w:ascii="Verdana" w:hAnsi="Verdana" w:cs="Arial"/>
          <w:b/>
          <w:bCs/>
          <w:sz w:val="20"/>
          <w:szCs w:val="20"/>
        </w:rPr>
        <w:t xml:space="preserve"> Robni </w:t>
      </w:r>
      <w:proofErr w:type="spellStart"/>
      <w:r w:rsidRPr="00A672D4">
        <w:rPr>
          <w:rFonts w:ascii="Verdana" w:hAnsi="Verdana" w:cs="Arial"/>
          <w:b/>
          <w:bCs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namjenjeni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plaćanju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robe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pravnim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licima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sa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kojima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je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Društvo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sklopilo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ugovor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o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kreditiranju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prodaje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robe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sa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rokom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do 12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mjeseci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i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maksimalnom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iznosu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do 3.000 KM, bez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naknade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za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obradu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zahtjeva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i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kamate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. </w:t>
      </w:r>
      <w:proofErr w:type="spellStart"/>
      <w:r w:rsidRPr="00A672D4">
        <w:rPr>
          <w:rFonts w:ascii="Verdana" w:hAnsi="Verdana" w:cs="Arial"/>
          <w:sz w:val="20"/>
          <w:szCs w:val="20"/>
        </w:rPr>
        <w:t>Obezbjeđenje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zavisi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od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kreditne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sposobnosti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kreditne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istorije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klijenta</w:t>
      </w:r>
      <w:proofErr w:type="spellEnd"/>
      <w:r w:rsidRPr="00A672D4">
        <w:rPr>
          <w:rFonts w:ascii="Verdana" w:hAnsi="Verdana" w:cs="Arial"/>
          <w:sz w:val="20"/>
          <w:szCs w:val="20"/>
        </w:rPr>
        <w:t>.</w:t>
      </w:r>
    </w:p>
    <w:p w14:paraId="246FF544" w14:textId="77777777" w:rsidR="009129A8" w:rsidRPr="00A672D4" w:rsidRDefault="009129A8" w:rsidP="009129A8">
      <w:pPr>
        <w:spacing w:after="240" w:line="240" w:lineRule="auto"/>
        <w:jc w:val="both"/>
        <w:rPr>
          <w:rFonts w:ascii="Verdana" w:hAnsi="Verdana" w:cs="Arial"/>
          <w:sz w:val="20"/>
          <w:szCs w:val="20"/>
        </w:rPr>
      </w:pPr>
      <w:r w:rsidRPr="00A672D4">
        <w:rPr>
          <w:rFonts w:cs="Arial"/>
          <w:b/>
          <w:bCs/>
          <w:sz w:val="20"/>
          <w:szCs w:val="20"/>
        </w:rPr>
        <w:t>→</w:t>
      </w:r>
      <w:r w:rsidRPr="00A672D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b/>
          <w:bCs/>
          <w:sz w:val="20"/>
          <w:szCs w:val="20"/>
        </w:rPr>
        <w:t>Potrošački</w:t>
      </w:r>
      <w:proofErr w:type="spellEnd"/>
      <w:r w:rsidRPr="00A672D4">
        <w:rPr>
          <w:rFonts w:ascii="Verdana" w:hAnsi="Verdana" w:cs="Arial"/>
          <w:b/>
          <w:bCs/>
          <w:sz w:val="20"/>
          <w:szCs w:val="20"/>
        </w:rPr>
        <w:t xml:space="preserve"> (</w:t>
      </w:r>
      <w:proofErr w:type="spellStart"/>
      <w:r w:rsidRPr="00A672D4">
        <w:rPr>
          <w:rFonts w:ascii="Verdana" w:hAnsi="Verdana" w:cs="Arial"/>
          <w:b/>
          <w:bCs/>
          <w:sz w:val="20"/>
          <w:szCs w:val="20"/>
        </w:rPr>
        <w:t>nenamjenski</w:t>
      </w:r>
      <w:proofErr w:type="spellEnd"/>
      <w:r w:rsidRPr="00A672D4">
        <w:rPr>
          <w:rFonts w:ascii="Verdana" w:hAnsi="Verdana" w:cs="Arial"/>
          <w:b/>
          <w:bCs/>
          <w:sz w:val="20"/>
          <w:szCs w:val="20"/>
        </w:rPr>
        <w:t xml:space="preserve">) </w:t>
      </w:r>
      <w:proofErr w:type="spellStart"/>
      <w:r w:rsidRPr="00A672D4">
        <w:rPr>
          <w:rFonts w:ascii="Verdana" w:hAnsi="Verdana" w:cs="Arial"/>
          <w:b/>
          <w:bCs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A672D4">
        <w:rPr>
          <w:rFonts w:ascii="Verdana" w:hAnsi="Verdana" w:cs="Arial"/>
          <w:sz w:val="20"/>
          <w:szCs w:val="20"/>
        </w:rPr>
        <w:t>odobravaju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svim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kreditno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sposobnim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fizičkim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licima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672D4">
        <w:rPr>
          <w:rFonts w:ascii="Verdana" w:hAnsi="Verdana" w:cs="Arial"/>
          <w:sz w:val="20"/>
          <w:szCs w:val="20"/>
        </w:rPr>
        <w:t>iznosu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do 20.000 KM </w:t>
      </w:r>
      <w:proofErr w:type="spellStart"/>
      <w:r w:rsidRPr="00A672D4">
        <w:rPr>
          <w:rFonts w:ascii="Verdana" w:hAnsi="Verdana" w:cs="Arial"/>
          <w:sz w:val="20"/>
          <w:szCs w:val="20"/>
        </w:rPr>
        <w:t>sa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rokom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do 60 </w:t>
      </w:r>
      <w:proofErr w:type="spellStart"/>
      <w:r w:rsidRPr="00A672D4">
        <w:rPr>
          <w:rFonts w:ascii="Verdana" w:hAnsi="Verdana" w:cs="Arial"/>
          <w:sz w:val="20"/>
          <w:szCs w:val="20"/>
        </w:rPr>
        <w:t>mjeseci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672D4">
        <w:rPr>
          <w:rFonts w:ascii="Verdana" w:hAnsi="Verdana" w:cs="Arial"/>
          <w:sz w:val="20"/>
          <w:szCs w:val="20"/>
        </w:rPr>
        <w:t>anuitetnom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otplatom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. NKS je od 18% - 24% a </w:t>
      </w:r>
      <w:proofErr w:type="spellStart"/>
      <w:r w:rsidRPr="00A672D4">
        <w:rPr>
          <w:rFonts w:ascii="Verdana" w:hAnsi="Verdana" w:cs="Arial"/>
          <w:sz w:val="20"/>
          <w:szCs w:val="20"/>
        </w:rPr>
        <w:t>naknada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A672D4">
        <w:rPr>
          <w:rFonts w:ascii="Verdana" w:hAnsi="Verdana" w:cs="Arial"/>
          <w:sz w:val="20"/>
          <w:szCs w:val="20"/>
        </w:rPr>
        <w:t>obardu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kreditnog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zahtjeva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je do 2,5%, min 50 KM. </w:t>
      </w:r>
      <w:proofErr w:type="spellStart"/>
      <w:r w:rsidRPr="00A672D4">
        <w:rPr>
          <w:rFonts w:ascii="Verdana" w:hAnsi="Verdana" w:cs="Arial"/>
          <w:sz w:val="20"/>
          <w:szCs w:val="20"/>
        </w:rPr>
        <w:t>Obezbjeđenje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zavisi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od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kreditne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sposobnosti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kreditne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istorije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klijenta</w:t>
      </w:r>
      <w:proofErr w:type="spellEnd"/>
      <w:r w:rsidRPr="00A672D4">
        <w:rPr>
          <w:rFonts w:ascii="Verdana" w:hAnsi="Verdana" w:cs="Arial"/>
          <w:sz w:val="20"/>
          <w:szCs w:val="20"/>
        </w:rPr>
        <w:t>.</w:t>
      </w:r>
    </w:p>
    <w:p w14:paraId="3DE33796" w14:textId="33689900" w:rsidR="009129A8" w:rsidRPr="00A672D4" w:rsidRDefault="009129A8" w:rsidP="009129A8">
      <w:pPr>
        <w:spacing w:after="240" w:line="240" w:lineRule="auto"/>
        <w:jc w:val="both"/>
        <w:rPr>
          <w:rFonts w:ascii="Verdana" w:hAnsi="Verdana" w:cs="Arial"/>
          <w:color w:val="111111"/>
          <w:sz w:val="20"/>
          <w:szCs w:val="20"/>
          <w:shd w:val="clear" w:color="auto" w:fill="FFFFFF"/>
        </w:rPr>
      </w:pPr>
      <w:r w:rsidRPr="00A672D4">
        <w:rPr>
          <w:rFonts w:cs="Arial"/>
          <w:b/>
          <w:bCs/>
          <w:sz w:val="20"/>
          <w:szCs w:val="20"/>
        </w:rPr>
        <w:t>→</w:t>
      </w:r>
      <w:r w:rsidRPr="00A672D4">
        <w:rPr>
          <w:rFonts w:ascii="Verdana" w:hAnsi="Verdana" w:cs="Arial"/>
          <w:b/>
          <w:bCs/>
          <w:sz w:val="20"/>
          <w:szCs w:val="20"/>
        </w:rPr>
        <w:t xml:space="preserve"> Studentski </w:t>
      </w:r>
      <w:proofErr w:type="spellStart"/>
      <w:r w:rsidRPr="00A672D4">
        <w:rPr>
          <w:rFonts w:ascii="Verdana" w:hAnsi="Verdana" w:cs="Arial"/>
          <w:b/>
          <w:bCs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shd w:val="clear" w:color="auto" w:fill="FFFFFF"/>
        </w:rPr>
        <w:t>namjenjeni</w:t>
      </w:r>
      <w:proofErr w:type="spellEnd"/>
      <w:r w:rsidRPr="00A672D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za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pokriće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troškova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školarine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na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visokoškolskoj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instituciji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.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Iznos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kredita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je do 50.000 KM,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rok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do 36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mjeseci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anuitetno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.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Obavezno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je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sudužništvo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roditelja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ili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staratelja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a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obezbjeđenje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je u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zavisnosti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od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iznosa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kredita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I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kreditne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sposobnosti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sudužnika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. NKS je od 17% - 19%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i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naknada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za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obradu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kreditnog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>zahtjeva</w:t>
      </w:r>
      <w:proofErr w:type="spellEnd"/>
      <w:r w:rsidRPr="00A672D4">
        <w:rPr>
          <w:rFonts w:ascii="Verdana" w:hAnsi="Verdana" w:cs="Arial"/>
          <w:color w:val="111111"/>
          <w:sz w:val="20"/>
          <w:szCs w:val="20"/>
          <w:shd w:val="clear" w:color="auto" w:fill="FFFFFF"/>
        </w:rPr>
        <w:t xml:space="preserve"> do 2,5%, min 50 KM. </w:t>
      </w:r>
      <w:proofErr w:type="spellStart"/>
      <w:r w:rsidRPr="00A672D4">
        <w:rPr>
          <w:rFonts w:ascii="Verdana" w:hAnsi="Verdana" w:cs="Arial"/>
          <w:sz w:val="20"/>
          <w:szCs w:val="20"/>
        </w:rPr>
        <w:t>Obezbjeđenje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zavisi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od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kreditne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sposobnosti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kreditne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istorije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klijenta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. </w:t>
      </w:r>
    </w:p>
    <w:p w14:paraId="50D84B5C" w14:textId="77777777" w:rsidR="009129A8" w:rsidRPr="00777200" w:rsidRDefault="009129A8" w:rsidP="009129A8">
      <w:pPr>
        <w:spacing w:after="24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A672D4">
        <w:rPr>
          <w:rFonts w:cs="Arial"/>
          <w:b/>
          <w:bCs/>
          <w:sz w:val="20"/>
          <w:szCs w:val="20"/>
        </w:rPr>
        <w:t>→</w:t>
      </w:r>
      <w:r w:rsidRPr="00A672D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b/>
          <w:bCs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b/>
          <w:bCs/>
          <w:sz w:val="20"/>
          <w:szCs w:val="20"/>
        </w:rPr>
        <w:t xml:space="preserve"> za </w:t>
      </w:r>
      <w:proofErr w:type="spellStart"/>
      <w:r w:rsidRPr="00A672D4">
        <w:rPr>
          <w:rFonts w:ascii="Verdana" w:hAnsi="Verdana" w:cs="Arial"/>
          <w:b/>
          <w:bCs/>
          <w:sz w:val="20"/>
          <w:szCs w:val="20"/>
        </w:rPr>
        <w:t>refinansiranje</w:t>
      </w:r>
      <w:proofErr w:type="spellEnd"/>
      <w:r w:rsidRPr="00A672D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namijenjeni</w:t>
      </w:r>
      <w:proofErr w:type="spellEnd"/>
      <w:r w:rsidRPr="00A672D4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A672D4">
        <w:rPr>
          <w:rFonts w:ascii="Verdana" w:hAnsi="Verdana" w:cs="Arial"/>
          <w:sz w:val="20"/>
          <w:szCs w:val="20"/>
        </w:rPr>
        <w:t>za</w:t>
      </w:r>
      <w:r w:rsidRPr="00A672D4">
        <w:rPr>
          <w:rFonts w:ascii="Verdana" w:hAnsi="Verdana" w:cs="Arial"/>
          <w:sz w:val="20"/>
          <w:szCs w:val="20"/>
          <w:shd w:val="clear" w:color="auto" w:fill="FFFFFF"/>
          <w:lang w:val="sr-Latn-BA"/>
        </w:rPr>
        <w:t xml:space="preserve"> refinansiranje </w:t>
      </w:r>
      <w:r w:rsidRPr="00A672D4">
        <w:rPr>
          <w:rFonts w:ascii="Verdana" w:hAnsi="Verdana" w:cs="Arial"/>
          <w:sz w:val="20"/>
          <w:szCs w:val="20"/>
          <w:lang w:val="sr-Latn-BA"/>
        </w:rPr>
        <w:t xml:space="preserve">jednog ili više kreditnih zaduženja koji su odobreni u proteklom periodu u iznosu do 50.000 KM i rokom otplate do 60 mjeseci, anuitetno. NKS je 17% - 20%  i naknada za obradu kreditnog zahtjeva je do 2,5%, min 50 KM. Obezbjeđenje kredita zavisi od kreditne sposobnosti i kreditne istorije klijenta. </w:t>
      </w:r>
    </w:p>
    <w:p w14:paraId="7FADC481" w14:textId="77777777" w:rsidR="00155F54" w:rsidRDefault="009129A8" w:rsidP="009129A8">
      <w:pPr>
        <w:spacing w:after="240" w:line="240" w:lineRule="auto"/>
        <w:jc w:val="both"/>
        <w:rPr>
          <w:rFonts w:ascii="Verdana" w:hAnsi="Verdana" w:cs="Arial"/>
          <w:sz w:val="20"/>
          <w:szCs w:val="20"/>
          <w:lang w:val="it-IT"/>
        </w:rPr>
      </w:pPr>
      <w:r w:rsidRPr="00777200">
        <w:rPr>
          <w:rFonts w:cs="Arial"/>
          <w:b/>
          <w:bCs/>
          <w:sz w:val="20"/>
          <w:szCs w:val="20"/>
          <w:lang w:val="sr-Latn-BA"/>
        </w:rPr>
        <w:t>→</w:t>
      </w:r>
      <w:r w:rsidRPr="00777200">
        <w:rPr>
          <w:rFonts w:ascii="Verdana" w:hAnsi="Verdana" w:cs="Arial"/>
          <w:b/>
          <w:bCs/>
          <w:sz w:val="20"/>
          <w:szCs w:val="20"/>
          <w:lang w:val="sr-Latn-BA"/>
        </w:rPr>
        <w:t xml:space="preserve"> Brzi krediti </w:t>
      </w:r>
      <w:r w:rsidRPr="00777200">
        <w:rPr>
          <w:rFonts w:ascii="Verdana" w:hAnsi="Verdana" w:cs="Arial"/>
          <w:sz w:val="20"/>
          <w:szCs w:val="20"/>
          <w:lang w:val="sr-Latn-BA"/>
        </w:rPr>
        <w:t xml:space="preserve">se odobravaju hitno u roku do 24 sata, u iznosu do 2.000 KM i rokom otplate do 18 mjeseci anuitetno. </w:t>
      </w:r>
      <w:r w:rsidRPr="00777200">
        <w:rPr>
          <w:rFonts w:ascii="Verdana" w:hAnsi="Verdana" w:cs="Arial"/>
          <w:sz w:val="20"/>
          <w:szCs w:val="20"/>
          <w:lang w:val="it-IT"/>
        </w:rPr>
        <w:t xml:space="preserve">NKS je 26% - 28% i naknada za obradu zahteva do 2,5%, </w:t>
      </w:r>
    </w:p>
    <w:p w14:paraId="14CFE868" w14:textId="485884DF" w:rsidR="009129A8" w:rsidRPr="00A672D4" w:rsidRDefault="009129A8" w:rsidP="009129A8">
      <w:pPr>
        <w:spacing w:after="24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777200">
        <w:rPr>
          <w:rFonts w:ascii="Verdana" w:hAnsi="Verdana" w:cs="Arial"/>
          <w:sz w:val="20"/>
          <w:szCs w:val="20"/>
          <w:lang w:val="it-IT"/>
        </w:rPr>
        <w:t xml:space="preserve">min 50 KM. </w:t>
      </w:r>
      <w:r w:rsidRPr="00A672D4">
        <w:rPr>
          <w:rFonts w:ascii="Verdana" w:hAnsi="Verdana" w:cs="Arial"/>
          <w:sz w:val="20"/>
          <w:szCs w:val="20"/>
          <w:lang w:val="sr-Latn-BA"/>
        </w:rPr>
        <w:t xml:space="preserve">Obezbjeđenje kredita je zavisi od kreditne sposobnosti i kreditne istorije klijenta. </w:t>
      </w:r>
    </w:p>
    <w:p w14:paraId="0713AB69" w14:textId="77777777" w:rsidR="009129A8" w:rsidRPr="00A672D4" w:rsidRDefault="009129A8" w:rsidP="009129A8">
      <w:pPr>
        <w:spacing w:after="240" w:line="240" w:lineRule="auto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777200">
        <w:rPr>
          <w:rFonts w:cs="Arial"/>
          <w:b/>
          <w:bCs/>
          <w:sz w:val="20"/>
          <w:szCs w:val="20"/>
          <w:lang w:val="sr-Latn-BA"/>
        </w:rPr>
        <w:lastRenderedPageBreak/>
        <w:t>→</w:t>
      </w:r>
      <w:r w:rsidRPr="00777200">
        <w:rPr>
          <w:rFonts w:ascii="Verdana" w:hAnsi="Verdana" w:cs="Arial"/>
          <w:b/>
          <w:bCs/>
          <w:sz w:val="20"/>
          <w:szCs w:val="20"/>
          <w:lang w:val="sr-Latn-BA"/>
        </w:rPr>
        <w:t xml:space="preserve"> Start-up krediti </w:t>
      </w:r>
      <w:r w:rsidRPr="00777200">
        <w:rPr>
          <w:rFonts w:ascii="Verdana" w:hAnsi="Verdana" w:cs="Arial"/>
          <w:sz w:val="20"/>
          <w:szCs w:val="20"/>
          <w:lang w:val="sr-Latn-BA"/>
        </w:rPr>
        <w:t xml:space="preserve">su </w:t>
      </w:r>
      <w:r w:rsidRPr="00777200">
        <w:rPr>
          <w:rStyle w:val="apple-converted-space"/>
          <w:rFonts w:ascii="Verdana" w:hAnsi="Verdana" w:cs="Arial"/>
          <w:color w:val="000000"/>
          <w:sz w:val="20"/>
          <w:szCs w:val="20"/>
          <w:shd w:val="clear" w:color="auto" w:fill="FFFFFF"/>
          <w:lang w:val="sr-Latn-BA"/>
        </w:rPr>
        <w:t>namjenjeni: preduzetnicima</w:t>
      </w:r>
      <w:r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sr-Latn-BA"/>
        </w:rPr>
        <w:t xml:space="preserve"> i pravnim licima čija je istorija poslovanja kraća od 24 mjeseca, socijalnim preduzećima bez obzira na dužinu poslovanja i biznisima koji nisu pokrenute ali imaju održivu poslovnu ideju i tržišni potencijal.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Makismalan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iznos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ovih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kredita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je do 20.000 KM </w:t>
      </w:r>
      <w:proofErr w:type="spellStart"/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rokom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otplate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do 48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mjeseci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anuitetno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NKS je od 17% - 20% a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naknada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obradu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kreditnog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zahtjeva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do 2,5%, min 50 KM.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Obezbjeđenje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kredita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zavisi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od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kreditne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sposobnosti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kreditne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istorije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vlasnika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18A39584" w14:textId="77777777" w:rsidR="009129A8" w:rsidRPr="00A672D4" w:rsidRDefault="009129A8" w:rsidP="009129A8">
      <w:pPr>
        <w:spacing w:after="240" w:line="240" w:lineRule="auto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777200">
        <w:rPr>
          <w:rFonts w:cs="Arial"/>
          <w:b/>
          <w:bCs/>
          <w:sz w:val="20"/>
          <w:szCs w:val="20"/>
          <w:lang w:val="it-IT"/>
        </w:rPr>
        <w:t>→</w:t>
      </w:r>
      <w:r w:rsidRPr="00777200">
        <w:rPr>
          <w:rFonts w:ascii="Verdana" w:hAnsi="Verdana" w:cs="Arial"/>
          <w:b/>
          <w:bCs/>
          <w:sz w:val="20"/>
          <w:szCs w:val="20"/>
          <w:lang w:val="it-IT"/>
        </w:rPr>
        <w:t xml:space="preserve"> Krediti za pravna lica i preduzetnike </w:t>
      </w:r>
      <w:r w:rsidRPr="00777200">
        <w:rPr>
          <w:rFonts w:ascii="Verdana" w:hAnsi="Verdana" w:cs="Arial"/>
          <w:sz w:val="20"/>
          <w:szCs w:val="20"/>
          <w:lang w:val="it-IT"/>
        </w:rPr>
        <w:t xml:space="preserve">su namijenjeni za nabavku osnovnih i obrtnih sredstava a korisnici su samostalni preduzetnici i pravna lica. </w:t>
      </w:r>
      <w:proofErr w:type="spellStart"/>
      <w:r w:rsidRPr="00A672D4">
        <w:rPr>
          <w:rFonts w:ascii="Verdana" w:hAnsi="Verdana" w:cs="Arial"/>
          <w:sz w:val="20"/>
          <w:szCs w:val="20"/>
        </w:rPr>
        <w:t>Iznos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je do 50.000 KM I </w:t>
      </w:r>
      <w:proofErr w:type="spellStart"/>
      <w:r w:rsidRPr="00A672D4">
        <w:rPr>
          <w:rFonts w:ascii="Verdana" w:hAnsi="Verdana" w:cs="Arial"/>
          <w:sz w:val="20"/>
          <w:szCs w:val="20"/>
        </w:rPr>
        <w:t>rokom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otplate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do 72 </w:t>
      </w:r>
      <w:proofErr w:type="spellStart"/>
      <w:r w:rsidRPr="00A672D4">
        <w:rPr>
          <w:rFonts w:ascii="Verdana" w:hAnsi="Verdana" w:cs="Arial"/>
          <w:sz w:val="20"/>
          <w:szCs w:val="20"/>
        </w:rPr>
        <w:t>mjeseca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. NKS je od 9% - 22%, </w:t>
      </w:r>
      <w:proofErr w:type="spellStart"/>
      <w:r w:rsidRPr="00A672D4">
        <w:rPr>
          <w:rFonts w:ascii="Verdana" w:hAnsi="Verdana" w:cs="Arial"/>
          <w:sz w:val="20"/>
          <w:szCs w:val="20"/>
        </w:rPr>
        <w:t>naknada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A672D4">
        <w:rPr>
          <w:rFonts w:ascii="Verdana" w:hAnsi="Verdana" w:cs="Arial"/>
          <w:sz w:val="20"/>
          <w:szCs w:val="20"/>
        </w:rPr>
        <w:t>obradu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kreditnog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zahtjeva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je 0,5%, min 100 KM.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Obezbjeđenje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kredita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zavisi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od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kreditne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sposobnosti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kreditne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istorije</w:t>
      </w:r>
      <w:proofErr w:type="spellEnd"/>
      <w:r w:rsidRPr="00A672D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56ABAF89" w14:textId="77777777" w:rsidR="009129A8" w:rsidRPr="00A672D4" w:rsidRDefault="009129A8" w:rsidP="009129A8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A672D4">
        <w:rPr>
          <w:rFonts w:cs="Arial"/>
          <w:b/>
          <w:bCs/>
          <w:sz w:val="20"/>
          <w:szCs w:val="20"/>
        </w:rPr>
        <w:t>→</w:t>
      </w:r>
      <w:r w:rsidRPr="00A672D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b/>
          <w:bCs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b/>
          <w:bCs/>
          <w:sz w:val="20"/>
          <w:szCs w:val="20"/>
        </w:rPr>
        <w:t>iz</w:t>
      </w:r>
      <w:proofErr w:type="spellEnd"/>
      <w:r w:rsidRPr="00A672D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b/>
          <w:bCs/>
          <w:sz w:val="20"/>
          <w:szCs w:val="20"/>
        </w:rPr>
        <w:t>sredstava</w:t>
      </w:r>
      <w:proofErr w:type="spellEnd"/>
      <w:r w:rsidRPr="00A672D4">
        <w:rPr>
          <w:rFonts w:ascii="Verdana" w:hAnsi="Verdana" w:cs="Arial"/>
          <w:b/>
          <w:bCs/>
          <w:sz w:val="20"/>
          <w:szCs w:val="20"/>
        </w:rPr>
        <w:t xml:space="preserve"> IRB-a </w:t>
      </w:r>
      <w:r w:rsidRPr="00A672D4">
        <w:rPr>
          <w:rFonts w:ascii="Verdana" w:hAnsi="Verdana" w:cs="Arial"/>
          <w:sz w:val="20"/>
          <w:szCs w:val="20"/>
        </w:rPr>
        <w:t xml:space="preserve">se </w:t>
      </w:r>
      <w:proofErr w:type="spellStart"/>
      <w:r w:rsidRPr="00A672D4">
        <w:rPr>
          <w:rFonts w:ascii="Verdana" w:hAnsi="Verdana" w:cs="Arial"/>
          <w:sz w:val="20"/>
          <w:szCs w:val="20"/>
        </w:rPr>
        <w:t>odobravaju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672D4">
        <w:rPr>
          <w:rFonts w:ascii="Verdana" w:hAnsi="Verdana" w:cs="Arial"/>
          <w:sz w:val="20"/>
          <w:szCs w:val="20"/>
        </w:rPr>
        <w:t>skladu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uslovima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IRB-a </w:t>
      </w:r>
      <w:proofErr w:type="spellStart"/>
      <w:r w:rsidRPr="00A672D4">
        <w:rPr>
          <w:rFonts w:ascii="Verdana" w:hAnsi="Verdana" w:cs="Arial"/>
          <w:sz w:val="20"/>
          <w:szCs w:val="20"/>
        </w:rPr>
        <w:t>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ugovorom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potpisanim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između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IRB-a </w:t>
      </w:r>
      <w:proofErr w:type="spellStart"/>
      <w:r w:rsidRPr="00A672D4">
        <w:rPr>
          <w:rFonts w:ascii="Verdana" w:hAnsi="Verdana" w:cs="Arial"/>
          <w:sz w:val="20"/>
          <w:szCs w:val="20"/>
        </w:rPr>
        <w:t>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Društva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A672D4">
        <w:rPr>
          <w:rFonts w:ascii="Verdana" w:hAnsi="Verdana" w:cs="Arial"/>
          <w:sz w:val="20"/>
          <w:szCs w:val="20"/>
        </w:rPr>
        <w:t>kreditiranje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sljedećih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namjena</w:t>
      </w:r>
      <w:proofErr w:type="spellEnd"/>
      <w:r w:rsidRPr="00A672D4">
        <w:rPr>
          <w:rFonts w:ascii="Verdana" w:hAnsi="Verdana" w:cs="Arial"/>
          <w:sz w:val="20"/>
          <w:szCs w:val="20"/>
        </w:rPr>
        <w:t>:</w:t>
      </w:r>
    </w:p>
    <w:p w14:paraId="1379F8A8" w14:textId="77777777" w:rsidR="009129A8" w:rsidRPr="00A672D4" w:rsidRDefault="009129A8" w:rsidP="009129A8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49450F5C" w14:textId="77777777" w:rsidR="009129A8" w:rsidRPr="00A672D4" w:rsidRDefault="009129A8" w:rsidP="0020141D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ind w:left="450" w:hanging="450"/>
        <w:rPr>
          <w:rFonts w:ascii="Verdana" w:hAnsi="Verdana" w:cs="Arial"/>
          <w:sz w:val="20"/>
          <w:szCs w:val="20"/>
        </w:rPr>
      </w:pPr>
      <w:proofErr w:type="spellStart"/>
      <w:r w:rsidRPr="00A672D4">
        <w:rPr>
          <w:rFonts w:ascii="Verdana" w:hAnsi="Verdana" w:cs="Arial"/>
          <w:sz w:val="20"/>
          <w:szCs w:val="20"/>
        </w:rPr>
        <w:t>Stambeni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krediti</w:t>
      </w:r>
      <w:proofErr w:type="spellEnd"/>
      <w:r w:rsidRPr="00A672D4">
        <w:rPr>
          <w:rFonts w:ascii="Verdana" w:hAnsi="Verdana" w:cs="Arial"/>
          <w:sz w:val="20"/>
          <w:szCs w:val="20"/>
        </w:rPr>
        <w:t>,</w:t>
      </w:r>
    </w:p>
    <w:p w14:paraId="796B1D73" w14:textId="77777777" w:rsidR="009129A8" w:rsidRPr="00777200" w:rsidRDefault="009129A8" w:rsidP="0020141D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ind w:left="450" w:hanging="450"/>
        <w:rPr>
          <w:rFonts w:ascii="Verdana" w:hAnsi="Verdana" w:cs="Arial"/>
          <w:sz w:val="20"/>
          <w:szCs w:val="20"/>
          <w:lang w:val="it-IT"/>
        </w:rPr>
      </w:pPr>
      <w:r w:rsidRPr="00777200">
        <w:rPr>
          <w:rFonts w:ascii="Verdana" w:hAnsi="Verdana" w:cs="Arial"/>
          <w:sz w:val="20"/>
          <w:szCs w:val="20"/>
          <w:lang w:val="it-IT"/>
        </w:rPr>
        <w:t>Krediti za početne poslovne aktivnosti,</w:t>
      </w:r>
    </w:p>
    <w:p w14:paraId="1D55CD99" w14:textId="77777777" w:rsidR="009129A8" w:rsidRPr="00777200" w:rsidRDefault="009129A8" w:rsidP="0020141D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ind w:left="450" w:hanging="450"/>
        <w:rPr>
          <w:rFonts w:ascii="Verdana" w:hAnsi="Verdana" w:cs="Arial"/>
          <w:sz w:val="20"/>
          <w:szCs w:val="20"/>
          <w:lang w:val="it-IT"/>
        </w:rPr>
      </w:pPr>
      <w:r w:rsidRPr="00777200">
        <w:rPr>
          <w:rFonts w:ascii="Verdana" w:hAnsi="Verdana" w:cs="Arial"/>
          <w:sz w:val="20"/>
          <w:szCs w:val="20"/>
          <w:lang w:val="it-IT"/>
        </w:rPr>
        <w:t>Krediti za mikrobiznis u poljoprivredi.</w:t>
      </w:r>
    </w:p>
    <w:p w14:paraId="7FBD3421" w14:textId="77777777" w:rsidR="009129A8" w:rsidRPr="00777200" w:rsidRDefault="009129A8" w:rsidP="009129A8">
      <w:pPr>
        <w:pStyle w:val="ListParagraph"/>
        <w:spacing w:after="0"/>
        <w:ind w:firstLine="0"/>
        <w:rPr>
          <w:rFonts w:ascii="Verdana" w:hAnsi="Verdana" w:cs="Arial"/>
          <w:sz w:val="20"/>
          <w:szCs w:val="20"/>
          <w:lang w:val="it-IT"/>
        </w:rPr>
      </w:pPr>
    </w:p>
    <w:p w14:paraId="1885D61E" w14:textId="77777777" w:rsidR="009129A8" w:rsidRPr="00777200" w:rsidRDefault="009129A8" w:rsidP="009129A8">
      <w:pPr>
        <w:pStyle w:val="ListParagraph"/>
        <w:spacing w:after="0"/>
        <w:ind w:firstLine="0"/>
        <w:rPr>
          <w:rFonts w:ascii="Verdana" w:hAnsi="Verdana" w:cs="Arial"/>
          <w:lang w:val="it-IT"/>
        </w:rPr>
      </w:pPr>
    </w:p>
    <w:p w14:paraId="617407C0" w14:textId="4E45587C" w:rsidR="009129A8" w:rsidRPr="0005629A" w:rsidRDefault="0005629A" w:rsidP="0005629A">
      <w:pPr>
        <w:pStyle w:val="Heading1"/>
        <w:numPr>
          <w:ilvl w:val="0"/>
          <w:numId w:val="0"/>
        </w:numPr>
        <w:spacing w:before="0" w:line="240" w:lineRule="auto"/>
        <w:rPr>
          <w:rFonts w:ascii="Verdana" w:hAnsi="Verdana" w:cs="Arial"/>
          <w:color w:val="auto"/>
          <w:sz w:val="22"/>
          <w:szCs w:val="22"/>
          <w:lang w:val="it-IT"/>
        </w:rPr>
      </w:pPr>
      <w:r w:rsidRPr="0005629A">
        <w:rPr>
          <w:rFonts w:ascii="Verdana" w:hAnsi="Verdana" w:cs="Arial"/>
          <w:color w:val="auto"/>
          <w:sz w:val="22"/>
          <w:szCs w:val="22"/>
          <w:lang w:val="it-IT"/>
        </w:rPr>
        <w:t xml:space="preserve">3. </w:t>
      </w:r>
      <w:r w:rsidR="009129A8" w:rsidRPr="0005629A">
        <w:rPr>
          <w:rFonts w:ascii="Verdana" w:hAnsi="Verdana" w:cs="Arial"/>
          <w:color w:val="auto"/>
          <w:sz w:val="22"/>
          <w:szCs w:val="22"/>
          <w:lang w:val="it-IT"/>
        </w:rPr>
        <w:t>PROCJENA OČEKIVANOG BUDUĆEG RAZVOJA DRUŠTVA</w:t>
      </w:r>
    </w:p>
    <w:p w14:paraId="3B5A3C33" w14:textId="77777777" w:rsidR="009129A8" w:rsidRPr="0005629A" w:rsidRDefault="009129A8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it-IT"/>
        </w:rPr>
      </w:pPr>
    </w:p>
    <w:p w14:paraId="0FC43624" w14:textId="77777777" w:rsidR="009129A8" w:rsidRPr="0005629A" w:rsidRDefault="009129A8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it-IT"/>
        </w:rPr>
      </w:pPr>
    </w:p>
    <w:p w14:paraId="755DACBC" w14:textId="77777777" w:rsidR="009129A8" w:rsidRPr="00A672D4" w:rsidRDefault="009129A8" w:rsidP="009129A8">
      <w:pPr>
        <w:spacing w:after="20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Budući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način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razvoj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r w:rsidRPr="00A672D4">
        <w:rPr>
          <w:rFonts w:ascii="Verdana" w:hAnsi="Verdana" w:cs="Arial"/>
          <w:sz w:val="20"/>
          <w:szCs w:val="20"/>
          <w:lang w:val="sr-Latn-BA"/>
        </w:rPr>
        <w:t>Društva</w:t>
      </w:r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sadržan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je u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njegovoj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viziji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misiji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vrijednostima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. </w:t>
      </w:r>
    </w:p>
    <w:p w14:paraId="25B8A834" w14:textId="77777777" w:rsidR="009129A8" w:rsidRPr="00A672D4" w:rsidRDefault="009129A8" w:rsidP="009129A8">
      <w:pPr>
        <w:spacing w:after="200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Vizija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Društva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je da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postane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jaka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i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prepoznatljiva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organizacija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koja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će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svojim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imenom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i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djelovanjem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afirmisati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,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širiti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i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razvijati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misiju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mikrokreditiranja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i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mikrofinansiranja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,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uz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aktivnu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poslovnu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usmjerenost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prema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klijentima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,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što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će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doprinjeti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njihovom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poslovnom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i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ličnom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prosperitetu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, te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socijalnom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i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ekonomskom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razvoju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sredina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u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kojima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djeluje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.</w:t>
      </w:r>
    </w:p>
    <w:p w14:paraId="381988C4" w14:textId="77777777" w:rsidR="009129A8" w:rsidRPr="00A672D4" w:rsidRDefault="009129A8" w:rsidP="009129A8">
      <w:pPr>
        <w:spacing w:after="200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Misija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društva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se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ogleda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finansijskom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podržavanju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potreba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klijenata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putem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lepeze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kreditnih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proizvoda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namjenjenih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radno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aktivnom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stanovništvu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i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penzionerima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,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poljoprivrednim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gazdinstvima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,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preduzetnicima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i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pravnim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>licima</w:t>
      </w:r>
      <w:proofErr w:type="spellEnd"/>
      <w:r w:rsidRPr="00777200">
        <w:rPr>
          <w:rFonts w:ascii="Verdana" w:hAnsi="Verdana" w:cs="Arial"/>
          <w:sz w:val="20"/>
          <w:szCs w:val="20"/>
          <w:shd w:val="clear" w:color="auto" w:fill="FFFFFF"/>
          <w:lang w:val="es-AR"/>
        </w:rPr>
        <w:t xml:space="preserve">. </w:t>
      </w:r>
    </w:p>
    <w:p w14:paraId="46A091AF" w14:textId="77777777" w:rsidR="009129A8" w:rsidRPr="00A672D4" w:rsidRDefault="009129A8" w:rsidP="009129A8">
      <w:pPr>
        <w:spacing w:after="200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Namjera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poslovanja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Društva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je</w:t>
      </w:r>
      <w:r w:rsidRPr="00A672D4">
        <w:rPr>
          <w:rFonts w:ascii="Verdana" w:hAnsi="Verdana" w:cs="Arial"/>
          <w:sz w:val="20"/>
          <w:szCs w:val="20"/>
          <w:lang w:val="sr-Cyrl-BA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razumijevanje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potreba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klijenata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i</w:t>
      </w:r>
      <w:r w:rsidRPr="00A672D4">
        <w:rPr>
          <w:rFonts w:ascii="Verdana" w:hAnsi="Verdana" w:cs="Arial"/>
          <w:sz w:val="20"/>
          <w:szCs w:val="20"/>
          <w:lang w:val="sr-Cyrl-BA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uticaj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povećanje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životnog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standarda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unapređenje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kvaliteta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života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uz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jednostavan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pristup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finansijskim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sredstvima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>.</w:t>
      </w:r>
    </w:p>
    <w:p w14:paraId="70AA51EC" w14:textId="16F7963D" w:rsidR="009129A8" w:rsidRDefault="009129A8" w:rsidP="009129A8">
      <w:pPr>
        <w:spacing w:after="0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Vrijednosti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kojima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počiva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r>
        <w:rPr>
          <w:rFonts w:ascii="Verdana" w:hAnsi="Verdana" w:cs="Arial"/>
          <w:sz w:val="20"/>
          <w:szCs w:val="20"/>
          <w:lang w:val="es-AR"/>
        </w:rPr>
        <w:t xml:space="preserve">rad u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Društvu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su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ujedno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osnova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budući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rast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koji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zasnovan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sljedećim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smjernicama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>:</w:t>
      </w:r>
    </w:p>
    <w:p w14:paraId="6C7A3BE0" w14:textId="77777777" w:rsidR="0005629A" w:rsidRPr="00A672D4" w:rsidRDefault="0005629A" w:rsidP="00F157DE">
      <w:pPr>
        <w:spacing w:after="0"/>
        <w:ind w:left="990" w:hanging="900"/>
        <w:jc w:val="both"/>
        <w:rPr>
          <w:rFonts w:ascii="Verdana" w:hAnsi="Verdana" w:cs="Arial"/>
          <w:sz w:val="20"/>
          <w:szCs w:val="20"/>
          <w:lang w:val="es-AR"/>
        </w:rPr>
      </w:pPr>
    </w:p>
    <w:p w14:paraId="4A56BF1C" w14:textId="7D49A41C" w:rsidR="009129A8" w:rsidRPr="000D31F7" w:rsidRDefault="009129A8" w:rsidP="00F157DE">
      <w:pPr>
        <w:pStyle w:val="ListParagraph"/>
        <w:numPr>
          <w:ilvl w:val="0"/>
          <w:numId w:val="15"/>
        </w:numPr>
        <w:tabs>
          <w:tab w:val="left" w:pos="450"/>
          <w:tab w:val="left" w:pos="1170"/>
        </w:tabs>
        <w:spacing w:after="0"/>
        <w:ind w:left="990" w:hanging="90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0D31F7">
        <w:rPr>
          <w:rFonts w:ascii="Verdana" w:hAnsi="Verdana" w:cs="Arial"/>
          <w:sz w:val="20"/>
          <w:szCs w:val="20"/>
          <w:lang w:val="es-AR"/>
        </w:rPr>
        <w:t>Pojednostavljena</w:t>
      </w:r>
      <w:proofErr w:type="spellEnd"/>
      <w:r w:rsidRPr="000D31F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D31F7">
        <w:rPr>
          <w:rFonts w:ascii="Verdana" w:hAnsi="Verdana" w:cs="Arial"/>
          <w:sz w:val="20"/>
          <w:szCs w:val="20"/>
          <w:lang w:val="es-AR"/>
        </w:rPr>
        <w:t>procedura</w:t>
      </w:r>
      <w:proofErr w:type="spellEnd"/>
      <w:r w:rsidRPr="000D31F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D31F7">
        <w:rPr>
          <w:rFonts w:ascii="Verdana" w:hAnsi="Verdana" w:cs="Arial"/>
          <w:sz w:val="20"/>
          <w:szCs w:val="20"/>
          <w:lang w:val="es-AR"/>
        </w:rPr>
        <w:t>odobrenja</w:t>
      </w:r>
      <w:proofErr w:type="spellEnd"/>
      <w:r w:rsidRPr="000D31F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0D31F7">
        <w:rPr>
          <w:rFonts w:ascii="Verdana" w:hAnsi="Verdana" w:cs="Arial"/>
          <w:sz w:val="20"/>
          <w:szCs w:val="20"/>
          <w:lang w:val="es-AR"/>
        </w:rPr>
        <w:t>brza</w:t>
      </w:r>
      <w:proofErr w:type="spellEnd"/>
      <w:r w:rsidRPr="000D31F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D31F7">
        <w:rPr>
          <w:rFonts w:ascii="Verdana" w:hAnsi="Verdana" w:cs="Arial"/>
          <w:sz w:val="20"/>
          <w:szCs w:val="20"/>
          <w:lang w:val="es-AR"/>
        </w:rPr>
        <w:t>ralizacija</w:t>
      </w:r>
      <w:proofErr w:type="spellEnd"/>
      <w:r w:rsidRPr="000D31F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D31F7">
        <w:rPr>
          <w:rFonts w:ascii="Verdana" w:hAnsi="Verdana" w:cs="Arial"/>
          <w:sz w:val="20"/>
          <w:szCs w:val="20"/>
          <w:lang w:val="es-AR"/>
        </w:rPr>
        <w:t>plasmana</w:t>
      </w:r>
      <w:proofErr w:type="spellEnd"/>
      <w:r w:rsidRPr="000D31F7">
        <w:rPr>
          <w:rFonts w:ascii="Verdana" w:hAnsi="Verdana" w:cs="Arial"/>
          <w:sz w:val="20"/>
          <w:szCs w:val="20"/>
          <w:lang w:val="es-AR"/>
        </w:rPr>
        <w:t>;</w:t>
      </w:r>
    </w:p>
    <w:p w14:paraId="7CEE6C3C" w14:textId="77777777" w:rsidR="009129A8" w:rsidRPr="00A672D4" w:rsidRDefault="009129A8" w:rsidP="00F157DE">
      <w:pPr>
        <w:pStyle w:val="ListParagraph"/>
        <w:numPr>
          <w:ilvl w:val="0"/>
          <w:numId w:val="15"/>
        </w:numPr>
        <w:tabs>
          <w:tab w:val="left" w:pos="450"/>
        </w:tabs>
        <w:spacing w:after="0"/>
        <w:ind w:left="990" w:hanging="90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Profesionalni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odnos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zaposlenih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prema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klijentima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principu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“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Upoznaj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svog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klijenta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>”;</w:t>
      </w:r>
    </w:p>
    <w:p w14:paraId="61BB3C8C" w14:textId="77777777" w:rsidR="009129A8" w:rsidRPr="00A672D4" w:rsidRDefault="009129A8" w:rsidP="00F157DE">
      <w:pPr>
        <w:pStyle w:val="ListParagraph"/>
        <w:numPr>
          <w:ilvl w:val="0"/>
          <w:numId w:val="15"/>
        </w:numPr>
        <w:tabs>
          <w:tab w:val="left" w:pos="450"/>
        </w:tabs>
        <w:spacing w:after="200"/>
        <w:ind w:left="990" w:hanging="900"/>
        <w:rPr>
          <w:rFonts w:ascii="Verdana" w:hAnsi="Verdana" w:cs="Arial"/>
          <w:sz w:val="20"/>
          <w:szCs w:val="20"/>
          <w:lang w:val="es-AR"/>
        </w:rPr>
      </w:pPr>
      <w:r w:rsidRPr="00A672D4">
        <w:rPr>
          <w:rFonts w:ascii="Verdana" w:hAnsi="Verdana" w:cs="Arial"/>
          <w:sz w:val="20"/>
          <w:szCs w:val="20"/>
          <w:lang w:val="sr-Latn-CS"/>
        </w:rPr>
        <w:t xml:space="preserve">Širenje baze klijenata kroz promovisnje usluga postojećim i novim klijentima; </w:t>
      </w:r>
    </w:p>
    <w:p w14:paraId="670E9F59" w14:textId="77777777" w:rsidR="009129A8" w:rsidRPr="00A672D4" w:rsidRDefault="009129A8" w:rsidP="00F157DE">
      <w:pPr>
        <w:pStyle w:val="ListParagraph"/>
        <w:numPr>
          <w:ilvl w:val="0"/>
          <w:numId w:val="15"/>
        </w:numPr>
        <w:tabs>
          <w:tab w:val="left" w:pos="450"/>
        </w:tabs>
        <w:spacing w:after="200"/>
        <w:ind w:left="990" w:hanging="90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Unapređenje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znanja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stručne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osposobljenosti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zaposlenih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; </w:t>
      </w:r>
    </w:p>
    <w:p w14:paraId="37040707" w14:textId="77777777" w:rsidR="009129A8" w:rsidRPr="00A672D4" w:rsidRDefault="009129A8" w:rsidP="00F157DE">
      <w:pPr>
        <w:pStyle w:val="ListParagraph"/>
        <w:numPr>
          <w:ilvl w:val="0"/>
          <w:numId w:val="15"/>
        </w:numPr>
        <w:tabs>
          <w:tab w:val="left" w:pos="450"/>
        </w:tabs>
        <w:spacing w:after="200"/>
        <w:ind w:left="990" w:hanging="90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Težnja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stalnom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usavršavanju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unapređenju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kvaliteta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rada;</w:t>
      </w:r>
    </w:p>
    <w:p w14:paraId="308E6E63" w14:textId="77777777" w:rsidR="009129A8" w:rsidRDefault="009129A8" w:rsidP="00F157DE">
      <w:pPr>
        <w:pStyle w:val="ListParagraph"/>
        <w:numPr>
          <w:ilvl w:val="0"/>
          <w:numId w:val="15"/>
        </w:numPr>
        <w:tabs>
          <w:tab w:val="left" w:pos="450"/>
        </w:tabs>
        <w:spacing w:after="200"/>
        <w:ind w:left="990" w:hanging="90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Oprezan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rast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kroz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pažljivu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procjenu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kreditne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sposobnosti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klijenta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. </w:t>
      </w:r>
    </w:p>
    <w:p w14:paraId="65950F77" w14:textId="77777777" w:rsidR="00155F54" w:rsidRDefault="009129A8" w:rsidP="00943FCF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Izvještaji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CBBiH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entitetskih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Agencija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bankarstvo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iz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godine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godinu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pokazuju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trend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povećanja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aktive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kod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finansijskih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institucija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što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ukazuje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da je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poslovni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ambijent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razvoj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</w:p>
    <w:p w14:paraId="61CC4356" w14:textId="643ACB58" w:rsidR="00155F54" w:rsidRDefault="009129A8" w:rsidP="00943FCF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mikrokreditnih</w:t>
      </w:r>
      <w:proofErr w:type="spellEnd"/>
      <w:r w:rsidR="00D16A9E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društava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povoljan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, i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pored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činjenice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da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postoji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r>
        <w:rPr>
          <w:rFonts w:ascii="Verdana" w:hAnsi="Verdana" w:cs="Arial"/>
          <w:sz w:val="20"/>
          <w:szCs w:val="20"/>
          <w:lang w:val="es-AR"/>
        </w:rPr>
        <w:t>1</w:t>
      </w:r>
      <w:r w:rsidR="00266D42">
        <w:rPr>
          <w:rFonts w:ascii="Verdana" w:hAnsi="Verdana" w:cs="Arial"/>
          <w:sz w:val="20"/>
          <w:szCs w:val="20"/>
          <w:lang w:val="es-AR"/>
        </w:rPr>
        <w:t>6</w:t>
      </w:r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mikrokreditnih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organizacija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sa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sjedištem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u</w:t>
      </w:r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Republike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Srpske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>.</w:t>
      </w:r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</w:p>
    <w:p w14:paraId="59213D5E" w14:textId="77777777" w:rsidR="00155F54" w:rsidRDefault="00155F54" w:rsidP="00943FCF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</w:p>
    <w:p w14:paraId="667E6131" w14:textId="190E1638" w:rsidR="009129A8" w:rsidRPr="00A672D4" w:rsidRDefault="009129A8" w:rsidP="00943FCF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Društvo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trenutno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posluje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teritoriji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regije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Bijeljina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Brčko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distrikta</w:t>
      </w:r>
      <w:proofErr w:type="spellEnd"/>
      <w:r w:rsidR="00266D42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Modriče</w:t>
      </w:r>
      <w:proofErr w:type="spellEnd"/>
      <w:r w:rsidR="00266D42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="00266D42">
        <w:rPr>
          <w:rFonts w:ascii="Verdana" w:hAnsi="Verdana" w:cs="Arial"/>
          <w:sz w:val="20"/>
          <w:szCs w:val="20"/>
          <w:lang w:val="es-AR"/>
        </w:rPr>
        <w:t>Doboj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.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Tokom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202</w:t>
      </w:r>
      <w:r w:rsidR="00266D42">
        <w:rPr>
          <w:rFonts w:ascii="Verdana" w:hAnsi="Verdana" w:cs="Arial"/>
          <w:sz w:val="20"/>
          <w:szCs w:val="20"/>
          <w:lang w:val="es-AR"/>
        </w:rPr>
        <w:t>4</w:t>
      </w:r>
      <w:r w:rsidRPr="00A672D4">
        <w:rPr>
          <w:rFonts w:ascii="Verdana" w:hAnsi="Verdana" w:cs="Arial"/>
          <w:sz w:val="20"/>
          <w:szCs w:val="20"/>
          <w:lang w:val="es-AR"/>
        </w:rPr>
        <w:t xml:space="preserve">.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godine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planu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priprema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širenje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poslovne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mreže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Društva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područje</w:t>
      </w:r>
      <w:proofErr w:type="spellEnd"/>
      <w:r w:rsidR="001E160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05629A">
        <w:rPr>
          <w:rFonts w:ascii="Verdana" w:hAnsi="Verdana" w:cs="Arial"/>
          <w:sz w:val="20"/>
          <w:szCs w:val="20"/>
          <w:lang w:val="es-AR"/>
        </w:rPr>
        <w:t>Dervente</w:t>
      </w:r>
      <w:proofErr w:type="spellEnd"/>
      <w:r w:rsidR="0005629A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="0005629A">
        <w:rPr>
          <w:rFonts w:ascii="Verdana" w:hAnsi="Verdana" w:cs="Arial"/>
          <w:sz w:val="20"/>
          <w:szCs w:val="20"/>
          <w:lang w:val="es-AR"/>
        </w:rPr>
        <w:t>Zvornik</w:t>
      </w:r>
      <w:proofErr w:type="spellEnd"/>
      <w:r w:rsidRPr="00FE01E8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FE01E8">
        <w:rPr>
          <w:rFonts w:ascii="Verdana" w:hAnsi="Verdana" w:cs="Arial"/>
          <w:sz w:val="20"/>
          <w:szCs w:val="20"/>
          <w:lang w:val="es-AR"/>
        </w:rPr>
        <w:t>akvizicijom</w:t>
      </w:r>
      <w:proofErr w:type="spellEnd"/>
      <w:r w:rsidRPr="00FE01E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E01E8">
        <w:rPr>
          <w:rFonts w:ascii="Verdana" w:hAnsi="Verdana" w:cs="Arial"/>
          <w:sz w:val="20"/>
          <w:szCs w:val="20"/>
          <w:lang w:val="es-AR"/>
        </w:rPr>
        <w:t>spoljnih</w:t>
      </w:r>
      <w:proofErr w:type="spellEnd"/>
      <w:r w:rsidRPr="00FE01E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E01E8">
        <w:rPr>
          <w:rFonts w:ascii="Verdana" w:hAnsi="Verdana" w:cs="Arial"/>
          <w:sz w:val="20"/>
          <w:szCs w:val="20"/>
          <w:lang w:val="es-AR"/>
        </w:rPr>
        <w:t>saradnika</w:t>
      </w:r>
      <w:proofErr w:type="spellEnd"/>
      <w:r w:rsidRPr="00FE01E8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FE01E8">
        <w:rPr>
          <w:rFonts w:ascii="Verdana" w:hAnsi="Verdana" w:cs="Arial"/>
          <w:sz w:val="20"/>
          <w:szCs w:val="20"/>
          <w:lang w:val="es-AR"/>
        </w:rPr>
        <w:t>pripremom</w:t>
      </w:r>
      <w:proofErr w:type="spellEnd"/>
      <w:r w:rsidRPr="00FE01E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E01E8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FE01E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E01E8">
        <w:rPr>
          <w:rFonts w:ascii="Verdana" w:hAnsi="Verdana" w:cs="Arial"/>
          <w:sz w:val="20"/>
          <w:szCs w:val="20"/>
          <w:lang w:val="es-AR"/>
        </w:rPr>
        <w:t>otvaranje</w:t>
      </w:r>
      <w:proofErr w:type="spellEnd"/>
      <w:r w:rsidRPr="00FE01E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266D42">
        <w:rPr>
          <w:rFonts w:ascii="Verdana" w:hAnsi="Verdana" w:cs="Arial"/>
          <w:sz w:val="20"/>
          <w:szCs w:val="20"/>
          <w:lang w:val="es-AR"/>
        </w:rPr>
        <w:t>filijal</w:t>
      </w:r>
      <w:r w:rsidR="0005629A">
        <w:rPr>
          <w:rFonts w:ascii="Verdana" w:hAnsi="Verdana" w:cs="Arial"/>
          <w:sz w:val="20"/>
          <w:szCs w:val="20"/>
          <w:lang w:val="es-AR"/>
        </w:rPr>
        <w:t>a</w:t>
      </w:r>
      <w:proofErr w:type="spellEnd"/>
      <w:r w:rsidR="00266D42">
        <w:rPr>
          <w:rFonts w:ascii="Verdana" w:hAnsi="Verdana" w:cs="Arial"/>
          <w:sz w:val="20"/>
          <w:szCs w:val="20"/>
          <w:lang w:val="es-AR"/>
        </w:rPr>
        <w:t>.</w:t>
      </w:r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Ovakav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lastRenderedPageBreak/>
        <w:t>princip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širenja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procjenjujemo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sigurnim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, a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otvaranje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266D42">
        <w:rPr>
          <w:rFonts w:ascii="Verdana" w:hAnsi="Verdana" w:cs="Arial"/>
          <w:sz w:val="20"/>
          <w:szCs w:val="20"/>
          <w:lang w:val="es-AR"/>
        </w:rPr>
        <w:t>filijal</w:t>
      </w:r>
      <w:r w:rsidR="0005629A">
        <w:rPr>
          <w:rFonts w:ascii="Verdana" w:hAnsi="Verdana" w:cs="Arial"/>
          <w:sz w:val="20"/>
          <w:szCs w:val="20"/>
          <w:lang w:val="es-AR"/>
        </w:rPr>
        <w:t>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r w:rsidRPr="00A672D4">
        <w:rPr>
          <w:rFonts w:ascii="Verdana" w:hAnsi="Verdana" w:cs="Arial"/>
          <w:sz w:val="20"/>
          <w:szCs w:val="20"/>
          <w:lang w:val="es-AR"/>
        </w:rPr>
        <w:t xml:space="preserve">je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planirano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nakon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ostvarenja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tržišnog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učešća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odnosno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dostizanja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nivoa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kreditnog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portfolija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koji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bi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bio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osnova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profitabilnog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poslovanja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buduć</w:t>
      </w:r>
      <w:r w:rsidR="0005629A">
        <w:rPr>
          <w:rFonts w:ascii="Verdana" w:hAnsi="Verdana" w:cs="Arial"/>
          <w:sz w:val="20"/>
          <w:szCs w:val="20"/>
          <w:lang w:val="es-AR"/>
        </w:rPr>
        <w:t>ih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266D42">
        <w:rPr>
          <w:rFonts w:ascii="Verdana" w:hAnsi="Verdana" w:cs="Arial"/>
          <w:sz w:val="20"/>
          <w:szCs w:val="20"/>
          <w:lang w:val="es-AR"/>
        </w:rPr>
        <w:t>filijal</w:t>
      </w:r>
      <w:r w:rsidR="0005629A">
        <w:rPr>
          <w:rFonts w:ascii="Verdana" w:hAnsi="Verdana" w:cs="Arial"/>
          <w:sz w:val="20"/>
          <w:szCs w:val="20"/>
          <w:lang w:val="es-AR"/>
        </w:rPr>
        <w:t>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. </w:t>
      </w:r>
    </w:p>
    <w:p w14:paraId="19637A68" w14:textId="096397B5" w:rsidR="009129A8" w:rsidRPr="00A672D4" w:rsidRDefault="009129A8" w:rsidP="009129A8">
      <w:pPr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Rast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poslovanja</w:t>
      </w:r>
      <w:proofErr w:type="spellEnd"/>
      <w:r w:rsidR="001E160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1E1608" w:rsidRPr="00A672D4">
        <w:rPr>
          <w:rFonts w:ascii="Verdana" w:hAnsi="Verdana" w:cs="Arial"/>
          <w:sz w:val="20"/>
          <w:szCs w:val="20"/>
          <w:lang w:val="es-AR"/>
        </w:rPr>
        <w:t>treba</w:t>
      </w:r>
      <w:proofErr w:type="spellEnd"/>
      <w:r w:rsidR="001E1608" w:rsidRPr="00A672D4">
        <w:rPr>
          <w:rFonts w:ascii="Verdana" w:hAnsi="Verdana" w:cs="Arial"/>
          <w:sz w:val="20"/>
          <w:szCs w:val="20"/>
          <w:lang w:val="es-AR"/>
        </w:rPr>
        <w:t xml:space="preserve"> da </w:t>
      </w:r>
      <w:proofErr w:type="spellStart"/>
      <w:r w:rsidR="001E1608" w:rsidRPr="00A672D4">
        <w:rPr>
          <w:rFonts w:ascii="Verdana" w:hAnsi="Verdana" w:cs="Arial"/>
          <w:sz w:val="20"/>
          <w:szCs w:val="20"/>
          <w:lang w:val="es-AR"/>
        </w:rPr>
        <w:t>obezbijedi</w:t>
      </w:r>
      <w:proofErr w:type="spellEnd"/>
      <w:r w:rsidR="001E1608" w:rsidRPr="001E160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1E1608" w:rsidRPr="00A672D4">
        <w:rPr>
          <w:rFonts w:ascii="Verdana" w:hAnsi="Verdana" w:cs="Arial"/>
          <w:sz w:val="20"/>
          <w:szCs w:val="20"/>
          <w:lang w:val="es-AR"/>
        </w:rPr>
        <w:t>kontinuirani</w:t>
      </w:r>
      <w:proofErr w:type="spellEnd"/>
      <w:r w:rsidR="001E160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1E1608" w:rsidRPr="00A672D4">
        <w:rPr>
          <w:rFonts w:ascii="Verdana" w:hAnsi="Verdana" w:cs="Arial"/>
          <w:sz w:val="20"/>
          <w:szCs w:val="20"/>
          <w:lang w:val="es-AR"/>
        </w:rPr>
        <w:t>rast</w:t>
      </w:r>
      <w:proofErr w:type="spellEnd"/>
      <w:r w:rsidR="001E160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1E1608" w:rsidRPr="00A672D4">
        <w:rPr>
          <w:rFonts w:ascii="Verdana" w:hAnsi="Verdana" w:cs="Arial"/>
          <w:sz w:val="20"/>
          <w:szCs w:val="20"/>
          <w:lang w:val="es-AR"/>
        </w:rPr>
        <w:t>ukupne</w:t>
      </w:r>
      <w:proofErr w:type="spellEnd"/>
      <w:r w:rsidR="001E160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1E1608" w:rsidRPr="00A672D4">
        <w:rPr>
          <w:rFonts w:ascii="Verdana" w:hAnsi="Verdana" w:cs="Arial"/>
          <w:sz w:val="20"/>
          <w:szCs w:val="20"/>
          <w:lang w:val="es-AR"/>
        </w:rPr>
        <w:t>aktive</w:t>
      </w:r>
      <w:proofErr w:type="spellEnd"/>
      <w:r w:rsidR="001E1608" w:rsidRPr="00A672D4">
        <w:rPr>
          <w:rFonts w:ascii="Verdana" w:hAnsi="Verdana" w:cs="Arial"/>
          <w:sz w:val="20"/>
          <w:szCs w:val="20"/>
          <w:lang w:val="es-AR"/>
        </w:rPr>
        <w:t xml:space="preserve"> i pasive</w:t>
      </w:r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r w:rsidR="001E1608">
        <w:rPr>
          <w:rFonts w:ascii="Verdana" w:hAnsi="Verdana" w:cs="Arial"/>
          <w:sz w:val="20"/>
          <w:szCs w:val="20"/>
          <w:lang w:val="es-AR"/>
        </w:rPr>
        <w:t xml:space="preserve">te </w:t>
      </w:r>
      <w:proofErr w:type="spellStart"/>
      <w:r w:rsidR="001E1608">
        <w:rPr>
          <w:rFonts w:ascii="Verdana" w:hAnsi="Verdana" w:cs="Arial"/>
          <w:sz w:val="20"/>
          <w:szCs w:val="20"/>
          <w:lang w:val="es-AR"/>
        </w:rPr>
        <w:t>adekvatanu</w:t>
      </w:r>
      <w:proofErr w:type="spellEnd"/>
      <w:r w:rsidR="001E160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stop</w:t>
      </w:r>
      <w:r w:rsidR="001E1608">
        <w:rPr>
          <w:rFonts w:ascii="Verdana" w:hAnsi="Verdana" w:cs="Arial"/>
          <w:sz w:val="20"/>
          <w:szCs w:val="20"/>
          <w:lang w:val="es-AR"/>
        </w:rPr>
        <w:t>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profita</w:t>
      </w:r>
      <w:r w:rsidR="001E1608">
        <w:rPr>
          <w:rFonts w:ascii="Verdana" w:hAnsi="Verdana" w:cs="Arial"/>
          <w:sz w:val="20"/>
          <w:szCs w:val="20"/>
          <w:lang w:val="es-AR"/>
        </w:rPr>
        <w:t>.</w:t>
      </w:r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</w:p>
    <w:p w14:paraId="185BA6F3" w14:textId="77777777" w:rsidR="009129A8" w:rsidRPr="00A672D4" w:rsidRDefault="009129A8" w:rsidP="009129A8">
      <w:pPr>
        <w:spacing w:after="0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Pravci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strategija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poslovanja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Društva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naredni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period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mogu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se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ogledati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sljedećem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: </w:t>
      </w:r>
    </w:p>
    <w:p w14:paraId="0F20707A" w14:textId="77777777" w:rsidR="009129A8" w:rsidRPr="00A672D4" w:rsidRDefault="009129A8" w:rsidP="009129A8">
      <w:pPr>
        <w:spacing w:after="0"/>
        <w:jc w:val="both"/>
        <w:rPr>
          <w:rFonts w:ascii="Verdana" w:hAnsi="Verdana" w:cs="Arial"/>
          <w:sz w:val="20"/>
          <w:szCs w:val="20"/>
          <w:lang w:val="es-AR"/>
        </w:rPr>
      </w:pPr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</w:p>
    <w:p w14:paraId="6A87B4A3" w14:textId="77777777" w:rsidR="009129A8" w:rsidRDefault="009129A8" w:rsidP="00BC7083">
      <w:pPr>
        <w:pStyle w:val="ListParagraph"/>
        <w:numPr>
          <w:ilvl w:val="0"/>
          <w:numId w:val="25"/>
        </w:numPr>
        <w:spacing w:after="0"/>
        <w:ind w:left="45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F93A34">
        <w:rPr>
          <w:rFonts w:ascii="Verdana" w:hAnsi="Verdana" w:cs="Arial"/>
          <w:sz w:val="20"/>
          <w:szCs w:val="20"/>
          <w:lang w:val="es-AR"/>
        </w:rPr>
        <w:t>Stabilnom</w:t>
      </w:r>
      <w:proofErr w:type="spellEnd"/>
      <w:r w:rsidRPr="00F93A3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93A34">
        <w:rPr>
          <w:rFonts w:ascii="Verdana" w:hAnsi="Verdana" w:cs="Arial"/>
          <w:sz w:val="20"/>
          <w:szCs w:val="20"/>
          <w:lang w:val="es-AR"/>
        </w:rPr>
        <w:t>rastu</w:t>
      </w:r>
      <w:proofErr w:type="spellEnd"/>
      <w:r w:rsidRPr="00F93A3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93A34">
        <w:rPr>
          <w:rFonts w:ascii="Verdana" w:hAnsi="Verdana" w:cs="Arial"/>
          <w:sz w:val="20"/>
          <w:szCs w:val="20"/>
          <w:lang w:val="es-AR"/>
        </w:rPr>
        <w:t>kreditnog</w:t>
      </w:r>
      <w:proofErr w:type="spellEnd"/>
      <w:r w:rsidRPr="00F93A3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93A34">
        <w:rPr>
          <w:rFonts w:ascii="Verdana" w:hAnsi="Verdana" w:cs="Arial"/>
          <w:sz w:val="20"/>
          <w:szCs w:val="20"/>
          <w:lang w:val="es-AR"/>
        </w:rPr>
        <w:t>portfolija</w:t>
      </w:r>
      <w:proofErr w:type="spellEnd"/>
      <w:r w:rsidRPr="00F93A34">
        <w:rPr>
          <w:rFonts w:ascii="Verdana" w:hAnsi="Verdana" w:cs="Arial"/>
          <w:sz w:val="20"/>
          <w:szCs w:val="20"/>
          <w:lang w:val="es-AR"/>
        </w:rPr>
        <w:t xml:space="preserve">, </w:t>
      </w:r>
    </w:p>
    <w:p w14:paraId="7329B385" w14:textId="77777777" w:rsidR="009129A8" w:rsidRDefault="009129A8" w:rsidP="00BC7083">
      <w:pPr>
        <w:pStyle w:val="ListParagraph"/>
        <w:numPr>
          <w:ilvl w:val="0"/>
          <w:numId w:val="25"/>
        </w:numPr>
        <w:spacing w:after="0"/>
        <w:ind w:left="450"/>
        <w:rPr>
          <w:rFonts w:ascii="Verdana" w:hAnsi="Verdana" w:cs="Arial"/>
          <w:sz w:val="20"/>
          <w:szCs w:val="20"/>
          <w:lang w:val="es-AR"/>
        </w:rPr>
      </w:pPr>
      <w:proofErr w:type="spellStart"/>
      <w:r>
        <w:rPr>
          <w:rFonts w:ascii="Verdana" w:hAnsi="Verdana" w:cs="Arial"/>
          <w:sz w:val="20"/>
          <w:szCs w:val="20"/>
          <w:lang w:val="es-AR"/>
        </w:rPr>
        <w:t>Adekvatnim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upravljanjem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nivoom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dospjelih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potraživanja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posebno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nekvalitetnih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kredita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>,</w:t>
      </w:r>
    </w:p>
    <w:p w14:paraId="21D8DB25" w14:textId="77777777" w:rsidR="009129A8" w:rsidRPr="00F93A34" w:rsidRDefault="009129A8" w:rsidP="00BC7083">
      <w:pPr>
        <w:pStyle w:val="ListParagraph"/>
        <w:numPr>
          <w:ilvl w:val="0"/>
          <w:numId w:val="25"/>
        </w:numPr>
        <w:spacing w:after="0"/>
        <w:ind w:left="45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F93A34">
        <w:rPr>
          <w:rFonts w:ascii="Verdana" w:hAnsi="Verdana" w:cs="Arial"/>
          <w:sz w:val="20"/>
          <w:szCs w:val="20"/>
          <w:lang w:val="es-AR"/>
        </w:rPr>
        <w:t>Širenju</w:t>
      </w:r>
      <w:proofErr w:type="spellEnd"/>
      <w:r w:rsidRPr="00F93A3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93A34">
        <w:rPr>
          <w:rFonts w:ascii="Verdana" w:hAnsi="Verdana" w:cs="Arial"/>
          <w:sz w:val="20"/>
          <w:szCs w:val="20"/>
          <w:lang w:val="es-AR"/>
        </w:rPr>
        <w:t>baze</w:t>
      </w:r>
      <w:proofErr w:type="spellEnd"/>
      <w:r w:rsidRPr="00F93A3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F93A34">
        <w:rPr>
          <w:rFonts w:ascii="Verdana" w:hAnsi="Verdana" w:cs="Arial"/>
          <w:sz w:val="20"/>
          <w:szCs w:val="20"/>
          <w:lang w:val="es-AR"/>
        </w:rPr>
        <w:t>klijenata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(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zadržavnjem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postojećih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dovođenjem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novih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klijenata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>)</w:t>
      </w:r>
      <w:r w:rsidRPr="00F93A34">
        <w:rPr>
          <w:rFonts w:ascii="Verdana" w:hAnsi="Verdana" w:cs="Arial"/>
          <w:sz w:val="20"/>
          <w:szCs w:val="20"/>
          <w:lang w:val="es-AR"/>
        </w:rPr>
        <w:t xml:space="preserve">, </w:t>
      </w:r>
    </w:p>
    <w:p w14:paraId="175BEE97" w14:textId="77777777" w:rsidR="009129A8" w:rsidRPr="00A672D4" w:rsidRDefault="009129A8" w:rsidP="00BC7083">
      <w:pPr>
        <w:pStyle w:val="ListParagraph"/>
        <w:numPr>
          <w:ilvl w:val="0"/>
          <w:numId w:val="16"/>
        </w:numPr>
        <w:ind w:left="450"/>
        <w:rPr>
          <w:rFonts w:ascii="Verdana" w:hAnsi="Verdana" w:cs="Arial"/>
          <w:sz w:val="20"/>
          <w:szCs w:val="20"/>
        </w:rPr>
      </w:pPr>
      <w:proofErr w:type="spellStart"/>
      <w:r w:rsidRPr="00A672D4">
        <w:rPr>
          <w:rFonts w:ascii="Verdana" w:hAnsi="Verdana" w:cs="Arial"/>
          <w:sz w:val="20"/>
          <w:szCs w:val="20"/>
        </w:rPr>
        <w:t>Jačanju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konkurentske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pozicije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Društva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, </w:t>
      </w:r>
    </w:p>
    <w:p w14:paraId="3CDCC9A8" w14:textId="77777777" w:rsidR="009129A8" w:rsidRPr="00777200" w:rsidRDefault="009129A8" w:rsidP="00BC7083">
      <w:pPr>
        <w:pStyle w:val="ListParagraph"/>
        <w:numPr>
          <w:ilvl w:val="0"/>
          <w:numId w:val="16"/>
        </w:numPr>
        <w:ind w:left="450"/>
        <w:rPr>
          <w:rFonts w:ascii="Verdana" w:hAnsi="Verdana" w:cs="Arial"/>
          <w:sz w:val="20"/>
          <w:szCs w:val="20"/>
          <w:lang w:val="it-IT"/>
        </w:rPr>
      </w:pPr>
      <w:r w:rsidRPr="00777200">
        <w:rPr>
          <w:rFonts w:ascii="Verdana" w:hAnsi="Verdana" w:cs="Arial"/>
          <w:sz w:val="20"/>
          <w:szCs w:val="20"/>
          <w:lang w:val="it-IT"/>
        </w:rPr>
        <w:t>Podizanjem nivoa efektivnosti i efikasnosti poslovanja,</w:t>
      </w:r>
    </w:p>
    <w:p w14:paraId="7D3111B6" w14:textId="77777777" w:rsidR="009129A8" w:rsidRPr="00A672D4" w:rsidRDefault="009129A8" w:rsidP="00BC7083">
      <w:pPr>
        <w:pStyle w:val="ListParagraph"/>
        <w:numPr>
          <w:ilvl w:val="0"/>
          <w:numId w:val="16"/>
        </w:numPr>
        <w:ind w:left="45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Kadrovskom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finansijskom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jačanju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, </w:t>
      </w:r>
    </w:p>
    <w:p w14:paraId="5E817198" w14:textId="77777777" w:rsidR="009129A8" w:rsidRPr="00A672D4" w:rsidRDefault="009129A8" w:rsidP="00BC7083">
      <w:pPr>
        <w:pStyle w:val="ListParagraph"/>
        <w:numPr>
          <w:ilvl w:val="0"/>
          <w:numId w:val="16"/>
        </w:numPr>
        <w:ind w:left="45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Unapređenjem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softvera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hardvera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>,</w:t>
      </w:r>
    </w:p>
    <w:p w14:paraId="26EFC570" w14:textId="7139F771" w:rsidR="009129A8" w:rsidRPr="00A672D4" w:rsidRDefault="009129A8" w:rsidP="00BC7083">
      <w:pPr>
        <w:pStyle w:val="ListParagraph"/>
        <w:numPr>
          <w:ilvl w:val="0"/>
          <w:numId w:val="16"/>
        </w:numPr>
        <w:ind w:left="45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Širenju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poslovanja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kroz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povećanje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broja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34E7D">
        <w:rPr>
          <w:rFonts w:ascii="Verdana" w:hAnsi="Verdana" w:cs="Arial"/>
          <w:sz w:val="20"/>
          <w:szCs w:val="20"/>
          <w:lang w:val="es-AR"/>
        </w:rPr>
        <w:t>organizacionih</w:t>
      </w:r>
      <w:proofErr w:type="spellEnd"/>
      <w:r w:rsidR="00934E7D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34E7D">
        <w:rPr>
          <w:rFonts w:ascii="Verdana" w:hAnsi="Verdana" w:cs="Arial"/>
          <w:sz w:val="20"/>
          <w:szCs w:val="20"/>
          <w:lang w:val="es-AR"/>
        </w:rPr>
        <w:t>jedinica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, </w:t>
      </w:r>
    </w:p>
    <w:p w14:paraId="57761EC5" w14:textId="77777777" w:rsidR="009129A8" w:rsidRDefault="009129A8" w:rsidP="00BC7083">
      <w:pPr>
        <w:pStyle w:val="ListParagraph"/>
        <w:numPr>
          <w:ilvl w:val="0"/>
          <w:numId w:val="16"/>
        </w:numPr>
        <w:ind w:left="45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Ponudu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novih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kreditnih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proizvoda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prilagođenih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potrebama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klijenata</w:t>
      </w:r>
      <w:proofErr w:type="spellEnd"/>
    </w:p>
    <w:p w14:paraId="69875789" w14:textId="77777777" w:rsidR="009129A8" w:rsidRPr="00A672D4" w:rsidRDefault="009129A8" w:rsidP="00BC7083">
      <w:pPr>
        <w:pStyle w:val="ListParagraph"/>
        <w:numPr>
          <w:ilvl w:val="0"/>
          <w:numId w:val="16"/>
        </w:numPr>
        <w:ind w:left="450"/>
        <w:rPr>
          <w:rFonts w:ascii="Verdana" w:hAnsi="Verdana" w:cs="Arial"/>
          <w:sz w:val="20"/>
          <w:szCs w:val="20"/>
        </w:rPr>
      </w:pPr>
      <w:proofErr w:type="spellStart"/>
      <w:r w:rsidRPr="00A672D4">
        <w:rPr>
          <w:rFonts w:ascii="Verdana" w:hAnsi="Verdana" w:cs="Arial"/>
          <w:sz w:val="20"/>
          <w:szCs w:val="20"/>
        </w:rPr>
        <w:t>Povećanju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nivoa</w:t>
      </w:r>
      <w:proofErr w:type="spellEnd"/>
      <w:r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</w:rPr>
        <w:t>profitabilnosti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14:paraId="08361929" w14:textId="77777777" w:rsidR="009129A8" w:rsidRDefault="009129A8" w:rsidP="009129A8">
      <w:pPr>
        <w:pStyle w:val="ListParagraph"/>
        <w:ind w:left="450" w:firstLine="0"/>
        <w:rPr>
          <w:rFonts w:ascii="Verdana" w:hAnsi="Verdana" w:cs="Arial"/>
          <w:sz w:val="20"/>
          <w:szCs w:val="20"/>
          <w:lang w:val="es-AR"/>
        </w:rPr>
      </w:pPr>
    </w:p>
    <w:p w14:paraId="1E6FED13" w14:textId="78DE48D5" w:rsidR="009129A8" w:rsidRPr="00777200" w:rsidRDefault="00A47F94" w:rsidP="00A47F94">
      <w:pPr>
        <w:pStyle w:val="Heading1"/>
        <w:numPr>
          <w:ilvl w:val="0"/>
          <w:numId w:val="0"/>
        </w:numPr>
        <w:spacing w:after="120" w:line="240" w:lineRule="auto"/>
        <w:rPr>
          <w:rFonts w:ascii="Verdana" w:hAnsi="Verdana" w:cs="Arial"/>
          <w:color w:val="auto"/>
          <w:sz w:val="22"/>
          <w:szCs w:val="22"/>
          <w:lang w:val="it-IT"/>
        </w:rPr>
      </w:pPr>
      <w:r>
        <w:rPr>
          <w:rFonts w:ascii="Verdana" w:hAnsi="Verdana" w:cs="Arial"/>
          <w:color w:val="auto"/>
          <w:sz w:val="22"/>
          <w:szCs w:val="22"/>
          <w:lang w:val="it-IT"/>
        </w:rPr>
        <w:t xml:space="preserve">4. </w:t>
      </w:r>
      <w:r w:rsidR="009129A8" w:rsidRPr="00777200">
        <w:rPr>
          <w:rFonts w:ascii="Verdana" w:hAnsi="Verdana" w:cs="Arial"/>
          <w:color w:val="auto"/>
          <w:sz w:val="22"/>
          <w:szCs w:val="22"/>
          <w:lang w:val="it-IT"/>
        </w:rPr>
        <w:t>NAJVAŽNIJE AKTIVNOSTI U VEZI SA ISTRAŽIVANJEM I RAZVOJEM</w:t>
      </w:r>
    </w:p>
    <w:p w14:paraId="46E6A7B3" w14:textId="77777777" w:rsidR="009129A8" w:rsidRDefault="009129A8" w:rsidP="009129A8">
      <w:pPr>
        <w:spacing w:after="12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19BC67E7" w14:textId="77777777" w:rsidR="009129A8" w:rsidRPr="00A672D4" w:rsidRDefault="009129A8" w:rsidP="009129A8">
      <w:pPr>
        <w:spacing w:after="120" w:line="240" w:lineRule="auto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Strateški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r w:rsidRPr="00A672D4">
        <w:rPr>
          <w:rFonts w:ascii="Verdana" w:hAnsi="Verdana" w:cs="Arial"/>
          <w:sz w:val="20"/>
          <w:szCs w:val="20"/>
          <w:lang w:val="sr-Latn-BA"/>
        </w:rPr>
        <w:t>pravci razvoja Društva</w:t>
      </w:r>
      <w:r w:rsidRPr="00A672D4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narednih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pet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godina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su: </w:t>
      </w:r>
    </w:p>
    <w:p w14:paraId="6BEAD5A4" w14:textId="4401648B" w:rsidR="009129A8" w:rsidRPr="0005629A" w:rsidRDefault="00155F54" w:rsidP="00BC7083">
      <w:pPr>
        <w:pStyle w:val="ListParagraph"/>
        <w:numPr>
          <w:ilvl w:val="0"/>
          <w:numId w:val="17"/>
        </w:numPr>
        <w:ind w:hanging="450"/>
        <w:rPr>
          <w:rFonts w:ascii="Verdana" w:hAnsi="Verdana" w:cs="Arial"/>
          <w:sz w:val="20"/>
          <w:szCs w:val="20"/>
          <w:lang w:val="es-AR"/>
        </w:rPr>
      </w:pPr>
      <w:proofErr w:type="spellStart"/>
      <w:r>
        <w:rPr>
          <w:rFonts w:ascii="Verdana" w:hAnsi="Verdana" w:cs="Arial"/>
          <w:sz w:val="20"/>
          <w:szCs w:val="20"/>
        </w:rPr>
        <w:t>P</w:t>
      </w:r>
      <w:r w:rsidR="009129A8" w:rsidRPr="00A672D4">
        <w:rPr>
          <w:rFonts w:ascii="Verdana" w:hAnsi="Verdana" w:cs="Arial"/>
          <w:sz w:val="20"/>
          <w:szCs w:val="20"/>
        </w:rPr>
        <w:t>orast</w:t>
      </w:r>
      <w:proofErr w:type="spellEnd"/>
      <w:r w:rsidR="009129A8"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</w:rPr>
        <w:t>bilansne</w:t>
      </w:r>
      <w:proofErr w:type="spellEnd"/>
      <w:r w:rsidR="009129A8" w:rsidRPr="00A672D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</w:rPr>
        <w:t>sume</w:t>
      </w:r>
      <w:proofErr w:type="spellEnd"/>
      <w:r w:rsidR="009129A8" w:rsidRPr="00A672D4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="009129A8" w:rsidRPr="0005629A">
        <w:rPr>
          <w:rFonts w:ascii="Verdana" w:hAnsi="Verdana" w:cs="Arial"/>
          <w:sz w:val="20"/>
          <w:szCs w:val="20"/>
        </w:rPr>
        <w:t>minimalno</w:t>
      </w:r>
      <w:proofErr w:type="spellEnd"/>
      <w:r w:rsidR="009129A8" w:rsidRPr="0005629A">
        <w:rPr>
          <w:rFonts w:ascii="Verdana" w:hAnsi="Verdana" w:cs="Arial"/>
          <w:sz w:val="20"/>
          <w:szCs w:val="20"/>
        </w:rPr>
        <w:t xml:space="preserve"> </w:t>
      </w:r>
      <w:r w:rsidR="00587311">
        <w:rPr>
          <w:rFonts w:ascii="Verdana" w:hAnsi="Verdana" w:cs="Arial"/>
          <w:sz w:val="20"/>
          <w:szCs w:val="20"/>
        </w:rPr>
        <w:t>10</w:t>
      </w:r>
      <w:r w:rsidR="009129A8" w:rsidRPr="0005629A">
        <w:rPr>
          <w:rFonts w:ascii="Verdana" w:hAnsi="Verdana" w:cs="Arial"/>
          <w:sz w:val="20"/>
          <w:szCs w:val="20"/>
        </w:rPr>
        <w:t xml:space="preserve">% </w:t>
      </w:r>
      <w:proofErr w:type="spellStart"/>
      <w:r w:rsidR="009129A8" w:rsidRPr="0005629A">
        <w:rPr>
          <w:rFonts w:ascii="Verdana" w:hAnsi="Verdana" w:cs="Arial"/>
          <w:sz w:val="20"/>
          <w:szCs w:val="20"/>
        </w:rPr>
        <w:t>godišnje</w:t>
      </w:r>
      <w:proofErr w:type="spellEnd"/>
      <w:r w:rsidR="009129A8" w:rsidRPr="0005629A">
        <w:rPr>
          <w:rFonts w:ascii="Verdana" w:hAnsi="Verdana" w:cs="Arial"/>
          <w:sz w:val="20"/>
          <w:szCs w:val="20"/>
        </w:rPr>
        <w:t>,</w:t>
      </w:r>
      <w:r w:rsidR="009129A8" w:rsidRPr="0005629A">
        <w:rPr>
          <w:rFonts w:ascii="Verdana" w:hAnsi="Verdana" w:cs="Arial"/>
          <w:sz w:val="20"/>
          <w:szCs w:val="20"/>
          <w:lang w:val="es-AR"/>
        </w:rPr>
        <w:t xml:space="preserve"> </w:t>
      </w:r>
    </w:p>
    <w:p w14:paraId="2B12F4C8" w14:textId="5455ECC1" w:rsidR="009129A8" w:rsidRPr="0005629A" w:rsidRDefault="00155F54" w:rsidP="00BC7083">
      <w:pPr>
        <w:pStyle w:val="ListParagraph"/>
        <w:numPr>
          <w:ilvl w:val="0"/>
          <w:numId w:val="17"/>
        </w:numPr>
        <w:ind w:hanging="45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05629A">
        <w:rPr>
          <w:rFonts w:ascii="Verdana" w:hAnsi="Verdana" w:cs="Arial"/>
          <w:sz w:val="20"/>
          <w:szCs w:val="20"/>
          <w:lang w:val="es-AR"/>
        </w:rPr>
        <w:t>P</w:t>
      </w:r>
      <w:r w:rsidR="009129A8" w:rsidRPr="0005629A">
        <w:rPr>
          <w:rFonts w:ascii="Verdana" w:hAnsi="Verdana" w:cs="Arial"/>
          <w:sz w:val="20"/>
          <w:szCs w:val="20"/>
          <w:lang w:val="es-AR"/>
        </w:rPr>
        <w:t>ovećanje</w:t>
      </w:r>
      <w:proofErr w:type="spellEnd"/>
      <w:r w:rsidR="009129A8" w:rsidRPr="0005629A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05629A">
        <w:rPr>
          <w:rFonts w:ascii="Verdana" w:hAnsi="Verdana" w:cs="Arial"/>
          <w:sz w:val="20"/>
          <w:szCs w:val="20"/>
          <w:lang w:val="es-AR"/>
        </w:rPr>
        <w:t>godišnjeg</w:t>
      </w:r>
      <w:proofErr w:type="spellEnd"/>
      <w:r w:rsidR="009129A8" w:rsidRPr="0005629A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05629A">
        <w:rPr>
          <w:rFonts w:ascii="Verdana" w:hAnsi="Verdana" w:cs="Arial"/>
          <w:sz w:val="20"/>
          <w:szCs w:val="20"/>
          <w:lang w:val="es-AR"/>
        </w:rPr>
        <w:t>broja</w:t>
      </w:r>
      <w:proofErr w:type="spellEnd"/>
      <w:r w:rsidR="009129A8" w:rsidRPr="0005629A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05629A">
        <w:rPr>
          <w:rFonts w:ascii="Verdana" w:hAnsi="Verdana" w:cs="Arial"/>
          <w:sz w:val="20"/>
          <w:szCs w:val="20"/>
          <w:lang w:val="es-AR"/>
        </w:rPr>
        <w:t>klijenata</w:t>
      </w:r>
      <w:proofErr w:type="spellEnd"/>
      <w:r w:rsidR="009129A8" w:rsidRPr="0005629A">
        <w:rPr>
          <w:rFonts w:ascii="Verdana" w:hAnsi="Verdana" w:cs="Arial"/>
          <w:sz w:val="20"/>
          <w:szCs w:val="20"/>
          <w:lang w:val="es-AR"/>
        </w:rPr>
        <w:t xml:space="preserve"> </w:t>
      </w:r>
      <w:r w:rsidR="00587311">
        <w:rPr>
          <w:rFonts w:ascii="Verdana" w:hAnsi="Verdana" w:cs="Arial"/>
          <w:sz w:val="20"/>
          <w:szCs w:val="20"/>
          <w:lang w:val="es-AR"/>
        </w:rPr>
        <w:t>10</w:t>
      </w:r>
      <w:r w:rsidR="009129A8" w:rsidRPr="0005629A">
        <w:rPr>
          <w:rFonts w:ascii="Verdana" w:hAnsi="Verdana" w:cs="Arial"/>
          <w:sz w:val="20"/>
          <w:szCs w:val="20"/>
          <w:lang w:val="es-AR"/>
        </w:rPr>
        <w:t xml:space="preserve">% </w:t>
      </w:r>
      <w:proofErr w:type="spellStart"/>
      <w:r w:rsidR="009129A8" w:rsidRPr="0005629A">
        <w:rPr>
          <w:rFonts w:ascii="Verdana" w:hAnsi="Verdana" w:cs="Arial"/>
          <w:sz w:val="20"/>
          <w:szCs w:val="20"/>
          <w:lang w:val="es-AR"/>
        </w:rPr>
        <w:t>godišnje</w:t>
      </w:r>
      <w:proofErr w:type="spellEnd"/>
      <w:r w:rsidR="009129A8" w:rsidRPr="0005629A">
        <w:rPr>
          <w:rFonts w:ascii="Verdana" w:hAnsi="Verdana" w:cs="Arial"/>
          <w:sz w:val="20"/>
          <w:szCs w:val="20"/>
          <w:lang w:val="es-AR"/>
        </w:rPr>
        <w:t xml:space="preserve">, </w:t>
      </w:r>
    </w:p>
    <w:p w14:paraId="11456E68" w14:textId="1FD76199" w:rsidR="009129A8" w:rsidRPr="00F452E0" w:rsidRDefault="00155F54" w:rsidP="00A209E5">
      <w:pPr>
        <w:pStyle w:val="ListParagraph"/>
        <w:numPr>
          <w:ilvl w:val="0"/>
          <w:numId w:val="17"/>
        </w:numPr>
        <w:ind w:hanging="450"/>
        <w:rPr>
          <w:rFonts w:ascii="Verdana" w:hAnsi="Verdana" w:cs="Arial"/>
          <w:sz w:val="20"/>
          <w:szCs w:val="20"/>
          <w:lang w:val="es-AR"/>
        </w:rPr>
      </w:pPr>
      <w:proofErr w:type="spellStart"/>
      <w:r>
        <w:rPr>
          <w:rFonts w:ascii="Verdana" w:hAnsi="Verdana" w:cs="Arial"/>
          <w:sz w:val="20"/>
          <w:szCs w:val="20"/>
          <w:lang w:val="es-AR"/>
        </w:rPr>
        <w:t>U</w:t>
      </w:r>
      <w:r w:rsidR="00F452E0" w:rsidRPr="00F452E0">
        <w:rPr>
          <w:rFonts w:ascii="Verdana" w:hAnsi="Verdana" w:cs="Arial"/>
          <w:sz w:val="20"/>
          <w:szCs w:val="20"/>
          <w:lang w:val="es-AR"/>
        </w:rPr>
        <w:t>vođenje</w:t>
      </w:r>
      <w:proofErr w:type="spellEnd"/>
      <w:r w:rsidR="00F452E0" w:rsidRPr="00F452E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F452E0" w:rsidRPr="00F452E0">
        <w:rPr>
          <w:rFonts w:ascii="Verdana" w:hAnsi="Verdana" w:cs="Arial"/>
          <w:sz w:val="20"/>
          <w:szCs w:val="20"/>
          <w:lang w:val="es-AR"/>
        </w:rPr>
        <w:t>novog</w:t>
      </w:r>
      <w:proofErr w:type="spellEnd"/>
      <w:r w:rsidR="00F452E0" w:rsidRPr="00F452E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F452E0" w:rsidRPr="00F452E0">
        <w:rPr>
          <w:rFonts w:ascii="Verdana" w:hAnsi="Verdana" w:cs="Arial"/>
          <w:sz w:val="20"/>
          <w:szCs w:val="20"/>
          <w:lang w:val="es-AR"/>
        </w:rPr>
        <w:t>softverskog</w:t>
      </w:r>
      <w:proofErr w:type="spellEnd"/>
      <w:r w:rsidR="00F452E0" w:rsidRPr="00F452E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F452E0" w:rsidRPr="00F452E0">
        <w:rPr>
          <w:rFonts w:ascii="Verdana" w:hAnsi="Verdana" w:cs="Arial"/>
          <w:sz w:val="20"/>
          <w:szCs w:val="20"/>
          <w:lang w:val="es-AR"/>
        </w:rPr>
        <w:t>rješenja</w:t>
      </w:r>
      <w:proofErr w:type="spellEnd"/>
      <w:r w:rsidR="00F452E0" w:rsidRPr="00F452E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F452E0" w:rsidRPr="00F452E0">
        <w:rPr>
          <w:rFonts w:ascii="Verdana" w:hAnsi="Verdana" w:cs="Arial"/>
          <w:sz w:val="20"/>
          <w:szCs w:val="20"/>
          <w:lang w:val="es-AR"/>
        </w:rPr>
        <w:t>sa</w:t>
      </w:r>
      <w:proofErr w:type="spellEnd"/>
      <w:r w:rsidR="00F452E0" w:rsidRPr="00F452E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F452E0">
        <w:rPr>
          <w:rFonts w:ascii="Verdana" w:hAnsi="Verdana" w:cs="Arial"/>
          <w:sz w:val="20"/>
          <w:szCs w:val="20"/>
          <w:lang w:val="es-AR"/>
        </w:rPr>
        <w:t>unapređ</w:t>
      </w:r>
      <w:r w:rsidR="00F452E0">
        <w:rPr>
          <w:rFonts w:ascii="Verdana" w:hAnsi="Verdana" w:cs="Arial"/>
          <w:sz w:val="20"/>
          <w:szCs w:val="20"/>
          <w:lang w:val="es-AR"/>
        </w:rPr>
        <w:t>enim</w:t>
      </w:r>
      <w:proofErr w:type="spellEnd"/>
      <w:r w:rsidR="009129A8" w:rsidRPr="00F452E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F452E0">
        <w:rPr>
          <w:rFonts w:ascii="Verdana" w:hAnsi="Verdana" w:cs="Arial"/>
          <w:sz w:val="20"/>
          <w:szCs w:val="20"/>
          <w:lang w:val="es-AR"/>
        </w:rPr>
        <w:t>modul</w:t>
      </w:r>
      <w:r w:rsidR="00F452E0">
        <w:rPr>
          <w:rFonts w:ascii="Verdana" w:hAnsi="Verdana" w:cs="Arial"/>
          <w:sz w:val="20"/>
          <w:szCs w:val="20"/>
          <w:lang w:val="es-AR"/>
        </w:rPr>
        <w:t>ima</w:t>
      </w:r>
      <w:proofErr w:type="spellEnd"/>
      <w:r w:rsidR="009129A8" w:rsidRPr="00F452E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F452E0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="009129A8" w:rsidRPr="00F452E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F452E0">
        <w:rPr>
          <w:rFonts w:ascii="Verdana" w:hAnsi="Verdana" w:cs="Arial"/>
          <w:sz w:val="20"/>
          <w:szCs w:val="20"/>
          <w:lang w:val="es-AR"/>
        </w:rPr>
        <w:t>aplikativnu</w:t>
      </w:r>
      <w:proofErr w:type="spellEnd"/>
      <w:r w:rsidR="009129A8" w:rsidRPr="00F452E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F452E0">
        <w:rPr>
          <w:rFonts w:ascii="Verdana" w:hAnsi="Verdana" w:cs="Arial"/>
          <w:sz w:val="20"/>
          <w:szCs w:val="20"/>
          <w:lang w:val="es-AR"/>
        </w:rPr>
        <w:t>podršku</w:t>
      </w:r>
      <w:proofErr w:type="spellEnd"/>
      <w:r w:rsidR="009129A8" w:rsidRPr="00F452E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F452E0">
        <w:rPr>
          <w:rFonts w:ascii="Verdana" w:hAnsi="Verdana" w:cs="Arial"/>
          <w:sz w:val="20"/>
          <w:szCs w:val="20"/>
          <w:lang w:val="es-AR"/>
        </w:rPr>
        <w:t>poslovnih</w:t>
      </w:r>
      <w:proofErr w:type="spellEnd"/>
      <w:r w:rsidR="00F452E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F452E0">
        <w:rPr>
          <w:rFonts w:ascii="Verdana" w:hAnsi="Verdana" w:cs="Arial"/>
          <w:sz w:val="20"/>
          <w:szCs w:val="20"/>
          <w:lang w:val="es-AR"/>
        </w:rPr>
        <w:t>aktivnosti</w:t>
      </w:r>
      <w:proofErr w:type="spellEnd"/>
      <w:r w:rsidR="00F452E0">
        <w:rPr>
          <w:rFonts w:ascii="Verdana" w:hAnsi="Verdana" w:cs="Arial"/>
          <w:sz w:val="20"/>
          <w:szCs w:val="20"/>
          <w:lang w:val="es-AR"/>
        </w:rPr>
        <w:t>,</w:t>
      </w:r>
    </w:p>
    <w:p w14:paraId="2FA945C7" w14:textId="240EA692" w:rsidR="009129A8" w:rsidRDefault="00155F54" w:rsidP="00BC7083">
      <w:pPr>
        <w:pStyle w:val="ListParagraph"/>
        <w:numPr>
          <w:ilvl w:val="0"/>
          <w:numId w:val="17"/>
        </w:numPr>
        <w:ind w:hanging="450"/>
        <w:rPr>
          <w:rFonts w:ascii="Verdana" w:hAnsi="Verdana" w:cs="Arial"/>
          <w:sz w:val="20"/>
          <w:szCs w:val="20"/>
          <w:lang w:val="es-AR"/>
        </w:rPr>
      </w:pPr>
      <w:proofErr w:type="spellStart"/>
      <w:r>
        <w:rPr>
          <w:rFonts w:ascii="Verdana" w:hAnsi="Verdana" w:cs="Arial"/>
          <w:sz w:val="20"/>
          <w:szCs w:val="20"/>
          <w:lang w:val="es-AR"/>
        </w:rPr>
        <w:t>K</w:t>
      </w:r>
      <w:r w:rsidR="009129A8" w:rsidRPr="00A672D4">
        <w:rPr>
          <w:rFonts w:ascii="Verdana" w:hAnsi="Verdana" w:cs="Arial"/>
          <w:sz w:val="20"/>
          <w:szCs w:val="20"/>
          <w:lang w:val="es-AR"/>
        </w:rPr>
        <w:t>onstantno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unapre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sr-Latn-BA"/>
        </w:rPr>
        <w:t xml:space="preserve">đenje </w:t>
      </w:r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sistema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upravljanja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rizicima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troškovima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sa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akcentom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="009129A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>
        <w:rPr>
          <w:rFonts w:ascii="Verdana" w:hAnsi="Verdana" w:cs="Arial"/>
          <w:sz w:val="20"/>
          <w:szCs w:val="20"/>
          <w:lang w:val="es-AR"/>
        </w:rPr>
        <w:t>uravljanju</w:t>
      </w:r>
      <w:proofErr w:type="spellEnd"/>
      <w:r w:rsidR="009129A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>
        <w:rPr>
          <w:rFonts w:ascii="Verdana" w:hAnsi="Verdana" w:cs="Arial"/>
          <w:sz w:val="20"/>
          <w:szCs w:val="20"/>
          <w:lang w:val="es-AR"/>
        </w:rPr>
        <w:t>portfolijom</w:t>
      </w:r>
      <w:proofErr w:type="spellEnd"/>
      <w:r w:rsidR="009129A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>
        <w:rPr>
          <w:rFonts w:ascii="Verdana" w:hAnsi="Verdana" w:cs="Arial"/>
          <w:sz w:val="20"/>
          <w:szCs w:val="20"/>
          <w:lang w:val="es-AR"/>
        </w:rPr>
        <w:t>loših</w:t>
      </w:r>
      <w:proofErr w:type="spellEnd"/>
      <w:r w:rsidR="009129A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>
        <w:rPr>
          <w:rFonts w:ascii="Verdana" w:hAnsi="Verdana" w:cs="Arial"/>
          <w:sz w:val="20"/>
          <w:szCs w:val="20"/>
          <w:lang w:val="es-AR"/>
        </w:rPr>
        <w:t>kredita</w:t>
      </w:r>
      <w:proofErr w:type="spellEnd"/>
      <w:r w:rsidR="009129A8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="009129A8">
        <w:rPr>
          <w:rFonts w:ascii="Verdana" w:hAnsi="Verdana" w:cs="Arial"/>
          <w:sz w:val="20"/>
          <w:szCs w:val="20"/>
          <w:lang w:val="es-AR"/>
        </w:rPr>
        <w:t>naplatom</w:t>
      </w:r>
      <w:proofErr w:type="spellEnd"/>
      <w:r w:rsidR="009129A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>
        <w:rPr>
          <w:rFonts w:ascii="Verdana" w:hAnsi="Verdana" w:cs="Arial"/>
          <w:sz w:val="20"/>
          <w:szCs w:val="20"/>
          <w:lang w:val="es-AR"/>
        </w:rPr>
        <w:t>dospjelih</w:t>
      </w:r>
      <w:proofErr w:type="spellEnd"/>
      <w:r w:rsidR="009129A8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>
        <w:rPr>
          <w:rFonts w:ascii="Verdana" w:hAnsi="Verdana" w:cs="Arial"/>
          <w:sz w:val="20"/>
          <w:szCs w:val="20"/>
          <w:lang w:val="es-AR"/>
        </w:rPr>
        <w:t>potraživanja</w:t>
      </w:r>
      <w:proofErr w:type="spellEnd"/>
      <w:r w:rsidR="009129A8">
        <w:rPr>
          <w:rFonts w:ascii="Verdana" w:hAnsi="Verdana" w:cs="Arial"/>
          <w:sz w:val="20"/>
          <w:szCs w:val="20"/>
          <w:lang w:val="es-AR"/>
        </w:rPr>
        <w:t>,</w:t>
      </w:r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praćenju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analizi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kretanja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referentne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kamatne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stope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procjeni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uticaja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iste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cijenu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izvora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cjenu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plasmana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, </w:t>
      </w:r>
    </w:p>
    <w:p w14:paraId="2B96EE2F" w14:textId="1ABAC22A" w:rsidR="009129A8" w:rsidRPr="00155F54" w:rsidRDefault="00155F54" w:rsidP="00155F54">
      <w:pPr>
        <w:pStyle w:val="ListParagraph"/>
        <w:numPr>
          <w:ilvl w:val="0"/>
          <w:numId w:val="17"/>
        </w:numPr>
        <w:spacing w:after="0"/>
        <w:ind w:hanging="450"/>
        <w:rPr>
          <w:rFonts w:ascii="Verdana" w:hAnsi="Verdana" w:cs="Arial"/>
          <w:sz w:val="20"/>
          <w:szCs w:val="20"/>
          <w:lang w:val="es-AR"/>
        </w:rPr>
      </w:pPr>
      <w:r>
        <w:rPr>
          <w:rFonts w:ascii="Verdana" w:hAnsi="Verdana" w:cs="Arial"/>
          <w:sz w:val="20"/>
          <w:szCs w:val="20"/>
          <w:lang w:val="es-AR"/>
        </w:rPr>
        <w:t>A</w:t>
      </w:r>
      <w:r w:rsidR="009129A8" w:rsidRPr="00155F54">
        <w:rPr>
          <w:rFonts w:ascii="Verdana" w:hAnsi="Verdana" w:cs="Arial"/>
          <w:sz w:val="20"/>
          <w:szCs w:val="20"/>
          <w:lang w:val="es-AR"/>
        </w:rPr>
        <w:t xml:space="preserve">naliza </w:t>
      </w:r>
      <w:proofErr w:type="spellStart"/>
      <w:r w:rsidR="009129A8" w:rsidRPr="00155F54">
        <w:rPr>
          <w:rFonts w:ascii="Verdana" w:hAnsi="Verdana" w:cs="Arial"/>
          <w:sz w:val="20"/>
          <w:szCs w:val="20"/>
          <w:lang w:val="es-AR"/>
        </w:rPr>
        <w:t>novih</w:t>
      </w:r>
      <w:proofErr w:type="spellEnd"/>
      <w:r w:rsidR="009129A8" w:rsidRPr="00155F5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155F54">
        <w:rPr>
          <w:rFonts w:ascii="Verdana" w:hAnsi="Verdana" w:cs="Arial"/>
          <w:sz w:val="20"/>
          <w:szCs w:val="20"/>
          <w:lang w:val="es-AR"/>
        </w:rPr>
        <w:t>tržišta</w:t>
      </w:r>
      <w:proofErr w:type="spellEnd"/>
      <w:r w:rsidR="009129A8" w:rsidRPr="00155F54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="009129A8" w:rsidRPr="00155F54">
        <w:rPr>
          <w:rFonts w:ascii="Verdana" w:hAnsi="Verdana" w:cs="Arial"/>
          <w:sz w:val="20"/>
          <w:szCs w:val="20"/>
          <w:lang w:val="es-AR"/>
        </w:rPr>
        <w:t>širenje</w:t>
      </w:r>
      <w:proofErr w:type="spellEnd"/>
      <w:r w:rsidR="009129A8" w:rsidRPr="00155F5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155F54">
        <w:rPr>
          <w:rFonts w:ascii="Verdana" w:hAnsi="Verdana" w:cs="Arial"/>
          <w:sz w:val="20"/>
          <w:szCs w:val="20"/>
          <w:lang w:val="es-AR"/>
        </w:rPr>
        <w:t>poslovne</w:t>
      </w:r>
      <w:proofErr w:type="spellEnd"/>
      <w:r w:rsidR="009129A8" w:rsidRPr="00155F5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155F54">
        <w:rPr>
          <w:rFonts w:ascii="Verdana" w:hAnsi="Verdana" w:cs="Arial"/>
          <w:sz w:val="20"/>
          <w:szCs w:val="20"/>
          <w:lang w:val="es-AR"/>
        </w:rPr>
        <w:t>mreže</w:t>
      </w:r>
      <w:proofErr w:type="spellEnd"/>
      <w:r w:rsidR="009129A8" w:rsidRPr="00155F54">
        <w:rPr>
          <w:rFonts w:ascii="Verdana" w:hAnsi="Verdana" w:cs="Arial"/>
          <w:sz w:val="20"/>
          <w:szCs w:val="20"/>
          <w:lang w:val="es-AR"/>
        </w:rPr>
        <w:t xml:space="preserve">, </w:t>
      </w:r>
    </w:p>
    <w:p w14:paraId="583C4987" w14:textId="62C16660" w:rsidR="009129A8" w:rsidRPr="00A672D4" w:rsidRDefault="00155F54" w:rsidP="00BC7083">
      <w:pPr>
        <w:pStyle w:val="ListParagraph"/>
        <w:numPr>
          <w:ilvl w:val="0"/>
          <w:numId w:val="17"/>
        </w:numPr>
        <w:spacing w:after="0"/>
        <w:ind w:hanging="450"/>
        <w:rPr>
          <w:rFonts w:ascii="Verdana" w:hAnsi="Verdana" w:cs="Arial"/>
          <w:sz w:val="20"/>
          <w:szCs w:val="20"/>
          <w:lang w:val="es-AR"/>
        </w:rPr>
      </w:pPr>
      <w:proofErr w:type="spellStart"/>
      <w:r>
        <w:rPr>
          <w:rFonts w:ascii="Verdana" w:hAnsi="Verdana" w:cs="Arial"/>
          <w:sz w:val="20"/>
          <w:szCs w:val="20"/>
          <w:lang w:val="es-AR"/>
        </w:rPr>
        <w:t>R</w:t>
      </w:r>
      <w:r w:rsidR="009129A8" w:rsidRPr="00A672D4">
        <w:rPr>
          <w:rFonts w:ascii="Verdana" w:hAnsi="Verdana" w:cs="Arial"/>
          <w:sz w:val="20"/>
          <w:szCs w:val="20"/>
          <w:lang w:val="es-AR"/>
        </w:rPr>
        <w:t>azvoj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novih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proizvoda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>,</w:t>
      </w:r>
      <w:r w:rsidR="009129A8" w:rsidRPr="00A672D4" w:rsidDel="0044006A">
        <w:rPr>
          <w:rFonts w:ascii="Verdana" w:hAnsi="Verdana" w:cs="Arial"/>
          <w:sz w:val="20"/>
          <w:szCs w:val="20"/>
          <w:lang w:val="es-AR"/>
        </w:rPr>
        <w:t xml:space="preserve"> </w:t>
      </w:r>
    </w:p>
    <w:p w14:paraId="1BDDB2B0" w14:textId="6DBCC1E3" w:rsidR="009129A8" w:rsidRPr="00A672D4" w:rsidRDefault="00155F54" w:rsidP="00BC7083">
      <w:pPr>
        <w:pStyle w:val="ListParagraph"/>
        <w:numPr>
          <w:ilvl w:val="0"/>
          <w:numId w:val="17"/>
        </w:numPr>
        <w:spacing w:after="0"/>
        <w:ind w:hanging="450"/>
        <w:rPr>
          <w:rFonts w:ascii="Verdana" w:hAnsi="Verdana" w:cs="Arial"/>
          <w:sz w:val="20"/>
          <w:szCs w:val="20"/>
          <w:lang w:val="es-AR"/>
        </w:rPr>
      </w:pPr>
      <w:proofErr w:type="spellStart"/>
      <w:r>
        <w:rPr>
          <w:rFonts w:ascii="Verdana" w:hAnsi="Verdana" w:cs="Arial"/>
          <w:sz w:val="20"/>
          <w:szCs w:val="20"/>
          <w:lang w:val="es-AR"/>
        </w:rPr>
        <w:t>K</w:t>
      </w:r>
      <w:r w:rsidR="009129A8" w:rsidRPr="00A672D4">
        <w:rPr>
          <w:rFonts w:ascii="Verdana" w:hAnsi="Verdana" w:cs="Arial"/>
          <w:sz w:val="20"/>
          <w:szCs w:val="20"/>
          <w:lang w:val="es-AR"/>
        </w:rPr>
        <w:t>adrovsko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jačanje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>,</w:t>
      </w:r>
    </w:p>
    <w:p w14:paraId="231CB9F8" w14:textId="77A8F8B2" w:rsidR="009129A8" w:rsidRPr="00A672D4" w:rsidRDefault="00155F54" w:rsidP="00BC7083">
      <w:pPr>
        <w:pStyle w:val="ListParagraph"/>
        <w:numPr>
          <w:ilvl w:val="0"/>
          <w:numId w:val="17"/>
        </w:numPr>
        <w:spacing w:after="0"/>
        <w:ind w:hanging="450"/>
        <w:rPr>
          <w:rFonts w:ascii="Verdana" w:hAnsi="Verdana" w:cs="Arial"/>
          <w:sz w:val="20"/>
          <w:szCs w:val="20"/>
          <w:lang w:val="es-AR"/>
        </w:rPr>
      </w:pPr>
      <w:proofErr w:type="spellStart"/>
      <w:r>
        <w:rPr>
          <w:rFonts w:ascii="Verdana" w:hAnsi="Verdana" w:cs="Arial"/>
          <w:sz w:val="20"/>
          <w:szCs w:val="20"/>
          <w:lang w:val="es-AR"/>
        </w:rPr>
        <w:t>R</w:t>
      </w:r>
      <w:r w:rsidR="009129A8" w:rsidRPr="00A672D4">
        <w:rPr>
          <w:rFonts w:ascii="Verdana" w:hAnsi="Verdana" w:cs="Arial"/>
          <w:sz w:val="20"/>
          <w:szCs w:val="20"/>
          <w:lang w:val="es-AR"/>
        </w:rPr>
        <w:t>azvoj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novih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marketinških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A672D4">
        <w:rPr>
          <w:rFonts w:ascii="Verdana" w:hAnsi="Verdana" w:cs="Arial"/>
          <w:sz w:val="20"/>
          <w:szCs w:val="20"/>
          <w:lang w:val="es-AR"/>
        </w:rPr>
        <w:t>alata</w:t>
      </w:r>
      <w:proofErr w:type="spellEnd"/>
      <w:r w:rsidR="009129A8" w:rsidRPr="00A672D4">
        <w:rPr>
          <w:rFonts w:ascii="Verdana" w:hAnsi="Verdana" w:cs="Arial"/>
          <w:sz w:val="20"/>
          <w:szCs w:val="20"/>
          <w:lang w:val="es-AR"/>
        </w:rPr>
        <w:t>.</w:t>
      </w:r>
    </w:p>
    <w:p w14:paraId="32AB8022" w14:textId="77777777" w:rsidR="009129A8" w:rsidRPr="009129A8" w:rsidRDefault="009129A8" w:rsidP="009129A8">
      <w:pPr>
        <w:ind w:hanging="450"/>
        <w:jc w:val="both"/>
        <w:rPr>
          <w:rFonts w:ascii="Verdana" w:hAnsi="Verdana" w:cs="Arial"/>
          <w:lang w:val="sr-Latn-BA"/>
        </w:rPr>
      </w:pPr>
    </w:p>
    <w:p w14:paraId="785F5557" w14:textId="02C72346" w:rsidR="009129A8" w:rsidRPr="00A47F94" w:rsidRDefault="00A47F94" w:rsidP="00A47F94">
      <w:pPr>
        <w:pStyle w:val="Heading1"/>
        <w:numPr>
          <w:ilvl w:val="0"/>
          <w:numId w:val="0"/>
        </w:numPr>
        <w:spacing w:line="240" w:lineRule="auto"/>
        <w:rPr>
          <w:rFonts w:ascii="Verdana" w:hAnsi="Verdana" w:cs="Arial"/>
          <w:color w:val="auto"/>
          <w:sz w:val="22"/>
          <w:szCs w:val="22"/>
          <w:lang w:val="it-IT"/>
        </w:rPr>
      </w:pPr>
      <w:r w:rsidRPr="00A47F94">
        <w:rPr>
          <w:rFonts w:ascii="Verdana" w:hAnsi="Verdana" w:cs="Arial"/>
          <w:color w:val="auto"/>
          <w:sz w:val="22"/>
          <w:szCs w:val="22"/>
          <w:lang w:val="it-IT"/>
        </w:rPr>
        <w:t xml:space="preserve">5. </w:t>
      </w:r>
      <w:r w:rsidR="009129A8" w:rsidRPr="00A47F94">
        <w:rPr>
          <w:rFonts w:ascii="Verdana" w:hAnsi="Verdana" w:cs="Arial"/>
          <w:color w:val="auto"/>
          <w:sz w:val="22"/>
          <w:szCs w:val="22"/>
          <w:lang w:val="it-IT"/>
        </w:rPr>
        <w:t>INFORMACIJE O OTKUPU VLASTITIH UDJELA</w:t>
      </w:r>
    </w:p>
    <w:p w14:paraId="7C59E542" w14:textId="77777777" w:rsidR="009129A8" w:rsidRPr="00A672D4" w:rsidRDefault="009129A8" w:rsidP="009129A8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1FBD2285" w14:textId="77777777" w:rsidR="009129A8" w:rsidRPr="00A672D4" w:rsidRDefault="009129A8" w:rsidP="009129A8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35E20070" w14:textId="4D2078A2" w:rsidR="009129A8" w:rsidRDefault="009129A8" w:rsidP="009129A8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Društvo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r w:rsidRPr="00A672D4">
        <w:rPr>
          <w:rFonts w:ascii="Verdana" w:hAnsi="Verdana" w:cs="Arial"/>
          <w:sz w:val="20"/>
          <w:szCs w:val="20"/>
          <w:lang w:val="es-AR"/>
        </w:rPr>
        <w:t xml:space="preserve">nije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vršilo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otkup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vlastitih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udjela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>.</w:t>
      </w:r>
    </w:p>
    <w:p w14:paraId="21270FEF" w14:textId="77777777" w:rsidR="00943FCF" w:rsidRDefault="00943FCF" w:rsidP="009129A8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300D1DF5" w14:textId="77777777" w:rsidR="009129A8" w:rsidRPr="00A672D4" w:rsidRDefault="009129A8" w:rsidP="009129A8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491A2B23" w14:textId="532B7EB8" w:rsidR="009129A8" w:rsidRPr="00D77A4C" w:rsidRDefault="00A47F94" w:rsidP="00A47F94">
      <w:pPr>
        <w:pStyle w:val="Heading1"/>
        <w:numPr>
          <w:ilvl w:val="0"/>
          <w:numId w:val="0"/>
        </w:numPr>
        <w:spacing w:before="0" w:line="240" w:lineRule="auto"/>
        <w:rPr>
          <w:rFonts w:ascii="Verdana" w:hAnsi="Verdana" w:cs="Arial"/>
          <w:color w:val="auto"/>
          <w:sz w:val="22"/>
          <w:szCs w:val="22"/>
          <w:lang w:val="es-AR"/>
        </w:rPr>
      </w:pPr>
      <w:r w:rsidRPr="00D77A4C">
        <w:rPr>
          <w:rFonts w:ascii="Verdana" w:hAnsi="Verdana" w:cs="Arial"/>
          <w:color w:val="auto"/>
          <w:sz w:val="22"/>
          <w:szCs w:val="22"/>
          <w:lang w:val="es-AR"/>
        </w:rPr>
        <w:t xml:space="preserve">6. </w:t>
      </w:r>
      <w:r w:rsidR="009129A8" w:rsidRPr="00D77A4C">
        <w:rPr>
          <w:rFonts w:ascii="Verdana" w:hAnsi="Verdana" w:cs="Arial"/>
          <w:color w:val="auto"/>
          <w:sz w:val="22"/>
          <w:szCs w:val="22"/>
          <w:lang w:val="es-AR"/>
        </w:rPr>
        <w:t>REGULATORNI OKVIR</w:t>
      </w:r>
    </w:p>
    <w:p w14:paraId="0BF5B54F" w14:textId="77777777" w:rsidR="009129A8" w:rsidRPr="00D77A4C" w:rsidRDefault="009129A8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</w:p>
    <w:p w14:paraId="6C395823" w14:textId="77777777" w:rsidR="009129A8" w:rsidRPr="00D77A4C" w:rsidRDefault="009129A8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</w:p>
    <w:p w14:paraId="6EF718A5" w14:textId="3AA251FE" w:rsidR="009129A8" w:rsidRPr="00D77A4C" w:rsidRDefault="009129A8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Društvo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kao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mikrokreditna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institucija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posluje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okviru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pozitivnih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pravnih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propisa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koji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regulišu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rad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mikrokreditnog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sektora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Republici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Srpskoj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.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Osim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propisa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(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zakona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odluka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uputstva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),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koje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propisuje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Agencija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bankarstvo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Republike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Srpske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kao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regulator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supervizor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poslovanja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Društva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primjenjuju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se i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zakoni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koj</w:t>
      </w:r>
      <w:r w:rsidR="00B143AC" w:rsidRPr="00D77A4C">
        <w:rPr>
          <w:rFonts w:ascii="Verdana" w:hAnsi="Verdana" w:cs="Arial"/>
          <w:sz w:val="20"/>
          <w:szCs w:val="20"/>
          <w:lang w:val="es-AR"/>
        </w:rPr>
        <w:t>i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regulišu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rad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privrednih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društava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zakoni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o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obligacionim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odnosima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zakoni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o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računovodstvu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reviziji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dr.</w:t>
      </w:r>
      <w:proofErr w:type="spellEnd"/>
    </w:p>
    <w:p w14:paraId="18795B5E" w14:textId="77777777" w:rsidR="009129A8" w:rsidRPr="00D77A4C" w:rsidRDefault="009129A8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</w:p>
    <w:p w14:paraId="25749E09" w14:textId="480DD2AA" w:rsidR="009129A8" w:rsidRPr="00D77A4C" w:rsidRDefault="009129A8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  <w:r w:rsidRPr="00D77A4C">
        <w:rPr>
          <w:rFonts w:ascii="Verdana" w:hAnsi="Verdana" w:cs="Arial"/>
          <w:sz w:val="20"/>
          <w:szCs w:val="20"/>
          <w:lang w:val="es-AR"/>
        </w:rPr>
        <w:t xml:space="preserve">U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toku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202</w:t>
      </w:r>
      <w:r w:rsidR="00C86097" w:rsidRPr="00D77A4C">
        <w:rPr>
          <w:rFonts w:ascii="Verdana" w:hAnsi="Verdana" w:cs="Arial"/>
          <w:sz w:val="20"/>
          <w:szCs w:val="20"/>
          <w:lang w:val="es-AR"/>
        </w:rPr>
        <w:t>4</w:t>
      </w:r>
      <w:r w:rsidRPr="00D77A4C">
        <w:rPr>
          <w:rFonts w:ascii="Verdana" w:hAnsi="Verdana" w:cs="Arial"/>
          <w:sz w:val="20"/>
          <w:szCs w:val="20"/>
          <w:lang w:val="es-AR"/>
        </w:rPr>
        <w:t xml:space="preserve">. </w:t>
      </w:r>
      <w:proofErr w:type="spellStart"/>
      <w:r w:rsidR="00A47F94" w:rsidRPr="00D77A4C">
        <w:rPr>
          <w:rFonts w:ascii="Verdana" w:hAnsi="Verdana" w:cs="Arial"/>
          <w:sz w:val="20"/>
          <w:szCs w:val="20"/>
          <w:lang w:val="es-AR"/>
        </w:rPr>
        <w:t>g</w:t>
      </w:r>
      <w:r w:rsidRPr="00D77A4C">
        <w:rPr>
          <w:rFonts w:ascii="Verdana" w:hAnsi="Verdana" w:cs="Arial"/>
          <w:sz w:val="20"/>
          <w:szCs w:val="20"/>
          <w:lang w:val="es-AR"/>
        </w:rPr>
        <w:t>odine</w:t>
      </w:r>
      <w:proofErr w:type="spellEnd"/>
      <w:r w:rsidR="00C86097" w:rsidRPr="00D77A4C">
        <w:rPr>
          <w:rFonts w:ascii="Verdana" w:hAnsi="Verdana" w:cs="Arial"/>
          <w:sz w:val="20"/>
          <w:szCs w:val="20"/>
          <w:lang w:val="es-AR"/>
        </w:rPr>
        <w:t xml:space="preserve"> nije </w:t>
      </w:r>
      <w:proofErr w:type="spellStart"/>
      <w:r w:rsidR="00C86097" w:rsidRPr="00D77A4C">
        <w:rPr>
          <w:rFonts w:ascii="Verdana" w:hAnsi="Verdana" w:cs="Arial"/>
          <w:sz w:val="20"/>
          <w:szCs w:val="20"/>
          <w:lang w:val="es-AR"/>
        </w:rPr>
        <w:t>bilo</w:t>
      </w:r>
      <w:proofErr w:type="spellEnd"/>
      <w:r w:rsidR="00C86097"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značajnih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izmjena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pozitivnim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pravnim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propisima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koji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regulišu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rad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Društva</w:t>
      </w:r>
      <w:proofErr w:type="spellEnd"/>
      <w:r w:rsidR="00C86097" w:rsidRPr="00D77A4C">
        <w:rPr>
          <w:rFonts w:ascii="Verdana" w:hAnsi="Verdana" w:cs="Arial"/>
          <w:sz w:val="20"/>
          <w:szCs w:val="20"/>
          <w:lang w:val="es-AR"/>
        </w:rPr>
        <w:t>.</w:t>
      </w:r>
    </w:p>
    <w:p w14:paraId="20C5AA24" w14:textId="77777777" w:rsidR="009129A8" w:rsidRPr="00D77A4C" w:rsidRDefault="009129A8" w:rsidP="009129A8">
      <w:pPr>
        <w:pStyle w:val="ListParagraph"/>
        <w:spacing w:after="0"/>
        <w:ind w:left="360" w:firstLine="0"/>
        <w:rPr>
          <w:rFonts w:ascii="Verdana" w:hAnsi="Verdana"/>
          <w:sz w:val="20"/>
          <w:szCs w:val="20"/>
          <w:lang w:val="es-AR"/>
        </w:rPr>
      </w:pPr>
    </w:p>
    <w:p w14:paraId="5A1CFAB2" w14:textId="6990A4C6" w:rsidR="009129A8" w:rsidRPr="00D77A4C" w:rsidRDefault="00C86097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  <w:r w:rsidRPr="00D77A4C">
        <w:rPr>
          <w:rFonts w:ascii="Verdana" w:hAnsi="Verdana" w:cs="Arial"/>
          <w:sz w:val="20"/>
          <w:szCs w:val="20"/>
          <w:lang w:val="es-AR"/>
        </w:rPr>
        <w:lastRenderedPageBreak/>
        <w:t>U</w:t>
      </w:r>
      <w:r w:rsidR="009129A8"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129A8" w:rsidRPr="00D77A4C">
        <w:rPr>
          <w:rFonts w:ascii="Verdana" w:hAnsi="Verdana" w:cs="Arial"/>
          <w:sz w:val="20"/>
          <w:szCs w:val="20"/>
          <w:lang w:val="es-AR"/>
        </w:rPr>
        <w:t>toku</w:t>
      </w:r>
      <w:proofErr w:type="spellEnd"/>
      <w:r w:rsidR="009129A8" w:rsidRPr="00D77A4C">
        <w:rPr>
          <w:rFonts w:ascii="Verdana" w:hAnsi="Verdana" w:cs="Arial"/>
          <w:sz w:val="20"/>
          <w:szCs w:val="20"/>
          <w:lang w:val="es-AR"/>
        </w:rPr>
        <w:t xml:space="preserve"> 202</w:t>
      </w:r>
      <w:r w:rsidRPr="00D77A4C">
        <w:rPr>
          <w:rFonts w:ascii="Verdana" w:hAnsi="Verdana" w:cs="Arial"/>
          <w:sz w:val="20"/>
          <w:szCs w:val="20"/>
          <w:lang w:val="es-AR"/>
        </w:rPr>
        <w:t>4</w:t>
      </w:r>
      <w:r w:rsidR="009129A8" w:rsidRPr="00D77A4C">
        <w:rPr>
          <w:rFonts w:ascii="Verdana" w:hAnsi="Verdana" w:cs="Arial"/>
          <w:sz w:val="20"/>
          <w:szCs w:val="20"/>
          <w:lang w:val="es-AR"/>
        </w:rPr>
        <w:t xml:space="preserve">. </w:t>
      </w:r>
      <w:proofErr w:type="spellStart"/>
      <w:r w:rsidR="009129A8" w:rsidRPr="00D77A4C">
        <w:rPr>
          <w:rFonts w:ascii="Verdana" w:hAnsi="Verdana" w:cs="Arial"/>
          <w:sz w:val="20"/>
          <w:szCs w:val="20"/>
          <w:lang w:val="es-AR"/>
        </w:rPr>
        <w:t>godine</w:t>
      </w:r>
      <w:proofErr w:type="spellEnd"/>
      <w:r w:rsidR="009129A8"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nisu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vršene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kontrole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institucija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nadležnih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poslovanje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D77A4C">
        <w:rPr>
          <w:rFonts w:ascii="Verdana" w:hAnsi="Verdana" w:cs="Arial"/>
          <w:sz w:val="20"/>
          <w:szCs w:val="20"/>
          <w:lang w:val="es-AR"/>
        </w:rPr>
        <w:t>Društva</w:t>
      </w:r>
      <w:proofErr w:type="spellEnd"/>
      <w:r w:rsidRPr="00D77A4C">
        <w:rPr>
          <w:rFonts w:ascii="Verdana" w:hAnsi="Verdana" w:cs="Arial"/>
          <w:sz w:val="20"/>
          <w:szCs w:val="20"/>
          <w:lang w:val="es-AR"/>
        </w:rPr>
        <w:t xml:space="preserve">. </w:t>
      </w:r>
    </w:p>
    <w:p w14:paraId="3430F678" w14:textId="77777777" w:rsidR="00C86097" w:rsidRPr="00D77A4C" w:rsidRDefault="00C86097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</w:p>
    <w:p w14:paraId="05C86F77" w14:textId="3ACBA444" w:rsidR="009129A8" w:rsidRPr="00D77A4C" w:rsidRDefault="00A47F94" w:rsidP="00A47F94">
      <w:pPr>
        <w:pStyle w:val="Heading1"/>
        <w:numPr>
          <w:ilvl w:val="0"/>
          <w:numId w:val="0"/>
        </w:numPr>
        <w:spacing w:line="240" w:lineRule="auto"/>
        <w:rPr>
          <w:rFonts w:ascii="Verdana" w:hAnsi="Verdana" w:cs="Arial"/>
          <w:color w:val="000000" w:themeColor="text1"/>
          <w:sz w:val="20"/>
          <w:szCs w:val="20"/>
          <w:lang w:val="es-AR"/>
        </w:rPr>
      </w:pPr>
      <w:r w:rsidRPr="00D77A4C">
        <w:rPr>
          <w:rFonts w:ascii="Verdana" w:hAnsi="Verdana" w:cs="Arial"/>
          <w:color w:val="000000" w:themeColor="text1"/>
          <w:sz w:val="22"/>
          <w:szCs w:val="22"/>
          <w:lang w:val="es-AR"/>
        </w:rPr>
        <w:t xml:space="preserve">7. </w:t>
      </w:r>
      <w:r w:rsidR="009129A8" w:rsidRPr="00D77A4C">
        <w:rPr>
          <w:rFonts w:ascii="Verdana" w:hAnsi="Verdana" w:cs="Arial"/>
          <w:color w:val="000000" w:themeColor="text1"/>
          <w:sz w:val="22"/>
          <w:szCs w:val="22"/>
          <w:lang w:val="es-AR"/>
        </w:rPr>
        <w:t xml:space="preserve">MIKROKREDITNI SEKTOR </w:t>
      </w:r>
      <w:r w:rsidR="00D16A9E" w:rsidRPr="00D77A4C">
        <w:rPr>
          <w:rFonts w:ascii="Verdana" w:hAnsi="Verdana" w:cs="Arial"/>
          <w:color w:val="000000" w:themeColor="text1"/>
          <w:sz w:val="22"/>
          <w:szCs w:val="22"/>
          <w:lang w:val="es-AR"/>
        </w:rPr>
        <w:t>RS</w:t>
      </w:r>
      <w:r w:rsidR="009129A8" w:rsidRPr="00D77A4C">
        <w:rPr>
          <w:rFonts w:ascii="Verdana" w:hAnsi="Verdana" w:cs="Arial"/>
          <w:color w:val="000000" w:themeColor="text1"/>
          <w:sz w:val="22"/>
          <w:szCs w:val="22"/>
          <w:lang w:val="es-AR"/>
        </w:rPr>
        <w:t xml:space="preserve"> I POLOŽAJ DRUŠTVA NA</w:t>
      </w:r>
      <w:r w:rsidR="009129A8" w:rsidRPr="00D77A4C">
        <w:rPr>
          <w:rFonts w:ascii="Verdana" w:hAnsi="Verdana" w:cs="Arial"/>
          <w:color w:val="000000" w:themeColor="text1"/>
          <w:sz w:val="20"/>
          <w:szCs w:val="20"/>
          <w:lang w:val="es-AR"/>
        </w:rPr>
        <w:t xml:space="preserve"> </w:t>
      </w:r>
      <w:r w:rsidR="009129A8" w:rsidRPr="00D77A4C">
        <w:rPr>
          <w:rFonts w:ascii="Verdana" w:hAnsi="Verdana" w:cs="Arial"/>
          <w:color w:val="000000" w:themeColor="text1"/>
          <w:sz w:val="22"/>
          <w:szCs w:val="22"/>
          <w:lang w:val="es-AR"/>
        </w:rPr>
        <w:t>TRŽIŠTU</w:t>
      </w:r>
    </w:p>
    <w:p w14:paraId="7568D75C" w14:textId="77777777" w:rsidR="009129A8" w:rsidRPr="00D77A4C" w:rsidRDefault="009129A8" w:rsidP="009129A8">
      <w:pPr>
        <w:spacing w:after="0" w:line="240" w:lineRule="auto"/>
        <w:rPr>
          <w:rFonts w:ascii="Verdana" w:hAnsi="Verdana"/>
          <w:sz w:val="20"/>
          <w:szCs w:val="20"/>
          <w:lang w:val="es-AR"/>
        </w:rPr>
      </w:pPr>
    </w:p>
    <w:p w14:paraId="521AC7ED" w14:textId="77777777" w:rsidR="009129A8" w:rsidRPr="00D77A4C" w:rsidRDefault="009129A8" w:rsidP="009129A8">
      <w:pPr>
        <w:spacing w:after="0" w:line="240" w:lineRule="auto"/>
        <w:jc w:val="both"/>
        <w:rPr>
          <w:rFonts w:ascii="Verdana" w:hAnsi="Verdana" w:cs="Arial"/>
          <w:color w:val="FF0000"/>
          <w:sz w:val="20"/>
          <w:szCs w:val="20"/>
          <w:lang w:val="es-AR"/>
        </w:rPr>
      </w:pPr>
    </w:p>
    <w:p w14:paraId="6874B154" w14:textId="22BF11CC" w:rsidR="009129A8" w:rsidRDefault="009129A8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>
        <w:rPr>
          <w:rFonts w:ascii="Verdana" w:hAnsi="Verdana" w:cs="Arial"/>
          <w:sz w:val="20"/>
          <w:szCs w:val="20"/>
          <w:lang w:val="es-AR"/>
        </w:rPr>
        <w:t>Uporedna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analiza i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poređenje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sa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poslovnim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okruženjem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rađena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osnovu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posljednjeg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Izvještaja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o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stanju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mikrokreditnog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sektora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Republike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Srpske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dan 30.09.202</w:t>
      </w:r>
      <w:r w:rsidR="005F2E31">
        <w:rPr>
          <w:rFonts w:ascii="Verdana" w:hAnsi="Verdana" w:cs="Arial"/>
          <w:sz w:val="20"/>
          <w:szCs w:val="20"/>
          <w:lang w:val="es-AR"/>
        </w:rPr>
        <w:t>4</w:t>
      </w:r>
      <w:r>
        <w:rPr>
          <w:rFonts w:ascii="Verdana" w:hAnsi="Verdana" w:cs="Arial"/>
          <w:sz w:val="20"/>
          <w:szCs w:val="20"/>
          <w:lang w:val="es-AR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godine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osnovu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Izvještaja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sa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podacima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o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mikrokreditnom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sektoru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31.12.202</w:t>
      </w:r>
      <w:r w:rsidR="005F2E31">
        <w:rPr>
          <w:rFonts w:ascii="Verdana" w:hAnsi="Verdana" w:cs="Arial"/>
          <w:sz w:val="20"/>
          <w:szCs w:val="20"/>
          <w:lang w:val="es-AR"/>
        </w:rPr>
        <w:t>4</w:t>
      </w:r>
      <w:r>
        <w:rPr>
          <w:rFonts w:ascii="Verdana" w:hAnsi="Verdana" w:cs="Arial"/>
          <w:sz w:val="20"/>
          <w:szCs w:val="20"/>
          <w:lang w:val="es-AR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godin</w:t>
      </w:r>
      <w:r w:rsidR="00F7256D">
        <w:rPr>
          <w:rFonts w:ascii="Verdana" w:hAnsi="Verdana" w:cs="Arial"/>
          <w:sz w:val="20"/>
          <w:szCs w:val="20"/>
          <w:lang w:val="es-AR"/>
        </w:rPr>
        <w:t>e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, a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koji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su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objavljeni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internet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stranici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Agencije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bankarstvo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Republike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s-AR"/>
        </w:rPr>
        <w:t>Srpske</w:t>
      </w:r>
      <w:proofErr w:type="spellEnd"/>
      <w:r>
        <w:rPr>
          <w:rFonts w:ascii="Verdana" w:hAnsi="Verdana" w:cs="Arial"/>
          <w:sz w:val="20"/>
          <w:szCs w:val="20"/>
          <w:lang w:val="es-AR"/>
        </w:rPr>
        <w:t>.</w:t>
      </w:r>
    </w:p>
    <w:p w14:paraId="5FC3C260" w14:textId="77777777" w:rsidR="009129A8" w:rsidRDefault="009129A8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</w:p>
    <w:p w14:paraId="7404B510" w14:textId="6E0C4641" w:rsidR="009129A8" w:rsidRPr="00A672D4" w:rsidRDefault="009129A8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osnovu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Izvještaj</w:t>
      </w:r>
      <w:proofErr w:type="spellEnd"/>
      <w:r w:rsidRPr="00A672D4">
        <w:rPr>
          <w:rFonts w:ascii="Verdana" w:hAnsi="Verdana" w:cs="Arial"/>
          <w:sz w:val="20"/>
          <w:szCs w:val="20"/>
          <w:lang w:val="sr-Cyrl-BA"/>
        </w:rPr>
        <w:t>а</w:t>
      </w:r>
      <w:r w:rsidRPr="00A672D4">
        <w:rPr>
          <w:rFonts w:ascii="Verdana" w:hAnsi="Verdana" w:cs="Arial"/>
          <w:sz w:val="20"/>
          <w:szCs w:val="20"/>
          <w:lang w:val="es-AR"/>
        </w:rPr>
        <w:t xml:space="preserve"> o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stanju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mikrokreditnom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sektoru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Republike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Srpske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dan 30.09.202</w:t>
      </w:r>
      <w:r w:rsidR="005F2E31">
        <w:rPr>
          <w:rFonts w:ascii="Verdana" w:hAnsi="Verdana" w:cs="Arial"/>
          <w:sz w:val="20"/>
          <w:szCs w:val="20"/>
          <w:lang w:val="es-AR"/>
        </w:rPr>
        <w:t>4</w:t>
      </w:r>
      <w:r w:rsidRPr="00A672D4">
        <w:rPr>
          <w:rFonts w:ascii="Verdana" w:hAnsi="Verdana" w:cs="Arial"/>
          <w:sz w:val="20"/>
          <w:szCs w:val="20"/>
          <w:lang w:val="es-AR"/>
        </w:rPr>
        <w:t xml:space="preserve">.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godine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koji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objavljen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internet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stranici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Agencije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bankarstvo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Republike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Srpske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pripremljene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su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sljedeće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A672D4">
        <w:rPr>
          <w:rFonts w:ascii="Verdana" w:hAnsi="Verdana" w:cs="Arial"/>
          <w:sz w:val="20"/>
          <w:szCs w:val="20"/>
          <w:lang w:val="es-AR"/>
        </w:rPr>
        <w:t>informacije</w:t>
      </w:r>
      <w:proofErr w:type="spellEnd"/>
      <w:r w:rsidRPr="00A672D4">
        <w:rPr>
          <w:rFonts w:ascii="Verdana" w:hAnsi="Verdana" w:cs="Arial"/>
          <w:sz w:val="20"/>
          <w:szCs w:val="20"/>
          <w:lang w:val="es-AR"/>
        </w:rPr>
        <w:t xml:space="preserve">: </w:t>
      </w:r>
    </w:p>
    <w:p w14:paraId="73A31EFF" w14:textId="77777777" w:rsidR="009129A8" w:rsidRDefault="009129A8" w:rsidP="009129A8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</w:p>
    <w:p w14:paraId="53E903F6" w14:textId="3E0A3C7E" w:rsidR="009129A8" w:rsidRDefault="009129A8" w:rsidP="009129A8">
      <w:pPr>
        <w:jc w:val="both"/>
        <w:rPr>
          <w:rFonts w:ascii="Verdana" w:hAnsi="Verdana" w:cs="Arial"/>
          <w:sz w:val="20"/>
          <w:szCs w:val="20"/>
          <w:lang w:val="es-AR"/>
        </w:rPr>
      </w:pPr>
      <m:oMath>
        <m:r>
          <w:rPr>
            <w:rFonts w:ascii="Cambria Math" w:hAnsi="Cambria Math" w:cs="Arial"/>
            <w:sz w:val="20"/>
            <w:szCs w:val="20"/>
            <w:lang w:val="es-AR"/>
          </w:rPr>
          <m:t xml:space="preserve">→ </m:t>
        </m:r>
      </m:oMath>
      <w:r w:rsidRPr="0027022F">
        <w:rPr>
          <w:rFonts w:ascii="Verdana" w:hAnsi="Verdana" w:cs="Arial"/>
          <w:sz w:val="20"/>
          <w:szCs w:val="20"/>
          <w:lang w:val="es-AR"/>
        </w:rPr>
        <w:t xml:space="preserve">Sa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sjedištem</w:t>
      </w:r>
      <w:proofErr w:type="spellEnd"/>
      <w:r w:rsidRPr="0027022F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Republici</w:t>
      </w:r>
      <w:proofErr w:type="spellEnd"/>
      <w:r w:rsidRPr="0027022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Srpskoj</w:t>
      </w:r>
      <w:proofErr w:type="spellEnd"/>
      <w:r w:rsidRPr="0027022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registrovano</w:t>
      </w:r>
      <w:proofErr w:type="spellEnd"/>
      <w:r w:rsidRPr="0027022F">
        <w:rPr>
          <w:rFonts w:ascii="Verdana" w:hAnsi="Verdana" w:cs="Arial"/>
          <w:sz w:val="20"/>
          <w:szCs w:val="20"/>
          <w:lang w:val="es-AR"/>
        </w:rPr>
        <w:t xml:space="preserve"> je 1</w:t>
      </w:r>
      <w:r w:rsidR="005F2E31">
        <w:rPr>
          <w:rFonts w:ascii="Verdana" w:hAnsi="Verdana" w:cs="Arial"/>
          <w:sz w:val="20"/>
          <w:szCs w:val="20"/>
          <w:lang w:val="es-AR"/>
        </w:rPr>
        <w:t>6</w:t>
      </w:r>
      <w:r w:rsidRPr="0027022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mikrokreditnih</w:t>
      </w:r>
      <w:proofErr w:type="spellEnd"/>
      <w:r w:rsidRPr="0027022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organizacija</w:t>
      </w:r>
      <w:proofErr w:type="spellEnd"/>
      <w:r w:rsidRPr="0027022F">
        <w:rPr>
          <w:rFonts w:ascii="Verdana" w:hAnsi="Verdana" w:cs="Arial"/>
          <w:sz w:val="20"/>
          <w:szCs w:val="20"/>
          <w:lang w:val="es-AR"/>
        </w:rPr>
        <w:t xml:space="preserve"> (1</w:t>
      </w:r>
      <w:r w:rsidR="005F2E31">
        <w:rPr>
          <w:rFonts w:ascii="Verdana" w:hAnsi="Verdana" w:cs="Arial"/>
          <w:sz w:val="20"/>
          <w:szCs w:val="20"/>
          <w:lang w:val="es-AR"/>
        </w:rPr>
        <w:t>4</w:t>
      </w:r>
      <w:r w:rsidRPr="0027022F">
        <w:rPr>
          <w:rFonts w:ascii="Verdana" w:hAnsi="Verdana" w:cs="Arial"/>
          <w:sz w:val="20"/>
          <w:szCs w:val="20"/>
          <w:lang w:val="es-AR"/>
        </w:rPr>
        <w:t xml:space="preserve"> MKD i 2 MKF)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koje</w:t>
      </w:r>
      <w:proofErr w:type="spellEnd"/>
      <w:r w:rsidRPr="0027022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obavljaju</w:t>
      </w:r>
      <w:proofErr w:type="spellEnd"/>
      <w:r w:rsidRPr="0027022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poslovanje</w:t>
      </w:r>
      <w:proofErr w:type="spellEnd"/>
      <w:r w:rsidRPr="0027022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iz</w:t>
      </w:r>
      <w:proofErr w:type="spellEnd"/>
      <w:r w:rsidRPr="0027022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sjedišta</w:t>
      </w:r>
      <w:proofErr w:type="spellEnd"/>
      <w:r w:rsidRPr="0027022F">
        <w:rPr>
          <w:rFonts w:ascii="Verdana" w:hAnsi="Verdana" w:cs="Arial"/>
          <w:sz w:val="20"/>
          <w:szCs w:val="20"/>
          <w:lang w:val="es-AR"/>
        </w:rPr>
        <w:t xml:space="preserve"> MKO i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iz</w:t>
      </w:r>
      <w:proofErr w:type="spellEnd"/>
      <w:r w:rsidRPr="0027022F">
        <w:rPr>
          <w:rFonts w:ascii="Verdana" w:hAnsi="Verdana" w:cs="Arial"/>
          <w:sz w:val="20"/>
          <w:szCs w:val="20"/>
          <w:lang w:val="es-AR"/>
        </w:rPr>
        <w:t xml:space="preserve"> </w:t>
      </w:r>
      <w:r w:rsidR="005F2E31">
        <w:rPr>
          <w:rFonts w:ascii="Verdana" w:hAnsi="Verdana" w:cs="Arial"/>
          <w:sz w:val="20"/>
          <w:szCs w:val="20"/>
          <w:lang w:val="es-AR"/>
        </w:rPr>
        <w:t>258</w:t>
      </w:r>
      <w:r w:rsidR="0027022F" w:rsidRPr="0027022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organizacionih</w:t>
      </w:r>
      <w:proofErr w:type="spellEnd"/>
      <w:r w:rsidRPr="0027022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27022F">
        <w:rPr>
          <w:rFonts w:ascii="Verdana" w:hAnsi="Verdana" w:cs="Arial"/>
          <w:sz w:val="20"/>
          <w:szCs w:val="20"/>
          <w:lang w:val="es-AR"/>
        </w:rPr>
        <w:t>dijelova</w:t>
      </w:r>
      <w:proofErr w:type="spellEnd"/>
      <w:r w:rsidR="005F2E31">
        <w:rPr>
          <w:rFonts w:ascii="Verdana" w:hAnsi="Verdana" w:cs="Arial"/>
          <w:sz w:val="20"/>
          <w:szCs w:val="20"/>
          <w:lang w:val="es-AR"/>
        </w:rPr>
        <w:t>.</w:t>
      </w:r>
    </w:p>
    <w:p w14:paraId="6BB6551D" w14:textId="77777777" w:rsidR="005F2E31" w:rsidRPr="0085074E" w:rsidRDefault="005F2E31" w:rsidP="005F2E31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lang w:val="sr-Latn-BA"/>
        </w:rPr>
      </w:pPr>
      <w:r w:rsidRPr="0085074E">
        <w:rPr>
          <w:rFonts w:ascii="Verdana" w:hAnsi="Verdana" w:cs="Times New Roman"/>
          <w:sz w:val="20"/>
          <w:szCs w:val="20"/>
          <w:lang w:val="sr-Latn-BA"/>
        </w:rPr>
        <w:t xml:space="preserve">U analizu poslovanja MKO u RS  uključeno je i poslovanje 121 organizacionog dijela u okviru 9 MKO sa </w:t>
      </w:r>
      <w:proofErr w:type="spellStart"/>
      <w:r w:rsidRPr="0085074E">
        <w:rPr>
          <w:rFonts w:ascii="Verdana" w:hAnsi="Verdana" w:cs="Times New Roman"/>
          <w:sz w:val="20"/>
          <w:szCs w:val="20"/>
          <w:lang w:val="sr-Latn-BA"/>
        </w:rPr>
        <w:t>sjedišten</w:t>
      </w:r>
      <w:proofErr w:type="spellEnd"/>
      <w:r w:rsidRPr="0085074E">
        <w:rPr>
          <w:rFonts w:ascii="Verdana" w:hAnsi="Verdana" w:cs="Times New Roman"/>
          <w:sz w:val="20"/>
          <w:szCs w:val="20"/>
          <w:lang w:val="sr-Latn-BA"/>
        </w:rPr>
        <w:t xml:space="preserve"> u </w:t>
      </w:r>
      <w:proofErr w:type="spellStart"/>
      <w:r w:rsidRPr="0085074E">
        <w:rPr>
          <w:rFonts w:ascii="Verdana" w:hAnsi="Verdana" w:cs="Times New Roman"/>
          <w:sz w:val="20"/>
          <w:szCs w:val="20"/>
          <w:lang w:val="sr-Latn-BA"/>
        </w:rPr>
        <w:t>FBiH</w:t>
      </w:r>
      <w:proofErr w:type="spellEnd"/>
      <w:r w:rsidRPr="0085074E">
        <w:rPr>
          <w:rFonts w:ascii="Verdana" w:hAnsi="Verdana" w:cs="Times New Roman"/>
          <w:sz w:val="20"/>
          <w:szCs w:val="20"/>
          <w:lang w:val="sr-Latn-BA"/>
        </w:rPr>
        <w:t xml:space="preserve">. Finansijsko poslovanje ovih organizacionih dijelova je uključeno u bilans </w:t>
      </w:r>
      <w:proofErr w:type="spellStart"/>
      <w:r w:rsidRPr="0085074E">
        <w:rPr>
          <w:rFonts w:ascii="Verdana" w:hAnsi="Verdana" w:cs="Times New Roman"/>
          <w:sz w:val="20"/>
          <w:szCs w:val="20"/>
          <w:lang w:val="sr-Latn-BA"/>
        </w:rPr>
        <w:t>matičnh</w:t>
      </w:r>
      <w:proofErr w:type="spellEnd"/>
      <w:r w:rsidRPr="0085074E">
        <w:rPr>
          <w:rFonts w:ascii="Verdana" w:hAnsi="Verdana" w:cs="Times New Roman"/>
          <w:sz w:val="20"/>
          <w:szCs w:val="20"/>
          <w:lang w:val="sr-Latn-BA"/>
        </w:rPr>
        <w:t xml:space="preserve"> MKO.</w:t>
      </w:r>
    </w:p>
    <w:p w14:paraId="4CEC280E" w14:textId="77777777" w:rsidR="005F2E31" w:rsidRPr="005F2E31" w:rsidRDefault="005F2E31" w:rsidP="005F2E31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highlight w:val="yellow"/>
          <w:lang w:val="sr-Latn-BA"/>
        </w:rPr>
      </w:pPr>
    </w:p>
    <w:p w14:paraId="1AC977EE" w14:textId="77777777" w:rsidR="005F2E31" w:rsidRPr="00FF77FC" w:rsidRDefault="005F2E31" w:rsidP="005F2E31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lang w:val="sr-Latn-BA"/>
        </w:rPr>
      </w:pPr>
      <w:r w:rsidRPr="0085074E">
        <w:rPr>
          <w:rFonts w:ascii="Verdana" w:hAnsi="Verdana" w:cs="Times New Roman"/>
          <w:sz w:val="20"/>
          <w:szCs w:val="20"/>
          <w:lang w:val="sr-Latn-BA"/>
        </w:rPr>
        <w:t xml:space="preserve">U </w:t>
      </w:r>
      <w:proofErr w:type="spellStart"/>
      <w:r w:rsidRPr="0085074E">
        <w:rPr>
          <w:rFonts w:ascii="Verdana" w:hAnsi="Verdana" w:cs="Times New Roman"/>
          <w:sz w:val="20"/>
          <w:szCs w:val="20"/>
          <w:lang w:val="sr-Latn-BA"/>
        </w:rPr>
        <w:t>mikrokreditnom</w:t>
      </w:r>
      <w:proofErr w:type="spellEnd"/>
      <w:r w:rsidRPr="0085074E">
        <w:rPr>
          <w:rFonts w:ascii="Verdana" w:hAnsi="Verdana" w:cs="Times New Roman"/>
          <w:sz w:val="20"/>
          <w:szCs w:val="20"/>
          <w:lang w:val="sr-Latn-BA"/>
        </w:rPr>
        <w:t xml:space="preserve"> sektoru Republike Srpske je na dan 30.09.2024. godine bilo zaposleno ukupno 909 radnika.</w:t>
      </w:r>
    </w:p>
    <w:p w14:paraId="3E0AACF1" w14:textId="77777777" w:rsidR="005F2E31" w:rsidRPr="00FF77FC" w:rsidRDefault="005F2E31" w:rsidP="005F2E31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lang w:val="sr-Latn-BA"/>
        </w:rPr>
      </w:pPr>
    </w:p>
    <w:p w14:paraId="3A997E54" w14:textId="77777777" w:rsidR="005F2E31" w:rsidRDefault="005F2E31" w:rsidP="005F2E31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osnovu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Izvještaj</w:t>
      </w:r>
      <w:proofErr w:type="spellEnd"/>
      <w:r w:rsidRPr="0065019F">
        <w:rPr>
          <w:rFonts w:ascii="Verdana" w:hAnsi="Verdana" w:cs="Arial"/>
          <w:sz w:val="20"/>
          <w:szCs w:val="20"/>
          <w:lang w:val="sr-Cyrl-BA"/>
        </w:rPr>
        <w:t>а</w:t>
      </w:r>
      <w:r w:rsidRPr="0065019F">
        <w:rPr>
          <w:rFonts w:ascii="Verdana" w:hAnsi="Verdana" w:cs="Arial"/>
          <w:sz w:val="20"/>
          <w:szCs w:val="20"/>
          <w:lang w:val="es-AR"/>
        </w:rPr>
        <w:t xml:space="preserve"> o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stanju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mikrokreditnom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sektoru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Republike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Srpske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dan 30.09.2024.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godine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koji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objavljen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internet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stranici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Agencije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bankarstvo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Republike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Srpske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pripremljene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su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sljedeće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65019F">
        <w:rPr>
          <w:rFonts w:ascii="Verdana" w:hAnsi="Verdana" w:cs="Arial"/>
          <w:sz w:val="20"/>
          <w:szCs w:val="20"/>
          <w:lang w:val="es-AR"/>
        </w:rPr>
        <w:t>informacije</w:t>
      </w:r>
      <w:proofErr w:type="spellEnd"/>
      <w:r w:rsidRPr="0065019F">
        <w:rPr>
          <w:rFonts w:ascii="Verdana" w:hAnsi="Verdana" w:cs="Arial"/>
          <w:sz w:val="20"/>
          <w:szCs w:val="20"/>
          <w:lang w:val="es-AR"/>
        </w:rPr>
        <w:t>:</w:t>
      </w:r>
    </w:p>
    <w:p w14:paraId="2AAC6FE2" w14:textId="77777777" w:rsidR="0085074E" w:rsidRDefault="0085074E" w:rsidP="005F2E31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</w:p>
    <w:p w14:paraId="65AEA653" w14:textId="43975A2B" w:rsidR="005F2E31" w:rsidRDefault="0085074E" w:rsidP="009129A8">
      <w:pPr>
        <w:jc w:val="both"/>
        <w:rPr>
          <w:rFonts w:ascii="Verdana" w:hAnsi="Verdana" w:cs="Arial"/>
          <w:sz w:val="20"/>
          <w:szCs w:val="20"/>
          <w:lang w:val="es-AR"/>
        </w:rPr>
      </w:pPr>
      <w:r w:rsidRPr="0085074E">
        <w:rPr>
          <w:noProof/>
        </w:rPr>
        <w:drawing>
          <wp:inline distT="0" distB="0" distL="0" distR="0" wp14:anchorId="5984BE07" wp14:editId="718456C1">
            <wp:extent cx="5760720" cy="3209290"/>
            <wp:effectExtent l="0" t="0" r="0" b="0"/>
            <wp:docPr id="3893894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757C4" w14:textId="77777777" w:rsidR="00460666" w:rsidRDefault="00460666" w:rsidP="00460666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Društvo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se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prema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osnovnim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parametrima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rangiranje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položaja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mikrokreditnih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organizacija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sa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sjedištem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Republici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Srpskoj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, a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kao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što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prikazana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prethodnoj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tabeli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nalazi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sljedećem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0B74A2">
        <w:rPr>
          <w:rFonts w:ascii="Verdana" w:hAnsi="Verdana" w:cs="Arial"/>
          <w:sz w:val="20"/>
          <w:szCs w:val="20"/>
          <w:lang w:val="es-AR"/>
        </w:rPr>
        <w:t>mjestu</w:t>
      </w:r>
      <w:proofErr w:type="spellEnd"/>
      <w:r w:rsidRPr="000B74A2">
        <w:rPr>
          <w:rFonts w:ascii="Verdana" w:hAnsi="Verdana" w:cs="Arial"/>
          <w:sz w:val="20"/>
          <w:szCs w:val="20"/>
          <w:lang w:val="es-AR"/>
        </w:rPr>
        <w:t>:</w:t>
      </w:r>
    </w:p>
    <w:p w14:paraId="7F382E41" w14:textId="77777777" w:rsidR="0085074E" w:rsidRDefault="0085074E" w:rsidP="00460666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</w:p>
    <w:p w14:paraId="5F7AE206" w14:textId="77777777" w:rsidR="0085074E" w:rsidRPr="000B74A2" w:rsidRDefault="0085074E" w:rsidP="00D77A4C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Verdana" w:hAnsi="Verdana" w:cs="Arial"/>
          <w:sz w:val="20"/>
          <w:szCs w:val="20"/>
          <w:lang w:val="it-IT"/>
        </w:rPr>
      </w:pPr>
      <w:r w:rsidRPr="000B74A2">
        <w:rPr>
          <w:rFonts w:ascii="Verdana" w:hAnsi="Verdana" w:cs="Arial"/>
          <w:sz w:val="20"/>
          <w:szCs w:val="20"/>
          <w:lang w:val="it-IT"/>
        </w:rPr>
        <w:t xml:space="preserve">Prema bruto aktivi na </w:t>
      </w:r>
      <w:r>
        <w:rPr>
          <w:rFonts w:ascii="Verdana" w:hAnsi="Verdana" w:cs="Arial"/>
          <w:sz w:val="20"/>
          <w:szCs w:val="20"/>
          <w:lang w:val="it-IT"/>
        </w:rPr>
        <w:t>devetom</w:t>
      </w:r>
      <w:r w:rsidRPr="000B74A2">
        <w:rPr>
          <w:rFonts w:ascii="Verdana" w:hAnsi="Verdana" w:cs="Arial"/>
          <w:sz w:val="20"/>
          <w:szCs w:val="20"/>
          <w:lang w:val="it-IT"/>
        </w:rPr>
        <w:t xml:space="preserve"> mjestu,</w:t>
      </w:r>
    </w:p>
    <w:p w14:paraId="083DEF9A" w14:textId="77777777" w:rsidR="0085074E" w:rsidRPr="000B74A2" w:rsidRDefault="0085074E" w:rsidP="00D77A4C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Verdana" w:hAnsi="Verdana" w:cs="Arial"/>
          <w:sz w:val="20"/>
          <w:szCs w:val="20"/>
          <w:lang w:val="it-IT"/>
        </w:rPr>
      </w:pPr>
      <w:r w:rsidRPr="000B74A2">
        <w:rPr>
          <w:rFonts w:ascii="Verdana" w:hAnsi="Verdana" w:cs="Arial"/>
          <w:sz w:val="20"/>
          <w:szCs w:val="20"/>
          <w:lang w:val="it-IT"/>
        </w:rPr>
        <w:t xml:space="preserve">Prema bruto kreditima na </w:t>
      </w:r>
      <w:r>
        <w:rPr>
          <w:rFonts w:ascii="Verdana" w:hAnsi="Verdana" w:cs="Arial"/>
          <w:sz w:val="20"/>
          <w:szCs w:val="20"/>
          <w:lang w:val="it-IT"/>
        </w:rPr>
        <w:t>osmom</w:t>
      </w:r>
      <w:r w:rsidRPr="000B74A2">
        <w:rPr>
          <w:rFonts w:ascii="Verdana" w:hAnsi="Verdana" w:cs="Arial"/>
          <w:sz w:val="20"/>
          <w:szCs w:val="20"/>
          <w:lang w:val="it-IT"/>
        </w:rPr>
        <w:t xml:space="preserve"> mjestu,</w:t>
      </w:r>
    </w:p>
    <w:p w14:paraId="4B1D9E3E" w14:textId="77777777" w:rsidR="0085074E" w:rsidRPr="000B74A2" w:rsidRDefault="0085074E" w:rsidP="00D77A4C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Verdana" w:hAnsi="Verdana" w:cs="Arial"/>
          <w:sz w:val="20"/>
          <w:szCs w:val="20"/>
          <w:lang w:val="it-IT"/>
        </w:rPr>
      </w:pPr>
      <w:r w:rsidRPr="000B74A2">
        <w:rPr>
          <w:rFonts w:ascii="Verdana" w:hAnsi="Verdana" w:cs="Arial"/>
          <w:sz w:val="20"/>
          <w:szCs w:val="20"/>
          <w:lang w:val="it-IT"/>
        </w:rPr>
        <w:t xml:space="preserve">Prema bruto kapitalu (nekamatonosnom, trajnom izvoru) na </w:t>
      </w:r>
      <w:r>
        <w:rPr>
          <w:rFonts w:ascii="Verdana" w:hAnsi="Verdana" w:cs="Arial"/>
          <w:sz w:val="20"/>
          <w:szCs w:val="20"/>
          <w:lang w:val="it-IT"/>
        </w:rPr>
        <w:t>dvanaestom</w:t>
      </w:r>
      <w:r w:rsidRPr="000B74A2">
        <w:rPr>
          <w:rFonts w:ascii="Verdana" w:hAnsi="Verdana" w:cs="Arial"/>
          <w:sz w:val="20"/>
          <w:szCs w:val="20"/>
          <w:lang w:val="it-IT"/>
        </w:rPr>
        <w:t xml:space="preserve"> mjestu,</w:t>
      </w:r>
    </w:p>
    <w:p w14:paraId="4A4C8C4F" w14:textId="77777777" w:rsidR="0085074E" w:rsidRPr="000B74A2" w:rsidRDefault="0085074E" w:rsidP="00D77A4C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Verdana" w:hAnsi="Verdana" w:cs="Arial"/>
          <w:sz w:val="20"/>
          <w:szCs w:val="20"/>
          <w:lang w:val="it-IT"/>
        </w:rPr>
      </w:pPr>
      <w:r w:rsidRPr="000B74A2">
        <w:rPr>
          <w:rFonts w:ascii="Verdana" w:hAnsi="Verdana" w:cs="Arial"/>
          <w:sz w:val="20"/>
          <w:szCs w:val="20"/>
          <w:lang w:val="it-IT"/>
        </w:rPr>
        <w:lastRenderedPageBreak/>
        <w:t xml:space="preserve">Prema neto dobiti na </w:t>
      </w:r>
      <w:r>
        <w:rPr>
          <w:rFonts w:ascii="Verdana" w:hAnsi="Verdana" w:cs="Arial"/>
          <w:sz w:val="20"/>
          <w:szCs w:val="20"/>
          <w:lang w:val="it-IT"/>
        </w:rPr>
        <w:t>devetom</w:t>
      </w:r>
      <w:r w:rsidRPr="000B74A2">
        <w:rPr>
          <w:rFonts w:ascii="Verdana" w:hAnsi="Verdana" w:cs="Arial"/>
          <w:sz w:val="20"/>
          <w:szCs w:val="20"/>
          <w:lang w:val="it-IT"/>
        </w:rPr>
        <w:t xml:space="preserve"> mjestu, </w:t>
      </w:r>
    </w:p>
    <w:p w14:paraId="75AFA017" w14:textId="77777777" w:rsidR="0085074E" w:rsidRPr="00214E6B" w:rsidRDefault="0085074E" w:rsidP="00D77A4C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Verdana" w:hAnsi="Verdana" w:cs="Arial"/>
          <w:sz w:val="20"/>
          <w:szCs w:val="20"/>
        </w:rPr>
      </w:pPr>
      <w:r w:rsidRPr="00214E6B">
        <w:rPr>
          <w:rFonts w:ascii="Verdana" w:hAnsi="Verdana" w:cs="Arial"/>
          <w:sz w:val="20"/>
          <w:szCs w:val="20"/>
        </w:rPr>
        <w:t xml:space="preserve">Prema </w:t>
      </w:r>
      <w:proofErr w:type="spellStart"/>
      <w:r w:rsidRPr="00214E6B">
        <w:rPr>
          <w:rFonts w:ascii="Verdana" w:hAnsi="Verdana" w:cs="Arial"/>
          <w:sz w:val="20"/>
          <w:szCs w:val="20"/>
        </w:rPr>
        <w:t>broju</w:t>
      </w:r>
      <w:proofErr w:type="spellEnd"/>
      <w:r w:rsidRPr="00214E6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4E6B">
        <w:rPr>
          <w:rFonts w:ascii="Verdana" w:hAnsi="Verdana" w:cs="Arial"/>
          <w:sz w:val="20"/>
          <w:szCs w:val="20"/>
        </w:rPr>
        <w:t>zaposlenih</w:t>
      </w:r>
      <w:proofErr w:type="spellEnd"/>
      <w:r w:rsidRPr="00214E6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4E6B">
        <w:rPr>
          <w:rFonts w:ascii="Verdana" w:hAnsi="Verdana" w:cs="Arial"/>
          <w:sz w:val="20"/>
          <w:szCs w:val="20"/>
        </w:rPr>
        <w:t>na</w:t>
      </w:r>
      <w:proofErr w:type="spellEnd"/>
      <w:r w:rsidRPr="00214E6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4E6B">
        <w:rPr>
          <w:rFonts w:ascii="Verdana" w:hAnsi="Verdana" w:cs="Arial"/>
          <w:sz w:val="20"/>
          <w:szCs w:val="20"/>
        </w:rPr>
        <w:t>jednaestom</w:t>
      </w:r>
      <w:proofErr w:type="spellEnd"/>
      <w:r w:rsidRPr="00214E6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4E6B">
        <w:rPr>
          <w:rFonts w:ascii="Verdana" w:hAnsi="Verdana" w:cs="Arial"/>
          <w:sz w:val="20"/>
          <w:szCs w:val="20"/>
        </w:rPr>
        <w:t>mjestu</w:t>
      </w:r>
      <w:proofErr w:type="spellEnd"/>
      <w:r w:rsidRPr="00214E6B">
        <w:rPr>
          <w:rFonts w:ascii="Verdana" w:hAnsi="Verdana" w:cs="Arial"/>
          <w:sz w:val="20"/>
          <w:szCs w:val="20"/>
        </w:rPr>
        <w:t>.</w:t>
      </w:r>
    </w:p>
    <w:p w14:paraId="6D9D9A0C" w14:textId="77777777" w:rsidR="0085074E" w:rsidRPr="00214E6B" w:rsidRDefault="0085074E" w:rsidP="0085074E">
      <w:pPr>
        <w:pStyle w:val="ListParagraph"/>
        <w:spacing w:after="0"/>
        <w:ind w:firstLine="0"/>
        <w:rPr>
          <w:rFonts w:ascii="Verdana" w:hAnsi="Verdana" w:cs="Arial"/>
          <w:sz w:val="20"/>
          <w:szCs w:val="20"/>
        </w:rPr>
      </w:pPr>
    </w:p>
    <w:p w14:paraId="32A75B01" w14:textId="54C783B9" w:rsidR="009129A8" w:rsidRPr="00302A0E" w:rsidRDefault="009129A8" w:rsidP="009129A8">
      <w:pPr>
        <w:spacing w:after="0"/>
        <w:rPr>
          <w:rFonts w:ascii="Verdana" w:hAnsi="Verdana" w:cs="Arial"/>
          <w:sz w:val="20"/>
          <w:szCs w:val="20"/>
        </w:rPr>
      </w:pPr>
      <w:r w:rsidRPr="0085074E">
        <w:rPr>
          <w:rFonts w:ascii="Verdana" w:hAnsi="Verdana" w:cs="Arial"/>
          <w:sz w:val="20"/>
          <w:szCs w:val="20"/>
        </w:rPr>
        <w:t xml:space="preserve">Bruto </w:t>
      </w:r>
      <w:proofErr w:type="spellStart"/>
      <w:r w:rsidRPr="0085074E">
        <w:rPr>
          <w:rFonts w:ascii="Verdana" w:hAnsi="Verdana" w:cs="Arial"/>
          <w:sz w:val="20"/>
          <w:szCs w:val="20"/>
        </w:rPr>
        <w:t>aktiva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85074E">
        <w:rPr>
          <w:rFonts w:ascii="Verdana" w:hAnsi="Verdana" w:cs="Arial"/>
          <w:sz w:val="20"/>
          <w:szCs w:val="20"/>
        </w:rPr>
        <w:t>zaposlenom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na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nivou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Društva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iznosi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r w:rsidR="0085074E">
        <w:rPr>
          <w:rFonts w:ascii="Verdana" w:hAnsi="Verdana" w:cs="Arial"/>
          <w:sz w:val="20"/>
          <w:szCs w:val="20"/>
        </w:rPr>
        <w:t xml:space="preserve">1.023 </w:t>
      </w:r>
      <w:r w:rsidRPr="0085074E">
        <w:rPr>
          <w:rFonts w:ascii="Verdana" w:hAnsi="Verdana" w:cs="Arial"/>
          <w:sz w:val="20"/>
          <w:szCs w:val="20"/>
        </w:rPr>
        <w:t xml:space="preserve">hilj.KM </w:t>
      </w:r>
      <w:proofErr w:type="spellStart"/>
      <w:r w:rsidRPr="0085074E">
        <w:rPr>
          <w:rFonts w:ascii="Verdana" w:hAnsi="Verdana" w:cs="Arial"/>
          <w:sz w:val="20"/>
          <w:szCs w:val="20"/>
        </w:rPr>
        <w:t>i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0666" w:rsidRPr="0085074E">
        <w:rPr>
          <w:rFonts w:ascii="Verdana" w:hAnsi="Verdana" w:cs="Arial"/>
          <w:sz w:val="20"/>
          <w:szCs w:val="20"/>
        </w:rPr>
        <w:t>veća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85074E">
        <w:rPr>
          <w:rFonts w:ascii="Verdana" w:hAnsi="Verdana" w:cs="Arial"/>
          <w:sz w:val="20"/>
          <w:szCs w:val="20"/>
        </w:rPr>
        <w:t>odnosu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na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vrijednost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bruto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a</w:t>
      </w:r>
      <w:r w:rsidR="00460666" w:rsidRPr="0085074E">
        <w:rPr>
          <w:rFonts w:ascii="Verdana" w:hAnsi="Verdana" w:cs="Arial"/>
          <w:sz w:val="20"/>
          <w:szCs w:val="20"/>
        </w:rPr>
        <w:t>k</w:t>
      </w:r>
      <w:r w:rsidRPr="0085074E">
        <w:rPr>
          <w:rFonts w:ascii="Verdana" w:hAnsi="Verdana" w:cs="Arial"/>
          <w:sz w:val="20"/>
          <w:szCs w:val="20"/>
        </w:rPr>
        <w:t>tive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85074E">
        <w:rPr>
          <w:rFonts w:ascii="Verdana" w:hAnsi="Verdana" w:cs="Arial"/>
          <w:sz w:val="20"/>
          <w:szCs w:val="20"/>
        </w:rPr>
        <w:t>zaposlenom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na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nivou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mikrokreditnog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sektora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Republike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Srpske za </w:t>
      </w:r>
      <w:r w:rsidR="0085074E">
        <w:rPr>
          <w:rFonts w:ascii="Verdana" w:hAnsi="Verdana" w:cs="Arial"/>
          <w:sz w:val="20"/>
          <w:szCs w:val="20"/>
        </w:rPr>
        <w:t>256</w:t>
      </w:r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hilj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. KM </w:t>
      </w:r>
      <w:proofErr w:type="spellStart"/>
      <w:r w:rsidRPr="0085074E">
        <w:rPr>
          <w:rFonts w:ascii="Verdana" w:hAnsi="Verdana" w:cs="Arial"/>
          <w:sz w:val="20"/>
          <w:szCs w:val="20"/>
        </w:rPr>
        <w:t>gdje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iznosi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 </w:t>
      </w:r>
      <w:r w:rsidR="0085074E">
        <w:rPr>
          <w:rFonts w:ascii="Verdana" w:hAnsi="Verdana" w:cs="Arial"/>
          <w:sz w:val="20"/>
          <w:szCs w:val="20"/>
        </w:rPr>
        <w:t>767</w:t>
      </w:r>
      <w:r w:rsidR="00460666" w:rsidRPr="008507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5074E">
        <w:rPr>
          <w:rFonts w:ascii="Verdana" w:hAnsi="Verdana" w:cs="Arial"/>
          <w:sz w:val="20"/>
          <w:szCs w:val="20"/>
        </w:rPr>
        <w:t>hilj</w:t>
      </w:r>
      <w:proofErr w:type="spellEnd"/>
      <w:r w:rsidRPr="0085074E">
        <w:rPr>
          <w:rFonts w:ascii="Verdana" w:hAnsi="Verdana" w:cs="Arial"/>
          <w:sz w:val="20"/>
          <w:szCs w:val="20"/>
        </w:rPr>
        <w:t xml:space="preserve">. </w:t>
      </w:r>
      <w:r w:rsidRPr="00302A0E">
        <w:rPr>
          <w:rFonts w:ascii="Verdana" w:hAnsi="Verdana" w:cs="Arial"/>
          <w:sz w:val="20"/>
          <w:szCs w:val="20"/>
        </w:rPr>
        <w:t>KM.</w:t>
      </w:r>
    </w:p>
    <w:p w14:paraId="595AF8DF" w14:textId="77777777" w:rsidR="009129A8" w:rsidRPr="00302A0E" w:rsidRDefault="009129A8" w:rsidP="009129A8">
      <w:pPr>
        <w:pStyle w:val="ListParagraph"/>
        <w:spacing w:after="0"/>
        <w:ind w:firstLine="0"/>
        <w:rPr>
          <w:rFonts w:ascii="Verdana" w:hAnsi="Verdana" w:cs="Arial"/>
          <w:sz w:val="20"/>
          <w:szCs w:val="20"/>
        </w:rPr>
      </w:pPr>
    </w:p>
    <w:p w14:paraId="36619D49" w14:textId="7A2C46B8" w:rsidR="009129A8" w:rsidRPr="00FF7C92" w:rsidRDefault="009129A8" w:rsidP="009129A8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FF7C92">
        <w:rPr>
          <w:rFonts w:cs="Arial"/>
          <w:b/>
          <w:sz w:val="20"/>
          <w:szCs w:val="20"/>
        </w:rPr>
        <w:t>→</w:t>
      </w:r>
      <w:r w:rsidRPr="00FF7C9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b/>
          <w:sz w:val="20"/>
          <w:szCs w:val="20"/>
        </w:rPr>
        <w:t>Položaj</w:t>
      </w:r>
      <w:proofErr w:type="spellEnd"/>
      <w:r w:rsidRPr="00FF7C9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b/>
          <w:sz w:val="20"/>
          <w:szCs w:val="20"/>
        </w:rPr>
        <w:t>i</w:t>
      </w:r>
      <w:proofErr w:type="spellEnd"/>
      <w:r w:rsidRPr="00FF7C9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b/>
          <w:sz w:val="20"/>
          <w:szCs w:val="20"/>
        </w:rPr>
        <w:t>kretanje</w:t>
      </w:r>
      <w:proofErr w:type="spellEnd"/>
      <w:r w:rsidRPr="00FF7C9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b/>
          <w:sz w:val="20"/>
          <w:szCs w:val="20"/>
        </w:rPr>
        <w:t>osnovnih</w:t>
      </w:r>
      <w:proofErr w:type="spellEnd"/>
      <w:r w:rsidRPr="00FF7C9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b/>
          <w:sz w:val="20"/>
          <w:szCs w:val="20"/>
        </w:rPr>
        <w:t>pokazatelja</w:t>
      </w:r>
      <w:proofErr w:type="spellEnd"/>
      <w:r w:rsidRPr="00FF7C9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b/>
          <w:sz w:val="20"/>
          <w:szCs w:val="20"/>
        </w:rPr>
        <w:t>poslovanja</w:t>
      </w:r>
      <w:proofErr w:type="spellEnd"/>
      <w:r w:rsidRPr="00FF7C9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b/>
          <w:bCs/>
          <w:sz w:val="20"/>
          <w:szCs w:val="20"/>
        </w:rPr>
        <w:t>Društva</w:t>
      </w:r>
      <w:proofErr w:type="spellEnd"/>
      <w:r w:rsidRPr="00FF7C9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b/>
          <w:bCs/>
          <w:sz w:val="20"/>
          <w:szCs w:val="20"/>
        </w:rPr>
        <w:t>na</w:t>
      </w:r>
      <w:proofErr w:type="spellEnd"/>
      <w:r w:rsidRPr="00FF7C92">
        <w:rPr>
          <w:rFonts w:ascii="Verdana" w:hAnsi="Verdana" w:cs="Arial"/>
          <w:b/>
          <w:bCs/>
          <w:sz w:val="20"/>
          <w:szCs w:val="20"/>
        </w:rPr>
        <w:t xml:space="preserve"> 31.12.202</w:t>
      </w:r>
      <w:r w:rsidR="00325C2E" w:rsidRPr="00FF7C92">
        <w:rPr>
          <w:rFonts w:ascii="Verdana" w:hAnsi="Verdana" w:cs="Arial"/>
          <w:b/>
          <w:bCs/>
          <w:sz w:val="20"/>
          <w:szCs w:val="20"/>
        </w:rPr>
        <w:t>4</w:t>
      </w:r>
      <w:r w:rsidRPr="00FF7C9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sz w:val="20"/>
          <w:szCs w:val="20"/>
        </w:rPr>
        <w:t>godine</w:t>
      </w:r>
      <w:proofErr w:type="spellEnd"/>
      <w:r w:rsidRPr="00FF7C9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sz w:val="20"/>
          <w:szCs w:val="20"/>
        </w:rPr>
        <w:t>poređeni</w:t>
      </w:r>
      <w:proofErr w:type="spellEnd"/>
      <w:r w:rsidRPr="00FF7C9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sz w:val="20"/>
          <w:szCs w:val="20"/>
        </w:rPr>
        <w:t>su</w:t>
      </w:r>
      <w:proofErr w:type="spellEnd"/>
      <w:r w:rsidRPr="00FF7C9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sz w:val="20"/>
          <w:szCs w:val="20"/>
        </w:rPr>
        <w:t>sa</w:t>
      </w:r>
      <w:proofErr w:type="spellEnd"/>
      <w:r w:rsidRPr="00FF7C9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sz w:val="20"/>
          <w:szCs w:val="20"/>
        </w:rPr>
        <w:t>pokazateljima</w:t>
      </w:r>
      <w:proofErr w:type="spellEnd"/>
      <w:r w:rsidRPr="00FF7C9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sz w:val="20"/>
          <w:szCs w:val="20"/>
        </w:rPr>
        <w:t>poslovanja</w:t>
      </w:r>
      <w:proofErr w:type="spellEnd"/>
      <w:r w:rsidRPr="00FF7C9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sz w:val="20"/>
          <w:szCs w:val="20"/>
        </w:rPr>
        <w:t>sadržanim</w:t>
      </w:r>
      <w:proofErr w:type="spellEnd"/>
      <w:r w:rsidRPr="00FF7C9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FF7C92">
        <w:rPr>
          <w:rFonts w:ascii="Verdana" w:hAnsi="Verdana" w:cs="Arial"/>
          <w:sz w:val="20"/>
          <w:szCs w:val="20"/>
        </w:rPr>
        <w:t>Izvještaju</w:t>
      </w:r>
      <w:proofErr w:type="spellEnd"/>
      <w:r w:rsidRPr="00FF7C9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F7C92">
        <w:rPr>
          <w:rFonts w:ascii="Verdana" w:hAnsi="Verdana" w:cs="Arial"/>
          <w:sz w:val="20"/>
          <w:szCs w:val="20"/>
        </w:rPr>
        <w:t>mokrokreditnom</w:t>
      </w:r>
      <w:proofErr w:type="spellEnd"/>
      <w:r w:rsidRPr="00FF7C9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sz w:val="20"/>
          <w:szCs w:val="20"/>
        </w:rPr>
        <w:t>sektoru</w:t>
      </w:r>
      <w:proofErr w:type="spellEnd"/>
      <w:r w:rsidRPr="00FF7C9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7C92">
        <w:rPr>
          <w:rFonts w:ascii="Verdana" w:hAnsi="Verdana" w:cs="Arial"/>
          <w:sz w:val="20"/>
          <w:szCs w:val="20"/>
        </w:rPr>
        <w:t>Republike</w:t>
      </w:r>
      <w:proofErr w:type="spellEnd"/>
      <w:r w:rsidRPr="00FF7C92">
        <w:rPr>
          <w:rFonts w:ascii="Verdana" w:hAnsi="Verdana" w:cs="Arial"/>
          <w:sz w:val="20"/>
          <w:szCs w:val="20"/>
        </w:rPr>
        <w:t xml:space="preserve"> Srpske </w:t>
      </w:r>
      <w:proofErr w:type="spellStart"/>
      <w:r w:rsidRPr="00FF7C92">
        <w:rPr>
          <w:rFonts w:ascii="Verdana" w:hAnsi="Verdana" w:cs="Arial"/>
          <w:sz w:val="20"/>
          <w:szCs w:val="20"/>
        </w:rPr>
        <w:t>na</w:t>
      </w:r>
      <w:proofErr w:type="spellEnd"/>
      <w:r w:rsidRPr="00FF7C92">
        <w:rPr>
          <w:rFonts w:ascii="Verdana" w:hAnsi="Verdana" w:cs="Arial"/>
          <w:sz w:val="20"/>
          <w:szCs w:val="20"/>
        </w:rPr>
        <w:t xml:space="preserve"> 31.12.202</w:t>
      </w:r>
      <w:r w:rsidR="00325C2E" w:rsidRPr="00FF7C92">
        <w:rPr>
          <w:rFonts w:ascii="Verdana" w:hAnsi="Verdana" w:cs="Arial"/>
          <w:sz w:val="20"/>
          <w:szCs w:val="20"/>
        </w:rPr>
        <w:t>4</w:t>
      </w:r>
      <w:r w:rsidRPr="00FF7C9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F7C92">
        <w:rPr>
          <w:rFonts w:ascii="Verdana" w:hAnsi="Verdana" w:cs="Arial"/>
          <w:sz w:val="20"/>
          <w:szCs w:val="20"/>
        </w:rPr>
        <w:t>godine</w:t>
      </w:r>
      <w:proofErr w:type="spellEnd"/>
      <w:r w:rsidRPr="00FF7C92">
        <w:rPr>
          <w:rFonts w:ascii="Verdana" w:hAnsi="Verdana" w:cs="Arial"/>
          <w:sz w:val="20"/>
          <w:szCs w:val="20"/>
        </w:rPr>
        <w:t xml:space="preserve">: </w:t>
      </w:r>
    </w:p>
    <w:p w14:paraId="7CF11ACC" w14:textId="77777777" w:rsidR="00C20EE7" w:rsidRPr="00FF7C92" w:rsidRDefault="00C20EE7" w:rsidP="009129A8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59DBCB31" w14:textId="0EFF7B5D" w:rsidR="009129A8" w:rsidRPr="00B44CB6" w:rsidRDefault="00274D04" w:rsidP="006B5769">
      <w:pPr>
        <w:pStyle w:val="ListParagraph"/>
        <w:numPr>
          <w:ilvl w:val="0"/>
          <w:numId w:val="38"/>
        </w:numPr>
        <w:spacing w:after="0"/>
        <w:ind w:left="0" w:firstLine="0"/>
        <w:rPr>
          <w:rFonts w:ascii="Verdana" w:hAnsi="Verdana" w:cs="Arial"/>
          <w:sz w:val="20"/>
          <w:szCs w:val="20"/>
        </w:rPr>
      </w:pPr>
      <w:r w:rsidRPr="00274D04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Neto</w:t>
      </w:r>
      <w:r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 xml:space="preserve"> </w:t>
      </w:r>
      <w:r w:rsidR="009129A8" w:rsidRPr="00274D04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aktiva na 31.12.202</w:t>
      </w:r>
      <w:r w:rsidR="00B44CB6" w:rsidRPr="00274D04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4</w:t>
      </w:r>
      <w:r w:rsidR="0038738F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.</w:t>
      </w:r>
      <w:r w:rsidR="009129A8" w:rsidRPr="00274D04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 xml:space="preserve"> godine iznosi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: U MKO sa sjedištem u Republici Srpskoj </w:t>
      </w:r>
      <w:r w:rsidR="00B44CB6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725.016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</w:t>
      </w:r>
      <w:r w:rsidR="001D7411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hilj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. </w:t>
      </w:r>
      <w:r w:rsidR="009129A8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>KM</w:t>
      </w:r>
      <w:r w:rsidR="004E3665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>,</w:t>
      </w:r>
      <w:r w:rsidR="009129A8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u odnosu na 31.12.202</w:t>
      </w:r>
      <w:r w:rsidR="00B44CB6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>3</w:t>
      </w:r>
      <w:r w:rsidR="009129A8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. godine porasla je procentulno za </w:t>
      </w:r>
      <w:r w:rsidR="00782CC9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(+) </w:t>
      </w:r>
      <w:r w:rsidR="009129A8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>1</w:t>
      </w:r>
      <w:r w:rsidR="00B44CB6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>7</w:t>
      </w:r>
      <w:r w:rsidR="001D7411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p.p.</w:t>
      </w:r>
      <w:r w:rsidR="009129A8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ili u apsolutnoj vrijednosti za </w:t>
      </w:r>
      <w:r w:rsidR="00782CC9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(+) </w:t>
      </w:r>
      <w:r w:rsidR="00B44CB6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>107.363</w:t>
      </w:r>
      <w:r w:rsidR="009129A8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</w:t>
      </w:r>
      <w:r w:rsidR="001D7411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>hilj.</w:t>
      </w:r>
      <w:r w:rsidR="009129A8" w:rsidRPr="00B17545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</w:t>
      </w:r>
      <w:r w:rsidR="009129A8" w:rsidRPr="00B44CB6">
        <w:rPr>
          <w:rFonts w:ascii="Verdana" w:hAnsi="Verdana" w:cstheme="majorHAnsi"/>
          <w:color w:val="000000"/>
          <w:sz w:val="20"/>
          <w:szCs w:val="20"/>
        </w:rPr>
        <w:t>KM.</w:t>
      </w:r>
    </w:p>
    <w:p w14:paraId="600EF030" w14:textId="616E2308" w:rsidR="009129A8" w:rsidRPr="00B17545" w:rsidRDefault="004E3665" w:rsidP="00D77A4C">
      <w:pPr>
        <w:pStyle w:val="ListParagraph"/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</w:rPr>
      </w:pPr>
      <w:r w:rsidRPr="00B44CB6">
        <w:rPr>
          <w:rFonts w:ascii="Verdana" w:hAnsi="Verdana" w:cstheme="majorHAnsi"/>
          <w:color w:val="000000"/>
          <w:sz w:val="20"/>
          <w:szCs w:val="20"/>
        </w:rPr>
        <w:t xml:space="preserve">U </w:t>
      </w:r>
      <w:proofErr w:type="spellStart"/>
      <w:r w:rsidR="009129A8" w:rsidRPr="00B44CB6">
        <w:rPr>
          <w:rFonts w:ascii="Verdana" w:hAnsi="Verdana" w:cstheme="majorHAnsi"/>
          <w:color w:val="000000"/>
          <w:sz w:val="20"/>
          <w:szCs w:val="20"/>
        </w:rPr>
        <w:t>Društva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="009129A8" w:rsidRPr="00B44CB6">
        <w:rPr>
          <w:rFonts w:ascii="Verdana" w:hAnsi="Verdana" w:cstheme="majorHAnsi"/>
          <w:color w:val="000000"/>
          <w:sz w:val="20"/>
          <w:szCs w:val="20"/>
        </w:rPr>
        <w:t>iznosi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 </w:t>
      </w:r>
      <w:r w:rsidR="00B44CB6" w:rsidRPr="00B44CB6">
        <w:rPr>
          <w:rFonts w:ascii="Verdana" w:hAnsi="Verdana" w:cstheme="majorHAnsi"/>
          <w:color w:val="000000"/>
          <w:sz w:val="20"/>
          <w:szCs w:val="20"/>
        </w:rPr>
        <w:t>11.220</w:t>
      </w:r>
      <w:r w:rsidR="001D7411" w:rsidRPr="00B44CB6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="001D7411" w:rsidRPr="00B44CB6">
        <w:rPr>
          <w:rFonts w:ascii="Verdana" w:hAnsi="Verdana" w:cstheme="majorHAnsi"/>
          <w:color w:val="000000"/>
          <w:sz w:val="20"/>
          <w:szCs w:val="20"/>
        </w:rPr>
        <w:t>hilj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. KM, u </w:t>
      </w:r>
      <w:proofErr w:type="spellStart"/>
      <w:r w:rsidR="009129A8" w:rsidRPr="00B44CB6">
        <w:rPr>
          <w:rFonts w:ascii="Verdana" w:hAnsi="Verdana" w:cstheme="majorHAnsi"/>
          <w:color w:val="000000"/>
          <w:sz w:val="20"/>
          <w:szCs w:val="20"/>
        </w:rPr>
        <w:t>odnosu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="009129A8" w:rsidRPr="00B44CB6">
        <w:rPr>
          <w:rFonts w:ascii="Verdana" w:hAnsi="Verdana" w:cstheme="majorHAnsi"/>
          <w:color w:val="000000"/>
          <w:sz w:val="20"/>
          <w:szCs w:val="20"/>
        </w:rPr>
        <w:t>na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="009129A8" w:rsidRPr="00B44CB6">
        <w:rPr>
          <w:rFonts w:ascii="Verdana" w:hAnsi="Verdana" w:cstheme="majorHAnsi"/>
          <w:color w:val="000000"/>
          <w:sz w:val="20"/>
          <w:szCs w:val="20"/>
        </w:rPr>
        <w:t>prethodnu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="009129A8" w:rsidRPr="00B44CB6">
        <w:rPr>
          <w:rFonts w:ascii="Verdana" w:hAnsi="Verdana" w:cstheme="majorHAnsi"/>
          <w:color w:val="000000"/>
          <w:sz w:val="20"/>
          <w:szCs w:val="20"/>
        </w:rPr>
        <w:t>poslovnu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="009129A8" w:rsidRPr="00B44CB6">
        <w:rPr>
          <w:rFonts w:ascii="Verdana" w:hAnsi="Verdana" w:cstheme="majorHAnsi"/>
          <w:color w:val="000000"/>
          <w:sz w:val="20"/>
          <w:szCs w:val="20"/>
        </w:rPr>
        <w:t>godinu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="009129A8" w:rsidRPr="00B44CB6">
        <w:rPr>
          <w:rFonts w:ascii="Verdana" w:hAnsi="Verdana" w:cstheme="majorHAnsi"/>
          <w:color w:val="000000"/>
          <w:sz w:val="20"/>
          <w:szCs w:val="20"/>
        </w:rPr>
        <w:t>porasla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 je </w:t>
      </w:r>
      <w:proofErr w:type="spellStart"/>
      <w:r w:rsidR="009129A8" w:rsidRPr="00B44CB6">
        <w:rPr>
          <w:rFonts w:ascii="Verdana" w:hAnsi="Verdana" w:cstheme="majorHAnsi"/>
          <w:color w:val="000000"/>
          <w:sz w:val="20"/>
          <w:szCs w:val="20"/>
        </w:rPr>
        <w:t>procentualno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 za </w:t>
      </w:r>
      <w:r w:rsidR="00782CC9" w:rsidRPr="00B44CB6">
        <w:rPr>
          <w:rFonts w:ascii="Verdana" w:hAnsi="Verdana" w:cstheme="majorHAnsi"/>
          <w:color w:val="000000"/>
          <w:sz w:val="20"/>
          <w:szCs w:val="20"/>
        </w:rPr>
        <w:t xml:space="preserve">(+) </w:t>
      </w:r>
      <w:r w:rsidR="00B44CB6" w:rsidRPr="00B44CB6">
        <w:rPr>
          <w:rFonts w:ascii="Verdana" w:hAnsi="Verdana" w:cstheme="majorHAnsi"/>
          <w:color w:val="000000"/>
          <w:sz w:val="20"/>
          <w:szCs w:val="20"/>
        </w:rPr>
        <w:t>34</w:t>
      </w:r>
      <w:r w:rsidR="00B44CB6">
        <w:rPr>
          <w:rFonts w:ascii="Verdana" w:hAnsi="Verdana" w:cstheme="majorHAnsi"/>
          <w:color w:val="000000"/>
          <w:sz w:val="20"/>
          <w:szCs w:val="20"/>
        </w:rPr>
        <w:t xml:space="preserve"> p.p.</w:t>
      </w:r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="009129A8" w:rsidRPr="00B44CB6">
        <w:rPr>
          <w:rFonts w:ascii="Verdana" w:hAnsi="Verdana" w:cstheme="majorHAnsi"/>
          <w:color w:val="000000"/>
          <w:sz w:val="20"/>
          <w:szCs w:val="20"/>
        </w:rPr>
        <w:t>ili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 u </w:t>
      </w:r>
      <w:proofErr w:type="spellStart"/>
      <w:r w:rsidR="009129A8" w:rsidRPr="00B44CB6">
        <w:rPr>
          <w:rFonts w:ascii="Verdana" w:hAnsi="Verdana" w:cstheme="majorHAnsi"/>
          <w:color w:val="000000"/>
          <w:sz w:val="20"/>
          <w:szCs w:val="20"/>
        </w:rPr>
        <w:t>apsolutnom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="009129A8" w:rsidRPr="00B44CB6">
        <w:rPr>
          <w:rFonts w:ascii="Verdana" w:hAnsi="Verdana" w:cstheme="majorHAnsi"/>
          <w:color w:val="000000"/>
          <w:sz w:val="20"/>
          <w:szCs w:val="20"/>
        </w:rPr>
        <w:t>iznosu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 </w:t>
      </w:r>
      <w:r w:rsidR="00782CC9" w:rsidRPr="00B44CB6">
        <w:rPr>
          <w:rFonts w:ascii="Verdana" w:hAnsi="Verdana" w:cstheme="majorHAnsi"/>
          <w:color w:val="000000"/>
          <w:sz w:val="20"/>
          <w:szCs w:val="20"/>
        </w:rPr>
        <w:t xml:space="preserve">(+) </w:t>
      </w:r>
      <w:r w:rsidR="004B7A7C" w:rsidRPr="00B44CB6">
        <w:rPr>
          <w:rFonts w:ascii="Verdana" w:hAnsi="Verdana" w:cstheme="majorHAnsi"/>
          <w:color w:val="000000"/>
          <w:sz w:val="20"/>
          <w:szCs w:val="20"/>
        </w:rPr>
        <w:t>2.</w:t>
      </w:r>
      <w:r w:rsidR="00B44CB6">
        <w:rPr>
          <w:rFonts w:ascii="Verdana" w:hAnsi="Verdana" w:cstheme="majorHAnsi"/>
          <w:color w:val="000000"/>
          <w:sz w:val="20"/>
          <w:szCs w:val="20"/>
        </w:rPr>
        <w:t>837</w:t>
      </w:r>
      <w:r w:rsidR="004B7A7C" w:rsidRPr="00B44CB6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="004B7A7C" w:rsidRPr="00B44CB6">
        <w:rPr>
          <w:rFonts w:ascii="Verdana" w:hAnsi="Verdana" w:cstheme="majorHAnsi"/>
          <w:color w:val="000000"/>
          <w:sz w:val="20"/>
          <w:szCs w:val="20"/>
        </w:rPr>
        <w:t>hilj</w:t>
      </w:r>
      <w:proofErr w:type="spellEnd"/>
      <w:r w:rsidR="009129A8" w:rsidRPr="00B44CB6">
        <w:rPr>
          <w:rFonts w:ascii="Verdana" w:hAnsi="Verdana" w:cstheme="majorHAnsi"/>
          <w:color w:val="000000"/>
          <w:sz w:val="20"/>
          <w:szCs w:val="20"/>
        </w:rPr>
        <w:t xml:space="preserve">. </w:t>
      </w:r>
      <w:r w:rsidR="009129A8" w:rsidRPr="00B17545">
        <w:rPr>
          <w:rFonts w:ascii="Verdana" w:hAnsi="Verdana" w:cstheme="majorHAnsi"/>
          <w:color w:val="000000"/>
          <w:sz w:val="20"/>
          <w:szCs w:val="20"/>
        </w:rPr>
        <w:t>KM.</w:t>
      </w:r>
    </w:p>
    <w:p w14:paraId="38215607" w14:textId="79BF1589" w:rsidR="009129A8" w:rsidRPr="00B17545" w:rsidRDefault="009129A8" w:rsidP="00D77A4C">
      <w:pPr>
        <w:pStyle w:val="ListParagraph"/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highlight w:val="yellow"/>
        </w:rPr>
      </w:pPr>
      <w:r w:rsidRPr="00B17545">
        <w:rPr>
          <w:rFonts w:ascii="Verdana" w:hAnsi="Verdana" w:cstheme="majorHAnsi"/>
          <w:color w:val="000000"/>
          <w:sz w:val="20"/>
          <w:szCs w:val="20"/>
        </w:rPr>
        <w:t xml:space="preserve">Rast </w:t>
      </w:r>
      <w:proofErr w:type="spellStart"/>
      <w:r w:rsidRPr="00B17545">
        <w:rPr>
          <w:rFonts w:ascii="Verdana" w:hAnsi="Verdana" w:cstheme="majorHAnsi"/>
          <w:color w:val="000000"/>
          <w:sz w:val="20"/>
          <w:szCs w:val="20"/>
        </w:rPr>
        <w:t>pokazatelja</w:t>
      </w:r>
      <w:proofErr w:type="spellEnd"/>
      <w:r w:rsidR="00274D04" w:rsidRPr="00B17545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="00274D04" w:rsidRPr="00B17545">
        <w:rPr>
          <w:rFonts w:ascii="Verdana" w:hAnsi="Verdana" w:cstheme="majorHAnsi"/>
          <w:color w:val="000000"/>
          <w:sz w:val="20"/>
          <w:szCs w:val="20"/>
        </w:rPr>
        <w:t>neto</w:t>
      </w:r>
      <w:proofErr w:type="spellEnd"/>
      <w:r w:rsidR="00274D04" w:rsidRPr="00B17545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Pr="00B17545">
        <w:rPr>
          <w:rFonts w:ascii="Verdana" w:hAnsi="Verdana" w:cstheme="majorHAnsi"/>
          <w:color w:val="000000"/>
          <w:sz w:val="20"/>
          <w:szCs w:val="20"/>
        </w:rPr>
        <w:t>a</w:t>
      </w:r>
      <w:r w:rsidR="004E3665" w:rsidRPr="00B17545">
        <w:rPr>
          <w:rFonts w:ascii="Verdana" w:hAnsi="Verdana" w:cstheme="majorHAnsi"/>
          <w:color w:val="000000"/>
          <w:sz w:val="20"/>
          <w:szCs w:val="20"/>
        </w:rPr>
        <w:t>k</w:t>
      </w:r>
      <w:r w:rsidRPr="00B17545">
        <w:rPr>
          <w:rFonts w:ascii="Verdana" w:hAnsi="Verdana" w:cstheme="majorHAnsi"/>
          <w:color w:val="000000"/>
          <w:sz w:val="20"/>
          <w:szCs w:val="20"/>
        </w:rPr>
        <w:t>tive</w:t>
      </w:r>
      <w:proofErr w:type="spellEnd"/>
      <w:r w:rsidRPr="00B17545">
        <w:rPr>
          <w:rFonts w:ascii="Verdana" w:hAnsi="Verdana" w:cstheme="majorHAnsi"/>
          <w:color w:val="000000"/>
          <w:sz w:val="20"/>
          <w:szCs w:val="20"/>
        </w:rPr>
        <w:t xml:space="preserve"> je </w:t>
      </w:r>
      <w:proofErr w:type="spellStart"/>
      <w:r w:rsidRPr="00B17545">
        <w:rPr>
          <w:rFonts w:ascii="Verdana" w:hAnsi="Verdana" w:cstheme="majorHAnsi"/>
          <w:color w:val="000000"/>
          <w:sz w:val="20"/>
          <w:szCs w:val="20"/>
        </w:rPr>
        <w:t>iznad</w:t>
      </w:r>
      <w:proofErr w:type="spellEnd"/>
      <w:r w:rsidRPr="00B17545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Pr="00B17545">
        <w:rPr>
          <w:rFonts w:ascii="Verdana" w:hAnsi="Verdana" w:cstheme="majorHAnsi"/>
          <w:color w:val="000000"/>
          <w:sz w:val="20"/>
          <w:szCs w:val="20"/>
        </w:rPr>
        <w:t>prosjeka</w:t>
      </w:r>
      <w:proofErr w:type="spellEnd"/>
      <w:r w:rsidRPr="00B17545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Pr="00B17545">
        <w:rPr>
          <w:rFonts w:ascii="Verdana" w:hAnsi="Verdana" w:cstheme="majorHAnsi"/>
          <w:color w:val="000000"/>
          <w:sz w:val="20"/>
          <w:szCs w:val="20"/>
        </w:rPr>
        <w:t>mikrokreditnog</w:t>
      </w:r>
      <w:proofErr w:type="spellEnd"/>
      <w:r w:rsidRPr="00B17545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Pr="00B17545">
        <w:rPr>
          <w:rFonts w:ascii="Verdana" w:hAnsi="Verdana" w:cstheme="majorHAnsi"/>
          <w:color w:val="000000"/>
          <w:sz w:val="20"/>
          <w:szCs w:val="20"/>
        </w:rPr>
        <w:t>sektora</w:t>
      </w:r>
      <w:proofErr w:type="spellEnd"/>
      <w:r w:rsidRPr="00B17545">
        <w:rPr>
          <w:rFonts w:ascii="Verdana" w:hAnsi="Verdana" w:cstheme="majorHAnsi"/>
          <w:color w:val="000000"/>
          <w:sz w:val="20"/>
          <w:szCs w:val="20"/>
        </w:rPr>
        <w:t xml:space="preserve"> </w:t>
      </w:r>
      <w:proofErr w:type="spellStart"/>
      <w:r w:rsidRPr="00B17545">
        <w:rPr>
          <w:rFonts w:ascii="Verdana" w:hAnsi="Verdana" w:cstheme="majorHAnsi"/>
          <w:color w:val="000000"/>
          <w:sz w:val="20"/>
          <w:szCs w:val="20"/>
        </w:rPr>
        <w:t>Republike</w:t>
      </w:r>
      <w:proofErr w:type="spellEnd"/>
      <w:r w:rsidRPr="00B17545">
        <w:rPr>
          <w:rFonts w:ascii="Verdana" w:hAnsi="Verdana" w:cstheme="majorHAnsi"/>
          <w:color w:val="000000"/>
          <w:sz w:val="20"/>
          <w:szCs w:val="20"/>
        </w:rPr>
        <w:t xml:space="preserve"> Srpske.</w:t>
      </w:r>
    </w:p>
    <w:p w14:paraId="71EE164B" w14:textId="662D576A" w:rsidR="009129A8" w:rsidRPr="00274D04" w:rsidRDefault="00274D04" w:rsidP="00D77A4C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b/>
          <w:bCs/>
          <w:sz w:val="20"/>
          <w:szCs w:val="20"/>
          <w:lang w:val="it-IT"/>
        </w:rPr>
        <w:t>Bruto</w:t>
      </w:r>
      <w:r w:rsidR="009129A8" w:rsidRPr="00274D04">
        <w:rPr>
          <w:rFonts w:ascii="Verdana" w:hAnsi="Verdana" w:cs="Arial"/>
          <w:b/>
          <w:bCs/>
          <w:sz w:val="20"/>
          <w:szCs w:val="20"/>
          <w:lang w:val="it-IT"/>
        </w:rPr>
        <w:t xml:space="preserve"> krediti</w:t>
      </w:r>
      <w:r w:rsidR="00B97AA1" w:rsidRPr="00274D04">
        <w:rPr>
          <w:rFonts w:ascii="Verdana" w:hAnsi="Verdana" w:cs="Arial"/>
          <w:b/>
          <w:bCs/>
          <w:sz w:val="20"/>
          <w:szCs w:val="20"/>
          <w:lang w:val="it-IT"/>
        </w:rPr>
        <w:t xml:space="preserve"> </w:t>
      </w:r>
      <w:r w:rsidR="009129A8" w:rsidRPr="00274D04">
        <w:rPr>
          <w:rFonts w:ascii="Verdana" w:hAnsi="Verdana" w:cs="Arial"/>
          <w:b/>
          <w:bCs/>
          <w:sz w:val="20"/>
          <w:szCs w:val="20"/>
          <w:lang w:val="it-IT"/>
        </w:rPr>
        <w:t>na 31.12.202</w:t>
      </w:r>
      <w:r w:rsidR="00B44CB6" w:rsidRPr="00274D04">
        <w:rPr>
          <w:rFonts w:ascii="Verdana" w:hAnsi="Verdana" w:cs="Arial"/>
          <w:b/>
          <w:bCs/>
          <w:sz w:val="20"/>
          <w:szCs w:val="20"/>
          <w:lang w:val="it-IT"/>
        </w:rPr>
        <w:t>4</w:t>
      </w:r>
      <w:r w:rsidR="009129A8" w:rsidRPr="00274D04">
        <w:rPr>
          <w:rFonts w:ascii="Verdana" w:hAnsi="Verdana" w:cs="Arial"/>
          <w:b/>
          <w:bCs/>
          <w:sz w:val="20"/>
          <w:szCs w:val="20"/>
          <w:lang w:val="it-IT"/>
        </w:rPr>
        <w:t>. godine iznose</w:t>
      </w:r>
      <w:r w:rsidR="009129A8" w:rsidRPr="00274D04">
        <w:rPr>
          <w:rFonts w:ascii="Verdana" w:hAnsi="Verdana" w:cs="Arial"/>
          <w:sz w:val="20"/>
          <w:szCs w:val="20"/>
          <w:lang w:val="it-IT"/>
        </w:rPr>
        <w:t xml:space="preserve">: U MKO 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sa sjedištem u Republici Srpskoj </w:t>
      </w:r>
      <w:r w:rsidR="00963670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661.029</w:t>
      </w:r>
      <w:r w:rsidR="004B7A7C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hilj. 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KM i čine </w:t>
      </w:r>
      <w:r>
        <w:rPr>
          <w:rFonts w:ascii="Verdana" w:hAnsi="Verdana" w:cstheme="majorHAnsi"/>
          <w:color w:val="000000"/>
          <w:sz w:val="20"/>
          <w:szCs w:val="20"/>
          <w:lang w:val="it-IT"/>
        </w:rPr>
        <w:t>91,17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% </w:t>
      </w:r>
      <w:r>
        <w:rPr>
          <w:rFonts w:ascii="Verdana" w:hAnsi="Verdana" w:cstheme="majorHAnsi"/>
          <w:color w:val="000000"/>
          <w:sz w:val="20"/>
          <w:szCs w:val="20"/>
          <w:lang w:val="it-IT"/>
        </w:rPr>
        <w:t>neto</w:t>
      </w:r>
      <w:r w:rsidR="00716257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</w:t>
      </w:r>
      <w:r w:rsidR="009C2B13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ak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tive, u odnosu na 31.12.202</w:t>
      </w:r>
      <w:r w:rsidR="00963670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3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. godine porasl</w:t>
      </w:r>
      <w:r w:rsidR="00782CC9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i su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procentulno za</w:t>
      </w:r>
      <w:r w:rsidR="00782CC9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(+) 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</w:t>
      </w:r>
      <w:r w:rsidR="004B7A7C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21</w:t>
      </w:r>
      <w:r w:rsidR="009C2B13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</w:t>
      </w:r>
      <w:r w:rsidR="004B7A7C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p.p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.</w:t>
      </w:r>
    </w:p>
    <w:p w14:paraId="55DA2D96" w14:textId="284E5C5B" w:rsidR="009129A8" w:rsidRPr="00274D04" w:rsidRDefault="004E3665" w:rsidP="00D77A4C">
      <w:pPr>
        <w:pStyle w:val="ListParagraph"/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lang w:val="it-IT"/>
        </w:rPr>
      </w:pPr>
      <w:r w:rsidRPr="00274D04">
        <w:rPr>
          <w:rFonts w:ascii="Verdana" w:hAnsi="Verdana" w:cs="Arial"/>
          <w:sz w:val="20"/>
          <w:szCs w:val="20"/>
          <w:lang w:val="it-IT"/>
        </w:rPr>
        <w:t>U</w:t>
      </w:r>
      <w:r w:rsidR="009129A8" w:rsidRPr="00274D04">
        <w:rPr>
          <w:rFonts w:ascii="Verdana" w:hAnsi="Verdana" w:cs="Arial"/>
          <w:sz w:val="20"/>
          <w:szCs w:val="20"/>
          <w:lang w:val="it-IT"/>
        </w:rPr>
        <w:t xml:space="preserve"> Društva</w:t>
      </w:r>
      <w:r w:rsidR="00B97AA1" w:rsidRPr="00274D04">
        <w:rPr>
          <w:rFonts w:ascii="Verdana" w:hAnsi="Verdana" w:cs="Arial"/>
          <w:sz w:val="20"/>
          <w:szCs w:val="20"/>
          <w:lang w:val="it-IT"/>
        </w:rPr>
        <w:t xml:space="preserve"> </w:t>
      </w:r>
      <w:r w:rsidR="009129A8" w:rsidRPr="00274D04">
        <w:rPr>
          <w:rFonts w:ascii="Verdana" w:hAnsi="Verdana" w:cs="Arial"/>
          <w:sz w:val="20"/>
          <w:szCs w:val="20"/>
          <w:lang w:val="it-IT"/>
        </w:rPr>
        <w:t xml:space="preserve">iznose </w:t>
      </w:r>
      <w:r w:rsidR="00963670" w:rsidRPr="00274D04">
        <w:rPr>
          <w:rFonts w:ascii="Verdana" w:hAnsi="Verdana" w:cs="Arial"/>
          <w:sz w:val="20"/>
          <w:szCs w:val="20"/>
          <w:lang w:val="it-IT"/>
        </w:rPr>
        <w:t>10.343</w:t>
      </w:r>
      <w:r w:rsidR="009C2B13" w:rsidRPr="00274D04">
        <w:rPr>
          <w:rFonts w:ascii="Verdana" w:hAnsi="Verdana" w:cs="Arial"/>
          <w:sz w:val="20"/>
          <w:szCs w:val="20"/>
          <w:lang w:val="it-IT"/>
        </w:rPr>
        <w:t xml:space="preserve"> hilj</w:t>
      </w:r>
      <w:r w:rsidR="009129A8" w:rsidRPr="00274D04">
        <w:rPr>
          <w:rFonts w:ascii="Verdana" w:hAnsi="Verdana" w:cs="Arial"/>
          <w:sz w:val="20"/>
          <w:szCs w:val="20"/>
          <w:lang w:val="it-IT"/>
        </w:rPr>
        <w:t xml:space="preserve">. KM i čine </w:t>
      </w:r>
      <w:r w:rsidR="00274D04">
        <w:rPr>
          <w:rFonts w:ascii="Verdana" w:hAnsi="Verdana" w:cs="Arial"/>
          <w:sz w:val="20"/>
          <w:szCs w:val="20"/>
          <w:lang w:val="it-IT"/>
        </w:rPr>
        <w:t>92,18</w:t>
      </w:r>
      <w:r w:rsidR="009129A8" w:rsidRPr="00274D04">
        <w:rPr>
          <w:rFonts w:ascii="Verdana" w:hAnsi="Verdana" w:cs="Arial"/>
          <w:sz w:val="20"/>
          <w:szCs w:val="20"/>
          <w:lang w:val="it-IT"/>
        </w:rPr>
        <w:t xml:space="preserve">% </w:t>
      </w:r>
      <w:r w:rsidR="00274D04">
        <w:rPr>
          <w:rFonts w:ascii="Verdana" w:hAnsi="Verdana" w:cs="Arial"/>
          <w:sz w:val="20"/>
          <w:szCs w:val="20"/>
          <w:lang w:val="it-IT"/>
        </w:rPr>
        <w:t xml:space="preserve">neto </w:t>
      </w:r>
      <w:r w:rsidR="009129A8" w:rsidRPr="00274D04">
        <w:rPr>
          <w:rFonts w:ascii="Verdana" w:hAnsi="Verdana" w:cs="Arial"/>
          <w:sz w:val="20"/>
          <w:szCs w:val="20"/>
          <w:lang w:val="it-IT"/>
        </w:rPr>
        <w:t xml:space="preserve">aktive, 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u odnosu na 31.12.202</w:t>
      </w:r>
      <w:r w:rsidR="00716257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3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. godine porasl</w:t>
      </w:r>
      <w:r w:rsidR="00782CC9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i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su procentulno za</w:t>
      </w:r>
      <w:r w:rsidR="00782CC9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(+)</w:t>
      </w:r>
      <w:r w:rsidR="009129A8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</w:t>
      </w:r>
      <w:r w:rsidR="00716257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27</w:t>
      </w:r>
      <w:r w:rsidR="009C2B13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p.p.</w:t>
      </w:r>
    </w:p>
    <w:p w14:paraId="45015B23" w14:textId="40676DFE" w:rsidR="009129A8" w:rsidRPr="00274D04" w:rsidRDefault="009129A8" w:rsidP="00D77A4C">
      <w:pPr>
        <w:pStyle w:val="ListParagraph"/>
        <w:spacing w:after="0"/>
        <w:ind w:left="0" w:firstLine="0"/>
        <w:rPr>
          <w:rFonts w:ascii="Verdana" w:hAnsi="Verdana" w:cs="Arial"/>
          <w:sz w:val="20"/>
          <w:szCs w:val="20"/>
          <w:lang w:val="it-IT"/>
        </w:rPr>
      </w:pP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Rast pokazatelja </w:t>
      </w:r>
      <w:r w:rsid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bruto 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kredita je </w:t>
      </w:r>
      <w:r w:rsidR="00716257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iznad 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prosjeka mikrokreditnog sektora Republike Srpske.</w:t>
      </w:r>
    </w:p>
    <w:p w14:paraId="60121B1D" w14:textId="145C1959" w:rsidR="009129A8" w:rsidRPr="00274D04" w:rsidRDefault="009129A8" w:rsidP="00D77A4C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Verdana" w:hAnsi="Verdana" w:cs="Arial"/>
          <w:sz w:val="20"/>
          <w:szCs w:val="20"/>
          <w:lang w:val="it-IT"/>
        </w:rPr>
      </w:pPr>
      <w:r w:rsidRPr="00274D04">
        <w:rPr>
          <w:rFonts w:ascii="Verdana" w:hAnsi="Verdana" w:cs="Arial"/>
          <w:b/>
          <w:bCs/>
          <w:sz w:val="20"/>
          <w:szCs w:val="20"/>
          <w:lang w:val="it-IT"/>
        </w:rPr>
        <w:t>Novčana sredstva na 31.12.202</w:t>
      </w:r>
      <w:r w:rsidR="00274D04" w:rsidRPr="00274D04">
        <w:rPr>
          <w:rFonts w:ascii="Verdana" w:hAnsi="Verdana" w:cs="Arial"/>
          <w:b/>
          <w:bCs/>
          <w:sz w:val="20"/>
          <w:szCs w:val="20"/>
          <w:lang w:val="it-IT"/>
        </w:rPr>
        <w:t>4</w:t>
      </w:r>
      <w:r w:rsidRPr="00274D04">
        <w:rPr>
          <w:rFonts w:ascii="Verdana" w:hAnsi="Verdana" w:cs="Arial"/>
          <w:b/>
          <w:bCs/>
          <w:sz w:val="20"/>
          <w:szCs w:val="20"/>
          <w:lang w:val="it-IT"/>
        </w:rPr>
        <w:t>. godine iznose:</w:t>
      </w:r>
      <w:r w:rsidRPr="00274D04">
        <w:rPr>
          <w:rFonts w:ascii="Verdana" w:hAnsi="Verdana" w:cs="Arial"/>
          <w:sz w:val="20"/>
          <w:szCs w:val="20"/>
          <w:lang w:val="it-IT"/>
        </w:rPr>
        <w:t xml:space="preserve"> U MKO 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sa sjedištem u Republici Srpskoj </w:t>
      </w:r>
      <w:r w:rsidR="00274D04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37.490</w:t>
      </w:r>
      <w:r w:rsidR="009C2B13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hilj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. KM i čine </w:t>
      </w:r>
      <w:r w:rsidR="009C2B13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5,</w:t>
      </w:r>
      <w:r w:rsidR="00274D04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17</w:t>
      </w:r>
      <w:r w:rsidR="009C2B13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% </w:t>
      </w:r>
      <w:r w:rsidR="00274D04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neto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aktive, u odnosu na 31.12.202</w:t>
      </w:r>
      <w:r w:rsidR="00274D04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3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. godine </w:t>
      </w:r>
      <w:r w:rsidR="00274D04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porasla su za </w:t>
      </w:r>
      <w:r w:rsidR="00782CC9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(</w:t>
      </w:r>
      <w:r w:rsidR="00274D04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+3)</w:t>
      </w:r>
      <w:r w:rsidR="009C2B13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p.p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.</w:t>
      </w:r>
    </w:p>
    <w:p w14:paraId="31A719BA" w14:textId="7D752996" w:rsidR="009129A8" w:rsidRPr="00274D04" w:rsidRDefault="009129A8" w:rsidP="00D77A4C">
      <w:pPr>
        <w:pStyle w:val="ListParagraph"/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lang w:val="it-IT"/>
        </w:rPr>
      </w:pPr>
      <w:r w:rsidRPr="00274D04">
        <w:rPr>
          <w:rFonts w:ascii="Verdana" w:hAnsi="Verdana" w:cs="Arial"/>
          <w:sz w:val="20"/>
          <w:szCs w:val="20"/>
          <w:lang w:val="it-IT"/>
        </w:rPr>
        <w:t xml:space="preserve">U Društvu 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iznose </w:t>
      </w:r>
      <w:r w:rsidR="00274D04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899</w:t>
      </w:r>
      <w:r w:rsidR="009C2B13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hilj.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KM i čine</w:t>
      </w:r>
      <w:r w:rsidR="00274D04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8</w:t>
      </w:r>
      <w:r w:rsidR="009C2B13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,01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%</w:t>
      </w:r>
      <w:r w:rsidR="00274D04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neto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aktive, u odnosu na 31.12.202</w:t>
      </w:r>
      <w:r w:rsidR="00274D04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3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. godine </w:t>
      </w:r>
      <w:r w:rsidR="00274D04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porasla su za </w:t>
      </w:r>
      <w:r w:rsidR="00782CC9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(+) </w:t>
      </w:r>
      <w:r w:rsidR="00274D04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68</w:t>
      </w:r>
      <w:r w:rsidR="009C2B13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p.p.</w:t>
      </w:r>
    </w:p>
    <w:p w14:paraId="7292C783" w14:textId="4DCFBDDD" w:rsidR="009129A8" w:rsidRPr="009C2B13" w:rsidRDefault="009129A8" w:rsidP="00D77A4C">
      <w:pPr>
        <w:pStyle w:val="ListParagraph"/>
        <w:spacing w:after="0"/>
        <w:ind w:left="0" w:firstLine="0"/>
        <w:rPr>
          <w:rFonts w:ascii="Verdana" w:hAnsi="Verdana" w:cs="Arial"/>
          <w:sz w:val="20"/>
          <w:szCs w:val="20"/>
          <w:lang w:val="it-IT"/>
        </w:rPr>
      </w:pP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Rast pokazatelja novčanih sredstava je </w:t>
      </w:r>
      <w:r w:rsidR="009C2B13" w:rsidRPr="00274D04">
        <w:rPr>
          <w:rFonts w:ascii="Verdana" w:hAnsi="Verdana" w:cstheme="majorHAnsi"/>
          <w:color w:val="000000"/>
          <w:sz w:val="20"/>
          <w:szCs w:val="20"/>
          <w:lang w:val="it-IT"/>
        </w:rPr>
        <w:t>iznad</w:t>
      </w:r>
      <w:r w:rsidRPr="00274D0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prosjeka mikrokreditnog sektora Republike Srpske.</w:t>
      </w:r>
    </w:p>
    <w:p w14:paraId="6C656DEE" w14:textId="3148A969" w:rsidR="009129A8" w:rsidRPr="003C57E7" w:rsidRDefault="009129A8" w:rsidP="00D77A4C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Verdana" w:hAnsi="Verdana" w:cs="Arial"/>
          <w:sz w:val="20"/>
          <w:szCs w:val="20"/>
          <w:lang w:val="it-IT"/>
        </w:rPr>
      </w:pPr>
      <w:r w:rsidRPr="003C57E7">
        <w:rPr>
          <w:rFonts w:ascii="Verdana" w:hAnsi="Verdana" w:cs="Arial"/>
          <w:b/>
          <w:bCs/>
          <w:sz w:val="20"/>
          <w:szCs w:val="20"/>
          <w:lang w:val="it-IT"/>
        </w:rPr>
        <w:t>Ukupne obaveze na 31.12.202</w:t>
      </w:r>
      <w:r w:rsidR="00274D04" w:rsidRPr="003C57E7">
        <w:rPr>
          <w:rFonts w:ascii="Verdana" w:hAnsi="Verdana" w:cs="Arial"/>
          <w:b/>
          <w:bCs/>
          <w:sz w:val="20"/>
          <w:szCs w:val="20"/>
          <w:lang w:val="it-IT"/>
        </w:rPr>
        <w:t>4</w:t>
      </w:r>
      <w:r w:rsidRPr="003C57E7">
        <w:rPr>
          <w:rFonts w:ascii="Verdana" w:hAnsi="Verdana" w:cs="Arial"/>
          <w:b/>
          <w:bCs/>
          <w:sz w:val="20"/>
          <w:szCs w:val="20"/>
          <w:lang w:val="it-IT"/>
        </w:rPr>
        <w:t xml:space="preserve">. godine iznose: </w:t>
      </w:r>
      <w:r w:rsidRPr="003C57E7">
        <w:rPr>
          <w:rFonts w:ascii="Verdana" w:hAnsi="Verdana" w:cs="Arial"/>
          <w:sz w:val="20"/>
          <w:szCs w:val="20"/>
          <w:lang w:val="it-IT"/>
        </w:rPr>
        <w:t xml:space="preserve">U MKO </w:t>
      </w:r>
      <w:r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sa sjedištem u Republici Srpskoj </w:t>
      </w:r>
      <w:r w:rsidR="00274D04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483.795</w:t>
      </w:r>
      <w:r w:rsidR="00122E8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hilj</w:t>
      </w:r>
      <w:r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. KM i čine </w:t>
      </w:r>
      <w:r w:rsidR="003C57E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66,73</w:t>
      </w:r>
      <w:r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%</w:t>
      </w:r>
      <w:r w:rsidR="003C57E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ukupne</w:t>
      </w:r>
      <w:r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pasive, u odnosu na 31.12.202</w:t>
      </w:r>
      <w:r w:rsidR="003C57E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3</w:t>
      </w:r>
      <w:r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. godine porasle su </w:t>
      </w:r>
      <w:r w:rsidR="00122E8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(+)</w:t>
      </w:r>
      <w:r w:rsidR="003C57E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25</w:t>
      </w:r>
      <w:r w:rsidR="00122E8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p.p.</w:t>
      </w:r>
    </w:p>
    <w:p w14:paraId="0A37434B" w14:textId="54971008" w:rsidR="009129A8" w:rsidRPr="003C57E7" w:rsidRDefault="004E3665" w:rsidP="00D77A4C">
      <w:pPr>
        <w:pStyle w:val="ListParagraph"/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lang w:val="it-IT"/>
        </w:rPr>
      </w:pPr>
      <w:r w:rsidRPr="003C57E7">
        <w:rPr>
          <w:rFonts w:ascii="Verdana" w:hAnsi="Verdana" w:cs="Arial"/>
          <w:sz w:val="20"/>
          <w:szCs w:val="20"/>
          <w:lang w:val="it-IT"/>
        </w:rPr>
        <w:t>U</w:t>
      </w:r>
      <w:r w:rsidR="009129A8" w:rsidRPr="003C57E7">
        <w:rPr>
          <w:rFonts w:ascii="Verdana" w:hAnsi="Verdana" w:cs="Arial"/>
          <w:sz w:val="20"/>
          <w:szCs w:val="20"/>
          <w:lang w:val="it-IT"/>
        </w:rPr>
        <w:t xml:space="preserve"> Društv</w:t>
      </w:r>
      <w:r w:rsidRPr="003C57E7">
        <w:rPr>
          <w:rFonts w:ascii="Verdana" w:hAnsi="Verdana" w:cs="Arial"/>
          <w:sz w:val="20"/>
          <w:szCs w:val="20"/>
          <w:lang w:val="it-IT"/>
        </w:rPr>
        <w:t>u</w:t>
      </w:r>
      <w:r w:rsidR="009129A8" w:rsidRPr="003C57E7">
        <w:rPr>
          <w:rFonts w:ascii="Verdana" w:hAnsi="Verdana" w:cs="Arial"/>
          <w:sz w:val="20"/>
          <w:szCs w:val="20"/>
          <w:lang w:val="it-IT"/>
        </w:rPr>
        <w:t xml:space="preserve"> iznose </w:t>
      </w:r>
      <w:r w:rsidR="003C57E7" w:rsidRPr="003C57E7">
        <w:rPr>
          <w:rFonts w:ascii="Verdana" w:hAnsi="Verdana" w:cs="Arial"/>
          <w:sz w:val="20"/>
          <w:szCs w:val="20"/>
          <w:lang w:val="it-IT"/>
        </w:rPr>
        <w:t>9.016</w:t>
      </w:r>
      <w:r w:rsidR="00122E87" w:rsidRPr="003C57E7">
        <w:rPr>
          <w:rFonts w:ascii="Verdana" w:hAnsi="Verdana" w:cs="Arial"/>
          <w:sz w:val="20"/>
          <w:szCs w:val="20"/>
          <w:lang w:val="it-IT"/>
        </w:rPr>
        <w:t xml:space="preserve"> hilj.</w:t>
      </w:r>
      <w:r w:rsidR="009129A8" w:rsidRPr="003C57E7">
        <w:rPr>
          <w:rFonts w:ascii="Verdana" w:hAnsi="Verdana" w:cs="Arial"/>
          <w:sz w:val="20"/>
          <w:szCs w:val="20"/>
          <w:lang w:val="it-IT"/>
        </w:rPr>
        <w:t xml:space="preserve"> KM i čine </w:t>
      </w:r>
      <w:r w:rsidR="003C57E7" w:rsidRPr="003C57E7">
        <w:rPr>
          <w:rFonts w:ascii="Verdana" w:hAnsi="Verdana" w:cs="Arial"/>
          <w:sz w:val="20"/>
          <w:szCs w:val="20"/>
          <w:lang w:val="it-IT"/>
        </w:rPr>
        <w:t>80,36</w:t>
      </w:r>
      <w:r w:rsidR="009129A8" w:rsidRPr="003C57E7">
        <w:rPr>
          <w:rFonts w:ascii="Verdana" w:hAnsi="Verdana" w:cs="Arial"/>
          <w:sz w:val="20"/>
          <w:szCs w:val="20"/>
          <w:lang w:val="it-IT"/>
        </w:rPr>
        <w:t xml:space="preserve">% </w:t>
      </w:r>
      <w:r w:rsidR="003C57E7" w:rsidRPr="003C57E7">
        <w:rPr>
          <w:rFonts w:ascii="Verdana" w:hAnsi="Verdana" w:cs="Arial"/>
          <w:sz w:val="20"/>
          <w:szCs w:val="20"/>
          <w:lang w:val="it-IT"/>
        </w:rPr>
        <w:t>ukupne</w:t>
      </w:r>
      <w:r w:rsidR="009129A8" w:rsidRPr="003C57E7">
        <w:rPr>
          <w:rFonts w:ascii="Verdana" w:hAnsi="Verdana" w:cs="Arial"/>
          <w:sz w:val="20"/>
          <w:szCs w:val="20"/>
          <w:lang w:val="it-IT"/>
        </w:rPr>
        <w:t xml:space="preserve"> pasive </w:t>
      </w:r>
      <w:r w:rsidR="009129A8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u odnosu na 31.12.202</w:t>
      </w:r>
      <w:r w:rsidR="003C57E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3</w:t>
      </w:r>
      <w:r w:rsidR="009129A8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. godine porasl</w:t>
      </w:r>
      <w:r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e</w:t>
      </w:r>
      <w:r w:rsidR="009129A8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su </w:t>
      </w:r>
      <w:r w:rsidR="00196716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(+) </w:t>
      </w:r>
      <w:r w:rsidR="003C57E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34</w:t>
      </w:r>
      <w:r w:rsidR="00122E8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p.p</w:t>
      </w:r>
      <w:r w:rsidR="009129A8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.</w:t>
      </w:r>
    </w:p>
    <w:p w14:paraId="051D433B" w14:textId="77777777" w:rsidR="009129A8" w:rsidRPr="00122E87" w:rsidRDefault="009129A8" w:rsidP="00D77A4C">
      <w:pPr>
        <w:pStyle w:val="ListParagraph"/>
        <w:spacing w:after="0"/>
        <w:ind w:left="0" w:firstLine="0"/>
        <w:rPr>
          <w:rFonts w:ascii="Verdana" w:hAnsi="Verdana" w:cs="Arial"/>
          <w:sz w:val="20"/>
          <w:szCs w:val="20"/>
          <w:lang w:val="it-IT"/>
        </w:rPr>
      </w:pPr>
      <w:r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Rast pokazatelja obaveza (pozajmice, krediti, obveznice, PVR, ostala pasiva) je procentualno iznad prosjeka mikrokredtnog sektora Republike Srpske</w:t>
      </w:r>
      <w:r w:rsidRPr="00122E87">
        <w:rPr>
          <w:rFonts w:ascii="Verdana" w:hAnsi="Verdana" w:cstheme="majorHAnsi"/>
          <w:color w:val="000000"/>
          <w:sz w:val="20"/>
          <w:szCs w:val="20"/>
          <w:lang w:val="it-IT"/>
        </w:rPr>
        <w:t>.</w:t>
      </w:r>
    </w:p>
    <w:p w14:paraId="4EA8DDA3" w14:textId="7C60D619" w:rsidR="009129A8" w:rsidRPr="003C57E7" w:rsidRDefault="009129A8" w:rsidP="00D77A4C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Verdana" w:hAnsi="Verdana" w:cs="Arial"/>
          <w:sz w:val="20"/>
          <w:szCs w:val="20"/>
          <w:lang w:val="it-IT"/>
        </w:rPr>
      </w:pPr>
      <w:r w:rsidRPr="003C57E7">
        <w:rPr>
          <w:rFonts w:ascii="Verdana" w:hAnsi="Verdana" w:cs="Arial"/>
          <w:b/>
          <w:bCs/>
          <w:sz w:val="20"/>
          <w:szCs w:val="20"/>
          <w:lang w:val="it-IT"/>
        </w:rPr>
        <w:t>Ukupan kapital na 31.12.202</w:t>
      </w:r>
      <w:r w:rsidR="003C57E7" w:rsidRPr="003C57E7">
        <w:rPr>
          <w:rFonts w:ascii="Verdana" w:hAnsi="Verdana" w:cs="Arial"/>
          <w:b/>
          <w:bCs/>
          <w:sz w:val="20"/>
          <w:szCs w:val="20"/>
          <w:lang w:val="it-IT"/>
        </w:rPr>
        <w:t>4</w:t>
      </w:r>
      <w:r w:rsidRPr="003C57E7">
        <w:rPr>
          <w:rFonts w:ascii="Verdana" w:hAnsi="Verdana" w:cs="Arial"/>
          <w:b/>
          <w:bCs/>
          <w:sz w:val="20"/>
          <w:szCs w:val="20"/>
          <w:lang w:val="it-IT"/>
        </w:rPr>
        <w:t xml:space="preserve">. godine iznosi: </w:t>
      </w:r>
      <w:r w:rsidRPr="003C57E7">
        <w:rPr>
          <w:rFonts w:ascii="Verdana" w:hAnsi="Verdana" w:cs="Arial"/>
          <w:sz w:val="20"/>
          <w:szCs w:val="20"/>
          <w:lang w:val="it-IT"/>
        </w:rPr>
        <w:t xml:space="preserve">U MKO </w:t>
      </w:r>
      <w:r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sa sjedištem u Republici Srpskoj </w:t>
      </w:r>
      <w:r w:rsidR="003C57E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174.746</w:t>
      </w:r>
      <w:r w:rsidR="00122E8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hilj.</w:t>
      </w:r>
      <w:r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KM i čini </w:t>
      </w:r>
      <w:r w:rsidR="003C57E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24.10</w:t>
      </w:r>
      <w:r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% pasive, u odnosu na 31.12.202</w:t>
      </w:r>
      <w:r w:rsidR="003C57E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3</w:t>
      </w:r>
      <w:r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. godine </w:t>
      </w:r>
      <w:r w:rsidR="003C57E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ostvario sje pad  (-) 5 p.p.</w:t>
      </w:r>
    </w:p>
    <w:p w14:paraId="3F4BA0B0" w14:textId="7CDA3189" w:rsidR="009129A8" w:rsidRPr="003C57E7" w:rsidRDefault="004E3665" w:rsidP="00D77A4C">
      <w:pPr>
        <w:pStyle w:val="ListParagraph"/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lang w:val="it-IT"/>
        </w:rPr>
      </w:pPr>
      <w:r w:rsidRPr="003C57E7">
        <w:rPr>
          <w:rFonts w:ascii="Verdana" w:hAnsi="Verdana" w:cs="Arial"/>
          <w:sz w:val="20"/>
          <w:szCs w:val="20"/>
          <w:lang w:val="it-IT"/>
        </w:rPr>
        <w:t xml:space="preserve">U </w:t>
      </w:r>
      <w:r w:rsidR="009129A8" w:rsidRPr="003C57E7">
        <w:rPr>
          <w:rFonts w:ascii="Verdana" w:hAnsi="Verdana" w:cs="Arial"/>
          <w:sz w:val="20"/>
          <w:szCs w:val="20"/>
          <w:lang w:val="it-IT"/>
        </w:rPr>
        <w:t xml:space="preserve">Društva iznosi </w:t>
      </w:r>
      <w:r w:rsidR="003C57E7" w:rsidRPr="003C57E7">
        <w:rPr>
          <w:rFonts w:ascii="Verdana" w:hAnsi="Verdana" w:cs="Arial"/>
          <w:sz w:val="20"/>
          <w:szCs w:val="20"/>
          <w:lang w:val="it-IT"/>
        </w:rPr>
        <w:t>1.566</w:t>
      </w:r>
      <w:r w:rsidR="00122E87" w:rsidRPr="003C57E7">
        <w:rPr>
          <w:rFonts w:ascii="Verdana" w:hAnsi="Verdana" w:cs="Arial"/>
          <w:sz w:val="20"/>
          <w:szCs w:val="20"/>
          <w:lang w:val="it-IT"/>
        </w:rPr>
        <w:t xml:space="preserve"> hilj</w:t>
      </w:r>
      <w:r w:rsidR="009129A8" w:rsidRPr="003C57E7">
        <w:rPr>
          <w:rFonts w:ascii="Verdana" w:hAnsi="Verdana" w:cs="Arial"/>
          <w:sz w:val="20"/>
          <w:szCs w:val="20"/>
          <w:lang w:val="it-IT"/>
        </w:rPr>
        <w:t>. KM</w:t>
      </w:r>
      <w:r w:rsidRPr="003C57E7">
        <w:rPr>
          <w:rFonts w:ascii="Verdana" w:hAnsi="Verdana" w:cs="Arial"/>
          <w:sz w:val="20"/>
          <w:szCs w:val="20"/>
          <w:lang w:val="it-IT"/>
        </w:rPr>
        <w:t>,</w:t>
      </w:r>
      <w:r w:rsidR="009129A8" w:rsidRPr="003C57E7">
        <w:rPr>
          <w:rFonts w:ascii="Verdana" w:hAnsi="Verdana" w:cs="Arial"/>
          <w:sz w:val="20"/>
          <w:szCs w:val="20"/>
          <w:lang w:val="it-IT"/>
        </w:rPr>
        <w:t xml:space="preserve"> čini </w:t>
      </w:r>
      <w:r w:rsidR="003C57E7" w:rsidRPr="003C57E7">
        <w:rPr>
          <w:rFonts w:ascii="Verdana" w:hAnsi="Verdana" w:cs="Arial"/>
          <w:sz w:val="20"/>
          <w:szCs w:val="20"/>
          <w:lang w:val="it-IT"/>
        </w:rPr>
        <w:t>13,96</w:t>
      </w:r>
      <w:r w:rsidR="009129A8" w:rsidRPr="003C57E7">
        <w:rPr>
          <w:rFonts w:ascii="Verdana" w:hAnsi="Verdana" w:cs="Arial"/>
          <w:sz w:val="20"/>
          <w:szCs w:val="20"/>
          <w:lang w:val="it-IT"/>
        </w:rPr>
        <w:t xml:space="preserve">% poslovne pasive </w:t>
      </w:r>
      <w:r w:rsidR="009129A8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u odnosu na 31.12.202</w:t>
      </w:r>
      <w:r w:rsidR="003C57E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3</w:t>
      </w:r>
      <w:r w:rsidR="009129A8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. godine porastao je</w:t>
      </w:r>
      <w:r w:rsidR="00CF1F34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(+)</w:t>
      </w:r>
      <w:r w:rsidR="009129A8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</w:t>
      </w:r>
      <w:r w:rsidR="003C57E7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12</w:t>
      </w:r>
      <w:r w:rsidR="00A225C4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p.p.</w:t>
      </w:r>
    </w:p>
    <w:p w14:paraId="12E00799" w14:textId="7DB84875" w:rsidR="001D6CD9" w:rsidRPr="003C57E7" w:rsidRDefault="009129A8" w:rsidP="00D77A4C">
      <w:pPr>
        <w:pStyle w:val="ListParagraph"/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lang w:val="it-IT"/>
        </w:rPr>
      </w:pPr>
      <w:r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Rast pokazatelja kapitala je procentualno </w:t>
      </w:r>
      <w:r w:rsidR="00A225C4" w:rsidRPr="003C57E7">
        <w:rPr>
          <w:rFonts w:ascii="Verdana" w:hAnsi="Verdana" w:cstheme="majorHAnsi"/>
          <w:color w:val="000000"/>
          <w:sz w:val="20"/>
          <w:szCs w:val="20"/>
          <w:lang w:val="it-IT"/>
        </w:rPr>
        <w:t>iznad</w:t>
      </w:r>
      <w:r w:rsidRPr="003C57E7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prosjeka mikrokredtnog sektora Republike Srpske.</w:t>
      </w:r>
    </w:p>
    <w:p w14:paraId="548F7436" w14:textId="24ECF966" w:rsidR="009129A8" w:rsidRPr="00443FF0" w:rsidRDefault="000742E4" w:rsidP="00D77A4C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</w:pPr>
      <w:r w:rsidRPr="00443FF0">
        <w:rPr>
          <w:rFonts w:ascii="Verdana" w:hAnsi="Verdana" w:cstheme="majorHAnsi"/>
          <w:b/>
          <w:bCs/>
          <w:sz w:val="20"/>
          <w:szCs w:val="20"/>
          <w:lang w:val="it-IT"/>
        </w:rPr>
        <w:t>Bruto dobit</w:t>
      </w:r>
      <w:r w:rsidR="009129A8" w:rsidRPr="00443FF0">
        <w:rPr>
          <w:rFonts w:ascii="Verdana" w:hAnsi="Verdana" w:cstheme="majorHAnsi"/>
          <w:b/>
          <w:bCs/>
          <w:sz w:val="20"/>
          <w:szCs w:val="20"/>
          <w:lang w:val="it-IT"/>
        </w:rPr>
        <w:t xml:space="preserve"> na 31.12.202</w:t>
      </w:r>
      <w:r w:rsidR="003C57E7" w:rsidRPr="00443FF0">
        <w:rPr>
          <w:rFonts w:ascii="Verdana" w:hAnsi="Verdana" w:cstheme="majorHAnsi"/>
          <w:b/>
          <w:bCs/>
          <w:sz w:val="20"/>
          <w:szCs w:val="20"/>
          <w:lang w:val="it-IT"/>
        </w:rPr>
        <w:t>4</w:t>
      </w:r>
      <w:r w:rsidR="009129A8" w:rsidRPr="00443FF0">
        <w:rPr>
          <w:rFonts w:ascii="Verdana" w:hAnsi="Verdana" w:cstheme="majorHAnsi"/>
          <w:b/>
          <w:bCs/>
          <w:sz w:val="20"/>
          <w:szCs w:val="20"/>
          <w:lang w:val="it-IT"/>
        </w:rPr>
        <w:t>. godine iznosi:</w:t>
      </w:r>
      <w:r w:rsidR="009129A8" w:rsidRPr="00443FF0">
        <w:rPr>
          <w:rFonts w:ascii="Verdana" w:hAnsi="Verdana" w:cstheme="majorHAnsi"/>
          <w:sz w:val="20"/>
          <w:szCs w:val="20"/>
          <w:lang w:val="it-IT"/>
        </w:rPr>
        <w:t xml:space="preserve"> </w:t>
      </w:r>
      <w:r w:rsidR="009129A8" w:rsidRPr="00443FF0">
        <w:rPr>
          <w:rFonts w:ascii="Verdana" w:hAnsi="Verdana" w:cs="Arial"/>
          <w:sz w:val="20"/>
          <w:szCs w:val="20"/>
          <w:lang w:val="it-IT"/>
        </w:rPr>
        <w:t xml:space="preserve">U MKO </w:t>
      </w:r>
      <w:r w:rsidR="009129A8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sa sjedištem u Republici Srpskoj </w:t>
      </w:r>
      <w:r w:rsidR="00443FF0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>58.040</w:t>
      </w:r>
      <w:r w:rsidR="00A22296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hilj</w:t>
      </w:r>
      <w:r w:rsidR="009129A8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. KM, veća </w:t>
      </w:r>
      <w:r w:rsidR="004E3665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je </w:t>
      </w:r>
      <w:r w:rsidR="009129A8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>u odnosu na 31.12.202</w:t>
      </w:r>
      <w:r w:rsidR="00443FF0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>3</w:t>
      </w:r>
      <w:r w:rsidR="009129A8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>. godine za</w:t>
      </w:r>
      <w:r w:rsidR="00196716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(+)</w:t>
      </w:r>
      <w:r w:rsidR="009129A8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</w:t>
      </w:r>
      <w:r w:rsidR="00443FF0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>26</w:t>
      </w:r>
      <w:r w:rsidR="00A22296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p.p.</w:t>
      </w:r>
    </w:p>
    <w:p w14:paraId="1E6A2BF0" w14:textId="4E338AF8" w:rsidR="009129A8" w:rsidRPr="00443FF0" w:rsidRDefault="004E3665" w:rsidP="00D77A4C">
      <w:pPr>
        <w:pStyle w:val="ListParagraph"/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lang w:val="it-IT"/>
        </w:rPr>
      </w:pPr>
      <w:r w:rsidRPr="00443FF0">
        <w:rPr>
          <w:rFonts w:ascii="Verdana" w:hAnsi="Verdana" w:cstheme="majorHAnsi"/>
          <w:color w:val="000000"/>
          <w:sz w:val="20"/>
          <w:szCs w:val="20"/>
          <w:lang w:val="it-IT"/>
        </w:rPr>
        <w:t>U</w:t>
      </w:r>
      <w:r w:rsidR="009129A8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Društvu iznosi </w:t>
      </w:r>
      <w:r w:rsidR="00443FF0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577 </w:t>
      </w:r>
      <w:r w:rsidR="00A22296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>hilj.</w:t>
      </w:r>
      <w:r w:rsidR="009129A8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KM, veća je u odnosu na 31.12.202</w:t>
      </w:r>
      <w:r w:rsidR="00443FF0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>3</w:t>
      </w:r>
      <w:r w:rsidR="009129A8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. godine za </w:t>
      </w:r>
      <w:r w:rsidR="00196716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(+) </w:t>
      </w:r>
      <w:r w:rsidR="00443FF0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>45</w:t>
      </w:r>
      <w:r w:rsidR="00A22296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p.p.</w:t>
      </w:r>
    </w:p>
    <w:p w14:paraId="6A245460" w14:textId="12B9B10A" w:rsidR="009129A8" w:rsidRPr="00443FF0" w:rsidRDefault="009129A8" w:rsidP="00D77A4C">
      <w:pPr>
        <w:pStyle w:val="ListParagraph"/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lang w:val="it-IT"/>
        </w:rPr>
      </w:pPr>
      <w:r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Rast pokazatelja </w:t>
      </w:r>
      <w:r w:rsidR="00443FF0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>bruto</w:t>
      </w:r>
      <w:r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dobiti je procentualno </w:t>
      </w:r>
      <w:r w:rsidR="00443FF0" w:rsidRPr="00443FF0">
        <w:rPr>
          <w:rFonts w:ascii="Verdana" w:hAnsi="Verdana" w:cstheme="majorHAnsi"/>
          <w:color w:val="000000"/>
          <w:sz w:val="20"/>
          <w:szCs w:val="20"/>
          <w:lang w:val="it-IT"/>
        </w:rPr>
        <w:t>iznad</w:t>
      </w:r>
      <w:r w:rsidRPr="00443FF0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prosjeka mikrokredtnog sektora Republike Srpske.</w:t>
      </w:r>
    </w:p>
    <w:p w14:paraId="57E00BB7" w14:textId="289EC980" w:rsidR="009129A8" w:rsidRPr="00786B06" w:rsidRDefault="009129A8" w:rsidP="00D77A4C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lang w:val="it-IT"/>
        </w:rPr>
      </w:pPr>
      <w:r w:rsidRPr="00443FF0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Prinos</w:t>
      </w:r>
      <w:r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 xml:space="preserve"> na ukupnu aktivu (ROA</w:t>
      </w:r>
      <w:r w:rsidR="000742E4"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=neto dobit/ukupna</w:t>
      </w:r>
      <w:r w:rsidR="00443FF0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 xml:space="preserve"> </w:t>
      </w:r>
      <w:r w:rsidR="000742E4"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imovina</w:t>
      </w:r>
      <w:r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) na 31.12.202</w:t>
      </w:r>
      <w:r w:rsidR="00443FF0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4</w:t>
      </w:r>
      <w:r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. godine iznos</w:t>
      </w:r>
      <w:r w:rsidRPr="00786B06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i: na nivou MKO sa sjedištem u Republici Srpskoj  </w:t>
      </w:r>
      <w:r w:rsidR="00443FF0">
        <w:rPr>
          <w:rFonts w:ascii="Verdana" w:hAnsi="Verdana" w:cstheme="majorHAnsi"/>
          <w:color w:val="000000"/>
          <w:sz w:val="20"/>
          <w:szCs w:val="20"/>
          <w:lang w:val="it-IT"/>
        </w:rPr>
        <w:t>7,14</w:t>
      </w:r>
      <w:r w:rsidRPr="00786B06">
        <w:rPr>
          <w:rFonts w:ascii="Verdana" w:hAnsi="Verdana" w:cstheme="majorHAnsi"/>
          <w:color w:val="000000"/>
          <w:sz w:val="20"/>
          <w:szCs w:val="20"/>
          <w:lang w:val="it-IT"/>
        </w:rPr>
        <w:t>%</w:t>
      </w:r>
      <w:r w:rsidR="00786B06">
        <w:rPr>
          <w:rFonts w:ascii="Verdana" w:hAnsi="Verdana" w:cstheme="majorHAnsi"/>
          <w:color w:val="000000"/>
          <w:sz w:val="20"/>
          <w:szCs w:val="20"/>
          <w:lang w:val="it-IT"/>
        </w:rPr>
        <w:t>, a n</w:t>
      </w:r>
      <w:r w:rsidRPr="00786B06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a nivou Društva </w:t>
      </w:r>
      <w:r w:rsidR="00443FF0">
        <w:rPr>
          <w:rFonts w:ascii="Verdana" w:hAnsi="Verdana" w:cstheme="majorHAnsi"/>
          <w:color w:val="000000"/>
          <w:sz w:val="20"/>
          <w:szCs w:val="20"/>
          <w:lang w:val="it-IT"/>
        </w:rPr>
        <w:t>4,62</w:t>
      </w:r>
      <w:r w:rsidRPr="00786B06">
        <w:rPr>
          <w:rFonts w:ascii="Verdana" w:hAnsi="Verdana" w:cstheme="majorHAnsi"/>
          <w:color w:val="000000"/>
          <w:sz w:val="20"/>
          <w:szCs w:val="20"/>
          <w:lang w:val="it-IT"/>
        </w:rPr>
        <w:t>%.</w:t>
      </w:r>
    </w:p>
    <w:p w14:paraId="492E48EA" w14:textId="5BF5534D" w:rsidR="009129A8" w:rsidRPr="000742E4" w:rsidRDefault="009129A8" w:rsidP="00D77A4C">
      <w:pPr>
        <w:pStyle w:val="ListParagraph"/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lang w:val="it-IT"/>
        </w:rPr>
      </w:pPr>
      <w:r w:rsidRPr="000742E4">
        <w:rPr>
          <w:rFonts w:ascii="Verdana" w:hAnsi="Verdana" w:cstheme="majorHAnsi"/>
          <w:color w:val="000000"/>
          <w:sz w:val="20"/>
          <w:szCs w:val="20"/>
          <w:lang w:val="it-IT"/>
        </w:rPr>
        <w:t>Rast pokazatelja prinosa na ukupnu aktivu</w:t>
      </w:r>
      <w:r w:rsidR="00786B06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Društva</w:t>
      </w:r>
      <w:r w:rsidRPr="000742E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je procentualno </w:t>
      </w:r>
      <w:r w:rsidR="00443FF0">
        <w:rPr>
          <w:rFonts w:ascii="Verdana" w:hAnsi="Verdana" w:cstheme="majorHAnsi"/>
          <w:color w:val="000000"/>
          <w:sz w:val="20"/>
          <w:szCs w:val="20"/>
          <w:lang w:val="it-IT"/>
        </w:rPr>
        <w:t>ispod</w:t>
      </w:r>
      <w:r w:rsidRPr="000742E4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prosjeka mikrokredtnog sektora Republike Srpske.</w:t>
      </w:r>
    </w:p>
    <w:p w14:paraId="73B85F01" w14:textId="32D95099" w:rsidR="009129A8" w:rsidRDefault="009129A8" w:rsidP="00D77A4C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lang w:val="it-IT"/>
        </w:rPr>
      </w:pPr>
      <w:r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 xml:space="preserve">Prinos na </w:t>
      </w:r>
      <w:r w:rsidR="00F84510"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sopstveni k</w:t>
      </w:r>
      <w:r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apital</w:t>
      </w:r>
      <w:r w:rsidR="000742E4"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 xml:space="preserve"> (ROE = neto dobit/ukupan kapital)</w:t>
      </w:r>
      <w:r w:rsidR="00786B06"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 xml:space="preserve"> na</w:t>
      </w:r>
      <w:r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 xml:space="preserve"> 31.12.202</w:t>
      </w:r>
      <w:r w:rsidR="00443FF0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4</w:t>
      </w:r>
      <w:r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. godine</w:t>
      </w:r>
      <w:r w:rsidR="00786B06"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 xml:space="preserve"> iznosi</w:t>
      </w:r>
      <w:r w:rsidRPr="00786B06">
        <w:rPr>
          <w:rFonts w:ascii="Verdana" w:hAnsi="Verdana" w:cstheme="majorHAnsi"/>
          <w:b/>
          <w:bCs/>
          <w:color w:val="000000"/>
          <w:sz w:val="20"/>
          <w:szCs w:val="20"/>
          <w:lang w:val="it-IT"/>
        </w:rPr>
        <w:t>:</w:t>
      </w:r>
      <w:r w:rsidRPr="00786B06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u MKO sa sjedištem u Republici Srpskoj </w:t>
      </w:r>
      <w:r w:rsidR="00443FF0">
        <w:rPr>
          <w:rFonts w:ascii="Verdana" w:hAnsi="Verdana" w:cstheme="majorHAnsi"/>
          <w:color w:val="000000"/>
          <w:sz w:val="20"/>
          <w:szCs w:val="20"/>
          <w:lang w:val="it-IT"/>
        </w:rPr>
        <w:t>29,61</w:t>
      </w:r>
      <w:r w:rsidRPr="00786B06">
        <w:rPr>
          <w:rFonts w:ascii="Verdana" w:hAnsi="Verdana" w:cstheme="majorHAnsi"/>
          <w:color w:val="000000"/>
          <w:sz w:val="20"/>
          <w:szCs w:val="20"/>
          <w:lang w:val="it-IT"/>
        </w:rPr>
        <w:t>%</w:t>
      </w:r>
      <w:r w:rsidR="00786B06" w:rsidRPr="00786B06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a </w:t>
      </w:r>
      <w:r w:rsidR="00786B06">
        <w:rPr>
          <w:rFonts w:ascii="Verdana" w:hAnsi="Verdana" w:cstheme="majorHAnsi"/>
          <w:color w:val="000000"/>
          <w:sz w:val="20"/>
          <w:szCs w:val="20"/>
          <w:lang w:val="it-IT"/>
        </w:rPr>
        <w:t>n</w:t>
      </w:r>
      <w:r w:rsidRPr="00786B06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a nivou Društva </w:t>
      </w:r>
      <w:r w:rsidR="00443FF0">
        <w:rPr>
          <w:rFonts w:ascii="Verdana" w:hAnsi="Verdana" w:cstheme="majorHAnsi"/>
          <w:color w:val="000000"/>
          <w:sz w:val="20"/>
          <w:szCs w:val="20"/>
          <w:lang w:val="it-IT"/>
        </w:rPr>
        <w:t>33,14</w:t>
      </w:r>
      <w:r w:rsidRPr="00786B06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% (prinos na </w:t>
      </w:r>
      <w:r w:rsidR="00F84510" w:rsidRPr="00786B06">
        <w:rPr>
          <w:rFonts w:ascii="Verdana" w:hAnsi="Verdana" w:cstheme="majorHAnsi"/>
          <w:color w:val="000000"/>
          <w:sz w:val="20"/>
          <w:szCs w:val="20"/>
          <w:lang w:val="it-IT"/>
        </w:rPr>
        <w:t>osnovni</w:t>
      </w:r>
      <w:r w:rsidRPr="00786B06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 kapital </w:t>
      </w:r>
      <w:r w:rsidR="00786B06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Društva </w:t>
      </w:r>
      <w:r w:rsidRPr="00786B06">
        <w:rPr>
          <w:rFonts w:ascii="Verdana" w:hAnsi="Verdana" w:cstheme="majorHAnsi"/>
          <w:color w:val="000000"/>
          <w:sz w:val="20"/>
          <w:szCs w:val="20"/>
          <w:lang w:val="it-IT"/>
        </w:rPr>
        <w:t xml:space="preserve">iznosi </w:t>
      </w:r>
      <w:r w:rsidR="00443FF0">
        <w:rPr>
          <w:rFonts w:ascii="Verdana" w:hAnsi="Verdana" w:cstheme="majorHAnsi"/>
          <w:color w:val="000000"/>
          <w:sz w:val="20"/>
          <w:szCs w:val="20"/>
          <w:lang w:val="it-IT"/>
        </w:rPr>
        <w:t>51,90</w:t>
      </w:r>
      <w:r w:rsidRPr="00786B06">
        <w:rPr>
          <w:rFonts w:ascii="Verdana" w:hAnsi="Verdana" w:cstheme="majorHAnsi"/>
          <w:color w:val="000000"/>
          <w:sz w:val="20"/>
          <w:szCs w:val="20"/>
          <w:lang w:val="it-IT"/>
        </w:rPr>
        <w:t>%).</w:t>
      </w:r>
    </w:p>
    <w:p w14:paraId="763E3C8D" w14:textId="77777777" w:rsidR="00786B06" w:rsidRPr="00786B06" w:rsidRDefault="00786B06" w:rsidP="00D77A4C">
      <w:pPr>
        <w:pStyle w:val="ListParagraph"/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lang w:val="it-IT"/>
        </w:rPr>
      </w:pPr>
    </w:p>
    <w:p w14:paraId="0321AFF0" w14:textId="77777777" w:rsidR="009129A8" w:rsidRDefault="009129A8" w:rsidP="00D77A4C">
      <w:pPr>
        <w:pStyle w:val="ListParagraph"/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lang w:val="it-IT"/>
        </w:rPr>
      </w:pPr>
      <w:r w:rsidRPr="00196716">
        <w:rPr>
          <w:rFonts w:ascii="Verdana" w:hAnsi="Verdana" w:cstheme="majorHAnsi"/>
          <w:color w:val="000000"/>
          <w:sz w:val="20"/>
          <w:szCs w:val="20"/>
          <w:lang w:val="it-IT"/>
        </w:rPr>
        <w:t>Rast pokazatelja prinosa na ukupan kapital je procentualno iznad prosjeka mikrokredtnog sektora Republike Srpske.</w:t>
      </w:r>
    </w:p>
    <w:p w14:paraId="6E01C64C" w14:textId="77777777" w:rsidR="00C20EE7" w:rsidRDefault="00C20EE7" w:rsidP="00D77A4C">
      <w:pPr>
        <w:pStyle w:val="ListParagraph"/>
        <w:spacing w:after="0"/>
        <w:ind w:left="0" w:firstLine="0"/>
        <w:rPr>
          <w:rFonts w:ascii="Verdana" w:hAnsi="Verdana" w:cstheme="majorHAnsi"/>
          <w:color w:val="000000"/>
          <w:sz w:val="20"/>
          <w:szCs w:val="20"/>
          <w:lang w:val="it-IT"/>
        </w:rPr>
      </w:pPr>
    </w:p>
    <w:p w14:paraId="71ACA750" w14:textId="1B6C78DD" w:rsidR="00DD4E03" w:rsidRPr="00210A67" w:rsidRDefault="00A47F94" w:rsidP="00A47F94">
      <w:pPr>
        <w:pStyle w:val="Heading1"/>
        <w:numPr>
          <w:ilvl w:val="0"/>
          <w:numId w:val="0"/>
        </w:numPr>
        <w:rPr>
          <w:rFonts w:ascii="Verdana" w:hAnsi="Verdana" w:cs="Arial"/>
          <w:color w:val="auto"/>
          <w:sz w:val="22"/>
          <w:szCs w:val="22"/>
          <w:lang w:val="it-IT"/>
        </w:rPr>
      </w:pPr>
      <w:bookmarkStart w:id="4" w:name="_Toc72918242"/>
      <w:r w:rsidRPr="00210A67">
        <w:rPr>
          <w:rFonts w:ascii="Verdana" w:hAnsi="Verdana" w:cs="Arial"/>
          <w:color w:val="auto"/>
          <w:sz w:val="22"/>
          <w:szCs w:val="22"/>
          <w:lang w:val="it-IT"/>
        </w:rPr>
        <w:t>8. F</w:t>
      </w:r>
      <w:r w:rsidR="00077EE4" w:rsidRPr="00210A67">
        <w:rPr>
          <w:rFonts w:ascii="Verdana" w:hAnsi="Verdana" w:cs="Arial"/>
          <w:color w:val="auto"/>
          <w:sz w:val="22"/>
          <w:szCs w:val="22"/>
          <w:lang w:val="it-IT"/>
        </w:rPr>
        <w:t>INANSIJSKE INFORMACIJE</w:t>
      </w:r>
      <w:bookmarkEnd w:id="4"/>
    </w:p>
    <w:p w14:paraId="7797A98C" w14:textId="77777777" w:rsidR="00C20EE7" w:rsidRPr="00210A67" w:rsidRDefault="00C20EE7" w:rsidP="00C20EE7">
      <w:pPr>
        <w:rPr>
          <w:lang w:val="it-IT"/>
        </w:rPr>
      </w:pPr>
    </w:p>
    <w:p w14:paraId="42C6321B" w14:textId="58F51E59" w:rsidR="00192A85" w:rsidRPr="00210A67" w:rsidRDefault="00210A67" w:rsidP="00210A67">
      <w:pPr>
        <w:pStyle w:val="Heading1"/>
        <w:numPr>
          <w:ilvl w:val="0"/>
          <w:numId w:val="0"/>
        </w:numPr>
        <w:ind w:left="90"/>
        <w:rPr>
          <w:rFonts w:ascii="Verdana" w:hAnsi="Verdana" w:cs="Arial"/>
          <w:color w:val="auto"/>
          <w:sz w:val="20"/>
          <w:szCs w:val="20"/>
          <w:lang w:val="it-IT"/>
        </w:rPr>
      </w:pPr>
      <w:bookmarkStart w:id="5" w:name="_Toc72918244"/>
      <w:r w:rsidRPr="00210A67">
        <w:rPr>
          <w:rFonts w:ascii="Verdana" w:hAnsi="Verdana" w:cs="Arial"/>
          <w:color w:val="auto"/>
          <w:sz w:val="20"/>
          <w:szCs w:val="20"/>
          <w:lang w:val="it-IT"/>
        </w:rPr>
        <w:t xml:space="preserve">a) </w:t>
      </w:r>
      <w:r w:rsidR="00192A85" w:rsidRPr="00210A67">
        <w:rPr>
          <w:rFonts w:ascii="Verdana" w:hAnsi="Verdana" w:cs="Arial"/>
          <w:color w:val="auto"/>
          <w:sz w:val="20"/>
          <w:szCs w:val="20"/>
          <w:lang w:val="it-IT"/>
        </w:rPr>
        <w:t>Skraćeni godišnji finansijski izvještaji</w:t>
      </w:r>
      <w:bookmarkEnd w:id="5"/>
    </w:p>
    <w:p w14:paraId="7DBD96C5" w14:textId="77777777" w:rsidR="003D260C" w:rsidRPr="00210A67" w:rsidRDefault="003D260C" w:rsidP="003D260C">
      <w:pPr>
        <w:rPr>
          <w:lang w:val="it-IT"/>
        </w:rPr>
      </w:pPr>
    </w:p>
    <w:p w14:paraId="4F7CEA05" w14:textId="77777777" w:rsidR="003D260C" w:rsidRDefault="00192A85" w:rsidP="005774E0">
      <w:pPr>
        <w:jc w:val="both"/>
        <w:rPr>
          <w:rFonts w:ascii="Verdana" w:hAnsi="Verdana" w:cs="Arial"/>
          <w:sz w:val="20"/>
          <w:szCs w:val="20"/>
          <w:lang w:val="sr-Latn-CS"/>
        </w:rPr>
      </w:pPr>
      <w:r w:rsidRPr="00425127">
        <w:rPr>
          <w:rFonts w:ascii="Verdana" w:hAnsi="Verdana" w:cs="Arial"/>
          <w:sz w:val="20"/>
          <w:szCs w:val="20"/>
          <w:lang w:val="sr-Latn-CS"/>
        </w:rPr>
        <w:t xml:space="preserve">U nastavku </w:t>
      </w:r>
      <w:proofErr w:type="spellStart"/>
      <w:r w:rsidRPr="00425127">
        <w:rPr>
          <w:rFonts w:ascii="Verdana" w:hAnsi="Verdana" w:cs="Arial"/>
          <w:sz w:val="20"/>
          <w:szCs w:val="20"/>
          <w:lang w:val="sr-Latn-CS"/>
        </w:rPr>
        <w:t>slijedi</w:t>
      </w:r>
      <w:proofErr w:type="spellEnd"/>
      <w:r w:rsidRPr="00425127">
        <w:rPr>
          <w:rFonts w:ascii="Verdana" w:hAnsi="Verdana" w:cs="Arial"/>
          <w:sz w:val="20"/>
          <w:szCs w:val="20"/>
          <w:lang w:val="sr-Latn-CS"/>
        </w:rPr>
        <w:t xml:space="preserve"> prikaz skraćenih godišnjih finansijskih </w:t>
      </w:r>
      <w:proofErr w:type="spellStart"/>
      <w:r w:rsidRPr="00425127">
        <w:rPr>
          <w:rFonts w:ascii="Verdana" w:hAnsi="Verdana" w:cs="Arial"/>
          <w:sz w:val="20"/>
          <w:szCs w:val="20"/>
          <w:lang w:val="sr-Latn-CS"/>
        </w:rPr>
        <w:t>izvještaja</w:t>
      </w:r>
      <w:proofErr w:type="spellEnd"/>
      <w:r w:rsidRPr="00425127">
        <w:rPr>
          <w:rFonts w:ascii="Verdana" w:hAnsi="Verdana" w:cs="Arial"/>
          <w:sz w:val="20"/>
          <w:szCs w:val="20"/>
          <w:lang w:val="sr-Latn-CS"/>
        </w:rPr>
        <w:t xml:space="preserve"> Društva za </w:t>
      </w:r>
      <w:r w:rsidR="00B16D76" w:rsidRPr="00425127">
        <w:rPr>
          <w:rFonts w:ascii="Verdana" w:hAnsi="Verdana" w:cs="Arial"/>
          <w:sz w:val="20"/>
          <w:szCs w:val="20"/>
          <w:lang w:val="sr-Latn-CS"/>
        </w:rPr>
        <w:t>202</w:t>
      </w:r>
      <w:r w:rsidR="00292B34">
        <w:rPr>
          <w:rFonts w:ascii="Verdana" w:hAnsi="Verdana" w:cs="Arial"/>
          <w:sz w:val="20"/>
          <w:szCs w:val="20"/>
          <w:lang w:val="sr-Latn-CS"/>
        </w:rPr>
        <w:t>3</w:t>
      </w:r>
      <w:r w:rsidR="009A293D">
        <w:rPr>
          <w:rFonts w:ascii="Verdana" w:hAnsi="Verdana" w:cs="Arial"/>
          <w:sz w:val="20"/>
          <w:szCs w:val="20"/>
          <w:lang w:val="sr-Latn-CS"/>
        </w:rPr>
        <w:t>.</w:t>
      </w:r>
      <w:r w:rsidRPr="00425127">
        <w:rPr>
          <w:rFonts w:ascii="Verdana" w:hAnsi="Verdana" w:cs="Arial"/>
          <w:sz w:val="20"/>
          <w:szCs w:val="20"/>
          <w:lang w:val="sr-Latn-CS"/>
        </w:rPr>
        <w:t xml:space="preserve"> i 20</w:t>
      </w:r>
      <w:r w:rsidR="00CB06A6" w:rsidRPr="00425127">
        <w:rPr>
          <w:rFonts w:ascii="Verdana" w:hAnsi="Verdana" w:cs="Arial"/>
          <w:sz w:val="20"/>
          <w:szCs w:val="20"/>
          <w:lang w:val="sr-Latn-CS"/>
        </w:rPr>
        <w:t>2</w:t>
      </w:r>
      <w:r w:rsidR="00292B34">
        <w:rPr>
          <w:rFonts w:ascii="Verdana" w:hAnsi="Verdana" w:cs="Arial"/>
          <w:sz w:val="20"/>
          <w:szCs w:val="20"/>
          <w:lang w:val="sr-Latn-CS"/>
        </w:rPr>
        <w:t>4</w:t>
      </w:r>
      <w:r w:rsidRPr="00425127">
        <w:rPr>
          <w:rFonts w:ascii="Verdana" w:hAnsi="Verdana" w:cs="Arial"/>
          <w:sz w:val="20"/>
          <w:szCs w:val="20"/>
          <w:lang w:val="sr-Latn-CS"/>
        </w:rPr>
        <w:t>. go</w:t>
      </w:r>
      <w:r w:rsidR="003D260C">
        <w:rPr>
          <w:rFonts w:ascii="Verdana" w:hAnsi="Verdana" w:cs="Arial"/>
          <w:sz w:val="20"/>
          <w:szCs w:val="20"/>
          <w:lang w:val="sr-Latn-CS"/>
        </w:rPr>
        <w:t>dinu.</w:t>
      </w:r>
    </w:p>
    <w:p w14:paraId="0A2765D2" w14:textId="1D61E438" w:rsidR="003D260C" w:rsidRDefault="003D260C" w:rsidP="005774E0">
      <w:pPr>
        <w:jc w:val="both"/>
        <w:rPr>
          <w:rFonts w:ascii="Verdana" w:hAnsi="Verdana" w:cs="Arial"/>
          <w:sz w:val="20"/>
          <w:szCs w:val="20"/>
          <w:lang w:val="sr-Latn-CS"/>
        </w:rPr>
      </w:pPr>
      <w:r w:rsidRPr="003D260C">
        <w:rPr>
          <w:noProof/>
        </w:rPr>
        <w:drawing>
          <wp:inline distT="0" distB="0" distL="0" distR="0" wp14:anchorId="2D55CF59" wp14:editId="19736CCC">
            <wp:extent cx="5760720" cy="5793740"/>
            <wp:effectExtent l="0" t="0" r="0" b="0"/>
            <wp:docPr id="1128981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E9596" w14:textId="77777777" w:rsidR="003D260C" w:rsidRDefault="003D260C" w:rsidP="005774E0">
      <w:pPr>
        <w:jc w:val="both"/>
        <w:rPr>
          <w:rFonts w:ascii="Verdana" w:hAnsi="Verdana" w:cs="Arial"/>
          <w:sz w:val="20"/>
          <w:szCs w:val="20"/>
          <w:lang w:val="sr-Latn-CS"/>
        </w:rPr>
      </w:pPr>
    </w:p>
    <w:p w14:paraId="27C76585" w14:textId="48DB0BF9" w:rsidR="008D2638" w:rsidRDefault="00644CEA" w:rsidP="001D6CD9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  <w:r w:rsidRPr="00425127">
        <w:rPr>
          <w:rFonts w:cs="Arial"/>
          <w:sz w:val="20"/>
          <w:szCs w:val="20"/>
          <w:lang w:val="sr-Latn-CS"/>
        </w:rPr>
        <w:t>→</w:t>
      </w:r>
      <w:r w:rsidRPr="00425127">
        <w:rPr>
          <w:rFonts w:ascii="Verdana" w:hAnsi="Verdana" w:cs="Arial"/>
          <w:sz w:val="20"/>
          <w:szCs w:val="20"/>
          <w:lang w:val="sr-Latn-CS"/>
        </w:rPr>
        <w:t xml:space="preserve"> </w:t>
      </w:r>
      <w:r w:rsidRPr="009A293D">
        <w:rPr>
          <w:rFonts w:ascii="Verdana" w:hAnsi="Verdana" w:cs="Arial"/>
          <w:b/>
          <w:sz w:val="20"/>
          <w:szCs w:val="20"/>
          <w:lang w:val="sr-Latn-CS"/>
        </w:rPr>
        <w:t xml:space="preserve">Aktiva </w:t>
      </w:r>
      <w:r w:rsidR="00E658C5" w:rsidRPr="009A293D">
        <w:rPr>
          <w:rFonts w:ascii="Verdana" w:hAnsi="Verdana" w:cs="Arial"/>
          <w:sz w:val="20"/>
          <w:szCs w:val="20"/>
          <w:lang w:val="sr-Latn-CS"/>
        </w:rPr>
        <w:t>-</w:t>
      </w:r>
      <w:r w:rsidRPr="009A293D">
        <w:rPr>
          <w:rFonts w:ascii="Verdana" w:hAnsi="Verdana" w:cs="Arial"/>
          <w:sz w:val="20"/>
          <w:szCs w:val="20"/>
          <w:lang w:val="sr-Latn-CS"/>
        </w:rPr>
        <w:t xml:space="preserve"> U</w:t>
      </w:r>
      <w:r w:rsidR="00E3695B" w:rsidRPr="009A293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E3695B" w:rsidRPr="009A293D">
        <w:rPr>
          <w:rFonts w:ascii="Verdana" w:hAnsi="Verdana" w:cs="Arial"/>
          <w:sz w:val="20"/>
          <w:szCs w:val="20"/>
          <w:lang w:val="sr-Latn-CS"/>
        </w:rPr>
        <w:t>izvještajnoj</w:t>
      </w:r>
      <w:proofErr w:type="spellEnd"/>
      <w:r w:rsidR="00E3695B" w:rsidRPr="009A293D">
        <w:rPr>
          <w:rFonts w:ascii="Verdana" w:hAnsi="Verdana" w:cs="Arial"/>
          <w:sz w:val="20"/>
          <w:szCs w:val="20"/>
          <w:lang w:val="sr-Latn-CS"/>
        </w:rPr>
        <w:t xml:space="preserve"> 202</w:t>
      </w:r>
      <w:r w:rsidR="00302A0E">
        <w:rPr>
          <w:rFonts w:ascii="Verdana" w:hAnsi="Verdana" w:cs="Arial"/>
          <w:sz w:val="20"/>
          <w:szCs w:val="20"/>
          <w:lang w:val="sr-Latn-CS"/>
        </w:rPr>
        <w:t>4</w:t>
      </w:r>
      <w:r w:rsidR="00E3695B" w:rsidRPr="009A293D">
        <w:rPr>
          <w:rFonts w:ascii="Verdana" w:hAnsi="Verdana" w:cs="Arial"/>
          <w:sz w:val="20"/>
          <w:szCs w:val="20"/>
          <w:lang w:val="sr-Latn-CS"/>
        </w:rPr>
        <w:t xml:space="preserve">. godini  </w:t>
      </w:r>
      <w:r w:rsidR="00786B06">
        <w:rPr>
          <w:rFonts w:ascii="Verdana" w:hAnsi="Verdana" w:cs="Arial"/>
          <w:sz w:val="20"/>
          <w:szCs w:val="20"/>
          <w:lang w:val="sr-Latn-CS"/>
        </w:rPr>
        <w:t>ukupn</w:t>
      </w:r>
      <w:r w:rsidR="00666BCB">
        <w:rPr>
          <w:rFonts w:ascii="Verdana" w:hAnsi="Verdana" w:cs="Arial"/>
          <w:sz w:val="20"/>
          <w:szCs w:val="20"/>
          <w:lang w:val="sr-Latn-CS"/>
        </w:rPr>
        <w:t xml:space="preserve">neto </w:t>
      </w:r>
      <w:r w:rsidR="00E3695B" w:rsidRPr="009A293D">
        <w:rPr>
          <w:rFonts w:ascii="Verdana" w:hAnsi="Verdana" w:cs="Arial"/>
          <w:sz w:val="20"/>
          <w:szCs w:val="20"/>
          <w:lang w:val="sr-Latn-CS"/>
        </w:rPr>
        <w:t>aktiva Društva</w:t>
      </w:r>
      <w:r w:rsidR="00786B06">
        <w:rPr>
          <w:rFonts w:ascii="Verdana" w:hAnsi="Verdana" w:cs="Arial"/>
          <w:sz w:val="20"/>
          <w:szCs w:val="20"/>
          <w:lang w:val="sr-Latn-CS"/>
        </w:rPr>
        <w:t xml:space="preserve"> (bilansna i vanbilansna)</w:t>
      </w:r>
      <w:r w:rsidR="00E3695B" w:rsidRPr="009A293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666BCB">
        <w:rPr>
          <w:rFonts w:ascii="Verdana" w:hAnsi="Verdana" w:cs="Arial"/>
          <w:sz w:val="20"/>
          <w:szCs w:val="20"/>
          <w:lang w:val="sr-Latn-CS"/>
        </w:rPr>
        <w:t xml:space="preserve">u </w:t>
      </w:r>
      <w:proofErr w:type="spellStart"/>
      <w:r w:rsidR="00666BCB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="00666BCB">
        <w:rPr>
          <w:rFonts w:ascii="Verdana" w:hAnsi="Verdana" w:cs="Arial"/>
          <w:sz w:val="20"/>
          <w:szCs w:val="20"/>
          <w:lang w:val="sr-Latn-CS"/>
        </w:rPr>
        <w:t xml:space="preserve"> od </w:t>
      </w:r>
      <w:r w:rsidR="00302A0E">
        <w:rPr>
          <w:rFonts w:ascii="Verdana" w:hAnsi="Verdana" w:cs="Arial"/>
          <w:sz w:val="20"/>
          <w:szCs w:val="20"/>
          <w:lang w:val="sr-Latn-CS"/>
        </w:rPr>
        <w:t>11.823</w:t>
      </w:r>
      <w:r w:rsidR="00666BCB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666BCB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666BCB">
        <w:rPr>
          <w:rFonts w:ascii="Verdana" w:hAnsi="Verdana" w:cs="Arial"/>
          <w:sz w:val="20"/>
          <w:szCs w:val="20"/>
          <w:lang w:val="sr-Latn-CS"/>
        </w:rPr>
        <w:t>. KM</w:t>
      </w:r>
      <w:r w:rsidR="008B1068" w:rsidRPr="009A293D">
        <w:rPr>
          <w:rFonts w:ascii="Verdana" w:hAnsi="Verdana" w:cs="Arial"/>
          <w:sz w:val="20"/>
          <w:szCs w:val="20"/>
          <w:lang w:val="sr-Latn-CS"/>
        </w:rPr>
        <w:t xml:space="preserve"> je u odnosu na prerhodnu poslovnu godinu ve</w:t>
      </w:r>
      <w:r w:rsidR="00194264" w:rsidRPr="009A293D">
        <w:rPr>
          <w:rFonts w:ascii="Verdana" w:hAnsi="Verdana" w:cs="Arial"/>
          <w:sz w:val="20"/>
          <w:szCs w:val="20"/>
          <w:lang w:val="sr-Latn-CS"/>
        </w:rPr>
        <w:t>ć</w:t>
      </w:r>
      <w:r w:rsidR="008B1068" w:rsidRPr="009A293D">
        <w:rPr>
          <w:rFonts w:ascii="Verdana" w:hAnsi="Verdana" w:cs="Arial"/>
          <w:sz w:val="20"/>
          <w:szCs w:val="20"/>
          <w:lang w:val="sr-Latn-CS"/>
        </w:rPr>
        <w:t>a za</w:t>
      </w:r>
      <w:r w:rsidR="00E3695B" w:rsidRPr="009A293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AD7F7E" w:rsidRPr="009A293D">
        <w:rPr>
          <w:rFonts w:ascii="Verdana" w:hAnsi="Verdana" w:cs="Arial"/>
          <w:sz w:val="20"/>
          <w:szCs w:val="20"/>
          <w:lang w:val="sr-Latn-CS"/>
        </w:rPr>
        <w:t xml:space="preserve">(+) </w:t>
      </w:r>
      <w:r w:rsidR="00302A0E">
        <w:rPr>
          <w:rFonts w:ascii="Verdana" w:hAnsi="Verdana" w:cs="Arial"/>
          <w:sz w:val="20"/>
          <w:szCs w:val="20"/>
          <w:lang w:val="sr-Latn-CS"/>
        </w:rPr>
        <w:t>41.01</w:t>
      </w:r>
      <w:r w:rsidR="00786B06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786B06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8B1068" w:rsidRPr="009A293D">
        <w:rPr>
          <w:rFonts w:ascii="Verdana" w:hAnsi="Verdana" w:cs="Arial"/>
          <w:sz w:val="20"/>
          <w:szCs w:val="20"/>
          <w:lang w:val="sr-Latn-CS"/>
        </w:rPr>
        <w:t>.</w:t>
      </w:r>
      <w:r w:rsidR="00E3695B" w:rsidRPr="009A293D">
        <w:rPr>
          <w:rFonts w:ascii="Verdana" w:hAnsi="Verdana" w:cs="Arial"/>
          <w:sz w:val="20"/>
          <w:szCs w:val="20"/>
          <w:lang w:val="sr-Latn-CS"/>
        </w:rPr>
        <w:t xml:space="preserve"> ili u apsolutnom iznosu </w:t>
      </w:r>
      <w:r w:rsidR="00AD7F7E" w:rsidRPr="009A293D">
        <w:rPr>
          <w:rFonts w:ascii="Verdana" w:hAnsi="Verdana" w:cs="Arial"/>
          <w:sz w:val="20"/>
          <w:szCs w:val="20"/>
          <w:lang w:val="sr-Latn-CS"/>
        </w:rPr>
        <w:t xml:space="preserve">(+) </w:t>
      </w:r>
      <w:r w:rsidR="00302A0E">
        <w:rPr>
          <w:rFonts w:ascii="Verdana" w:hAnsi="Verdana" w:cs="Arial"/>
          <w:sz w:val="20"/>
          <w:szCs w:val="20"/>
          <w:lang w:val="sr-Latn-CS"/>
        </w:rPr>
        <w:t>3.438</w:t>
      </w:r>
      <w:r w:rsidR="006549D6" w:rsidRPr="009A293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E3695B" w:rsidRPr="009A293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E3695B" w:rsidRPr="009A293D">
        <w:rPr>
          <w:rFonts w:ascii="Verdana" w:hAnsi="Verdana" w:cs="Arial"/>
          <w:sz w:val="20"/>
          <w:szCs w:val="20"/>
          <w:lang w:val="sr-Latn-CS"/>
        </w:rPr>
        <w:t>. KM</w:t>
      </w:r>
      <w:r w:rsidR="008D2638">
        <w:rPr>
          <w:rFonts w:ascii="Verdana" w:hAnsi="Verdana" w:cs="Arial"/>
          <w:sz w:val="20"/>
          <w:szCs w:val="20"/>
          <w:lang w:val="sr-Latn-CS"/>
        </w:rPr>
        <w:t xml:space="preserve">. U </w:t>
      </w:r>
      <w:proofErr w:type="spellStart"/>
      <w:r w:rsidR="008D2638">
        <w:rPr>
          <w:rFonts w:ascii="Verdana" w:hAnsi="Verdana" w:cs="Arial"/>
          <w:sz w:val="20"/>
          <w:szCs w:val="20"/>
          <w:lang w:val="sr-Latn-CS"/>
        </w:rPr>
        <w:t>stukturi</w:t>
      </w:r>
      <w:proofErr w:type="spellEnd"/>
      <w:r w:rsidR="008D2638">
        <w:rPr>
          <w:rFonts w:ascii="Verdana" w:hAnsi="Verdana" w:cs="Arial"/>
          <w:sz w:val="20"/>
          <w:szCs w:val="20"/>
          <w:lang w:val="sr-Latn-CS"/>
        </w:rPr>
        <w:t xml:space="preserve"> neto aktive </w:t>
      </w:r>
      <w:proofErr w:type="spellStart"/>
      <w:r w:rsidR="008D2638">
        <w:rPr>
          <w:rFonts w:ascii="Verdana" w:hAnsi="Verdana" w:cs="Arial"/>
          <w:sz w:val="20"/>
          <w:szCs w:val="20"/>
          <w:lang w:val="sr-Latn-CS"/>
        </w:rPr>
        <w:t>učestviuju</w:t>
      </w:r>
      <w:proofErr w:type="spellEnd"/>
      <w:r w:rsidR="008D2638">
        <w:rPr>
          <w:rFonts w:ascii="Verdana" w:hAnsi="Verdana" w:cs="Arial"/>
          <w:sz w:val="20"/>
          <w:szCs w:val="20"/>
          <w:lang w:val="sr-Latn-CS"/>
        </w:rPr>
        <w:t xml:space="preserve"> sledeći značajni pokazatelji poslovanja:</w:t>
      </w:r>
    </w:p>
    <w:p w14:paraId="6A7744BF" w14:textId="77777777" w:rsidR="00786B06" w:rsidRDefault="00786B06" w:rsidP="001D6CD9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</w:p>
    <w:p w14:paraId="1DCEB263" w14:textId="4C2F85E1" w:rsidR="005D7625" w:rsidRPr="0038642A" w:rsidRDefault="005D7625" w:rsidP="001C1543">
      <w:pPr>
        <w:pStyle w:val="ListParagraph"/>
        <w:numPr>
          <w:ilvl w:val="0"/>
          <w:numId w:val="26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r w:rsidRPr="0038642A">
        <w:rPr>
          <w:rFonts w:ascii="Verdana" w:hAnsi="Verdana" w:cs="Arial"/>
          <w:sz w:val="20"/>
          <w:szCs w:val="20"/>
          <w:lang w:val="sr-Latn-CS"/>
        </w:rPr>
        <w:t>F</w:t>
      </w:r>
      <w:r w:rsidR="008D2638" w:rsidRPr="0038642A">
        <w:rPr>
          <w:rFonts w:ascii="Verdana" w:hAnsi="Verdana" w:cs="Arial"/>
          <w:sz w:val="20"/>
          <w:szCs w:val="20"/>
          <w:lang w:val="sr-Latn-CS"/>
        </w:rPr>
        <w:t>inansi</w:t>
      </w:r>
      <w:r w:rsidR="004A1602">
        <w:rPr>
          <w:rFonts w:ascii="Verdana" w:hAnsi="Verdana" w:cs="Arial"/>
          <w:sz w:val="20"/>
          <w:szCs w:val="20"/>
          <w:lang w:val="sr-Latn-CS"/>
        </w:rPr>
        <w:t>j</w:t>
      </w:r>
      <w:r w:rsidR="008D2638" w:rsidRPr="0038642A">
        <w:rPr>
          <w:rFonts w:ascii="Verdana" w:hAnsi="Verdana" w:cs="Arial"/>
          <w:sz w:val="20"/>
          <w:szCs w:val="20"/>
          <w:lang w:val="sr-Latn-CS"/>
        </w:rPr>
        <w:t>ska sredstva</w:t>
      </w:r>
      <w:r w:rsidR="009007AB">
        <w:rPr>
          <w:rFonts w:ascii="Verdana" w:hAnsi="Verdana" w:cs="Arial"/>
          <w:sz w:val="20"/>
          <w:szCs w:val="20"/>
          <w:lang w:val="sr-Latn-CS"/>
        </w:rPr>
        <w:t>,</w:t>
      </w:r>
      <w:r w:rsidR="008D2638" w:rsidRPr="0038642A">
        <w:rPr>
          <w:rFonts w:ascii="Verdana" w:hAnsi="Verdana" w:cs="Arial"/>
          <w:sz w:val="20"/>
          <w:szCs w:val="20"/>
          <w:lang w:val="sr-Latn-CS"/>
        </w:rPr>
        <w:t xml:space="preserve"> </w:t>
      </w:r>
      <w:r w:rsidRPr="0038642A">
        <w:rPr>
          <w:rFonts w:ascii="Verdana" w:hAnsi="Verdana" w:cs="Arial"/>
          <w:sz w:val="20"/>
          <w:szCs w:val="20"/>
          <w:lang w:val="sr-Latn-CS"/>
        </w:rPr>
        <w:t xml:space="preserve">apsolutne </w:t>
      </w:r>
      <w:proofErr w:type="spellStart"/>
      <w:r w:rsidR="008D2638" w:rsidRPr="0038642A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="008D2638" w:rsidRPr="0038642A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DE451B">
        <w:rPr>
          <w:rFonts w:ascii="Verdana" w:hAnsi="Verdana" w:cs="Arial"/>
          <w:sz w:val="20"/>
          <w:szCs w:val="20"/>
          <w:lang w:val="sr-Latn-CS"/>
        </w:rPr>
        <w:t xml:space="preserve">10.185 </w:t>
      </w:r>
      <w:proofErr w:type="spellStart"/>
      <w:r w:rsidR="008D2638" w:rsidRPr="0038642A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8D2638" w:rsidRPr="0038642A">
        <w:rPr>
          <w:rFonts w:ascii="Verdana" w:hAnsi="Verdana" w:cs="Arial"/>
          <w:sz w:val="20"/>
          <w:szCs w:val="20"/>
          <w:lang w:val="sr-Latn-CS"/>
        </w:rPr>
        <w:t>. KM</w:t>
      </w:r>
      <w:r w:rsidR="009007AB">
        <w:rPr>
          <w:rFonts w:ascii="Verdana" w:hAnsi="Verdana" w:cs="Arial"/>
          <w:sz w:val="20"/>
          <w:szCs w:val="20"/>
          <w:lang w:val="sr-Latn-CS"/>
        </w:rPr>
        <w:t>,</w:t>
      </w:r>
      <w:r w:rsidRPr="0038642A">
        <w:rPr>
          <w:rFonts w:ascii="Verdana" w:hAnsi="Verdana" w:cs="Arial"/>
          <w:sz w:val="20"/>
          <w:szCs w:val="20"/>
          <w:lang w:val="sr-Latn-CS"/>
        </w:rPr>
        <w:t xml:space="preserve"> predstavljaju </w:t>
      </w:r>
      <w:r w:rsidR="002C2E36">
        <w:rPr>
          <w:rFonts w:ascii="Verdana" w:hAnsi="Verdana" w:cs="Arial"/>
          <w:sz w:val="20"/>
          <w:szCs w:val="20"/>
          <w:lang w:val="sr-Latn-CS"/>
        </w:rPr>
        <w:t>86,14</w:t>
      </w:r>
      <w:r w:rsidR="008D2638" w:rsidRPr="0038642A">
        <w:rPr>
          <w:rFonts w:ascii="Verdana" w:hAnsi="Verdana" w:cs="Arial"/>
          <w:sz w:val="20"/>
          <w:szCs w:val="20"/>
          <w:lang w:val="sr-Latn-CS"/>
        </w:rPr>
        <w:t>%</w:t>
      </w:r>
      <w:r w:rsidRPr="0038642A">
        <w:rPr>
          <w:rFonts w:ascii="Verdana" w:hAnsi="Verdana" w:cs="Arial"/>
          <w:sz w:val="20"/>
          <w:szCs w:val="20"/>
          <w:lang w:val="sr-Latn-CS"/>
        </w:rPr>
        <w:t xml:space="preserve"> ukupne aktive. </w:t>
      </w:r>
      <w:r w:rsidR="009007AB">
        <w:rPr>
          <w:rFonts w:ascii="Verdana" w:hAnsi="Verdana" w:cs="Arial"/>
          <w:sz w:val="20"/>
          <w:szCs w:val="20"/>
          <w:lang w:val="sr-Latn-CS"/>
        </w:rPr>
        <w:t xml:space="preserve">U </w:t>
      </w:r>
      <w:r w:rsidRPr="0038642A">
        <w:rPr>
          <w:rFonts w:ascii="Verdana" w:hAnsi="Verdana" w:cs="Arial"/>
          <w:sz w:val="20"/>
          <w:szCs w:val="20"/>
          <w:lang w:val="sr-Latn-CS"/>
        </w:rPr>
        <w:t>odnosu na prethodnu poslovnu godinu ostva</w:t>
      </w:r>
      <w:r w:rsidR="009007AB">
        <w:rPr>
          <w:rFonts w:ascii="Verdana" w:hAnsi="Verdana" w:cs="Arial"/>
          <w:sz w:val="20"/>
          <w:szCs w:val="20"/>
          <w:lang w:val="sr-Latn-CS"/>
        </w:rPr>
        <w:t xml:space="preserve">ren je </w:t>
      </w:r>
      <w:r w:rsidRPr="0038642A">
        <w:rPr>
          <w:rFonts w:ascii="Verdana" w:hAnsi="Verdana" w:cs="Arial"/>
          <w:sz w:val="20"/>
          <w:szCs w:val="20"/>
          <w:lang w:val="sr-Latn-CS"/>
        </w:rPr>
        <w:t xml:space="preserve">rast apsolutne </w:t>
      </w:r>
      <w:proofErr w:type="spellStart"/>
      <w:r w:rsidRPr="0038642A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38642A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8D2638" w:rsidRPr="0038642A">
        <w:rPr>
          <w:rFonts w:ascii="Verdana" w:hAnsi="Verdana" w:cs="Arial"/>
          <w:sz w:val="20"/>
          <w:szCs w:val="20"/>
          <w:lang w:val="sr-Latn-CS"/>
        </w:rPr>
        <w:t>(+) 2.</w:t>
      </w:r>
      <w:r w:rsidR="002C2E36">
        <w:rPr>
          <w:rFonts w:ascii="Verdana" w:hAnsi="Verdana" w:cs="Arial"/>
          <w:sz w:val="20"/>
          <w:szCs w:val="20"/>
          <w:lang w:val="sr-Latn-CS"/>
        </w:rPr>
        <w:t>178</w:t>
      </w:r>
      <w:r w:rsidR="008D2638" w:rsidRPr="0038642A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8D2638" w:rsidRPr="0038642A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8D2638" w:rsidRPr="0038642A"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2C2E36">
        <w:rPr>
          <w:rFonts w:ascii="Verdana" w:hAnsi="Verdana" w:cs="Arial"/>
          <w:sz w:val="20"/>
          <w:szCs w:val="20"/>
          <w:lang w:val="sr-Latn-CS"/>
        </w:rPr>
        <w:t>27.21</w:t>
      </w:r>
      <w:r w:rsidR="008D2638" w:rsidRPr="0038642A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52360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952360">
        <w:rPr>
          <w:rFonts w:ascii="Verdana" w:hAnsi="Verdana" w:cs="Arial"/>
          <w:sz w:val="20"/>
          <w:szCs w:val="20"/>
          <w:lang w:val="sr-Latn-CS"/>
        </w:rPr>
        <w:t>.</w:t>
      </w:r>
    </w:p>
    <w:p w14:paraId="496BBFDB" w14:textId="3DC2B910" w:rsidR="00952360" w:rsidRDefault="005D7625" w:rsidP="008C5F1A">
      <w:pPr>
        <w:pStyle w:val="ListParagraph"/>
        <w:numPr>
          <w:ilvl w:val="0"/>
          <w:numId w:val="26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r w:rsidRPr="00952360">
        <w:rPr>
          <w:rFonts w:ascii="Verdana" w:hAnsi="Verdana" w:cs="Arial"/>
          <w:sz w:val="20"/>
          <w:szCs w:val="20"/>
          <w:lang w:val="sr-Latn-CS"/>
        </w:rPr>
        <w:t>Gotovina i gotovinski ekvivalenti</w:t>
      </w:r>
      <w:r w:rsidR="009007AB" w:rsidRPr="00952360">
        <w:rPr>
          <w:rFonts w:ascii="Verdana" w:hAnsi="Verdana" w:cs="Arial"/>
          <w:sz w:val="20"/>
          <w:szCs w:val="20"/>
          <w:lang w:val="sr-Latn-CS"/>
        </w:rPr>
        <w:t>,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apsolutne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2C2E36">
        <w:rPr>
          <w:rFonts w:ascii="Verdana" w:hAnsi="Verdana" w:cs="Arial"/>
          <w:sz w:val="20"/>
          <w:szCs w:val="20"/>
          <w:lang w:val="sr-Latn-CS"/>
        </w:rPr>
        <w:t>898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>. KM</w:t>
      </w:r>
      <w:r w:rsidR="009007AB" w:rsidRPr="00952360">
        <w:rPr>
          <w:rFonts w:ascii="Verdana" w:hAnsi="Verdana" w:cs="Arial"/>
          <w:sz w:val="20"/>
          <w:szCs w:val="20"/>
          <w:lang w:val="sr-Latn-CS"/>
        </w:rPr>
        <w:t>,</w:t>
      </w:r>
      <w:r w:rsidR="0038642A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predstavljaju </w:t>
      </w:r>
      <w:r w:rsidR="002C2E36">
        <w:rPr>
          <w:rFonts w:ascii="Verdana" w:hAnsi="Verdana" w:cs="Arial"/>
          <w:sz w:val="20"/>
          <w:szCs w:val="20"/>
          <w:lang w:val="sr-Latn-CS"/>
        </w:rPr>
        <w:t>7,60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% ukupne aktive. </w:t>
      </w:r>
      <w:r w:rsidR="009007AB" w:rsidRPr="00952360">
        <w:rPr>
          <w:rFonts w:ascii="Verdana" w:hAnsi="Verdana" w:cs="Arial"/>
          <w:sz w:val="20"/>
          <w:szCs w:val="20"/>
          <w:lang w:val="sr-Latn-CS"/>
        </w:rPr>
        <w:t>U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odnosu na prethodnu poslovnu godinu ostvar</w:t>
      </w:r>
      <w:r w:rsidR="009007AB" w:rsidRPr="00952360">
        <w:rPr>
          <w:rFonts w:ascii="Verdana" w:hAnsi="Verdana" w:cs="Arial"/>
          <w:sz w:val="20"/>
          <w:szCs w:val="20"/>
          <w:lang w:val="sr-Latn-CS"/>
        </w:rPr>
        <w:t>en je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rast apsolutne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  (+)</w:t>
      </w:r>
      <w:r w:rsidR="00786B06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2C2E36">
        <w:rPr>
          <w:rFonts w:ascii="Verdana" w:hAnsi="Verdana" w:cs="Arial"/>
          <w:sz w:val="20"/>
          <w:szCs w:val="20"/>
          <w:lang w:val="sr-Latn-CS"/>
        </w:rPr>
        <w:t>562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>. KM ili (+)</w:t>
      </w:r>
      <w:r w:rsidR="0038642A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2C2E36">
        <w:rPr>
          <w:rFonts w:ascii="Verdana" w:hAnsi="Verdana" w:cs="Arial"/>
          <w:sz w:val="20"/>
          <w:szCs w:val="20"/>
          <w:lang w:val="sr-Latn-CS"/>
        </w:rPr>
        <w:t>67,38</w:t>
      </w:r>
      <w:r w:rsidR="00952360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52360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952360">
        <w:rPr>
          <w:rFonts w:ascii="Verdana" w:hAnsi="Verdana" w:cs="Arial"/>
          <w:sz w:val="20"/>
          <w:szCs w:val="20"/>
          <w:lang w:val="sr-Latn-CS"/>
        </w:rPr>
        <w:t xml:space="preserve">. </w:t>
      </w:r>
    </w:p>
    <w:p w14:paraId="561E65CC" w14:textId="3DE1CC48" w:rsidR="00952360" w:rsidRPr="00952360" w:rsidRDefault="0038642A" w:rsidP="008C5F1A">
      <w:pPr>
        <w:pStyle w:val="ListParagraph"/>
        <w:numPr>
          <w:ilvl w:val="0"/>
          <w:numId w:val="26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r w:rsidRPr="00952360">
        <w:rPr>
          <w:rFonts w:ascii="Verdana" w:hAnsi="Verdana" w:cs="Arial"/>
          <w:sz w:val="20"/>
          <w:szCs w:val="20"/>
          <w:lang w:val="sr-Latn-CS"/>
        </w:rPr>
        <w:t>Ostali pokazatelji poslovanja</w:t>
      </w:r>
      <w:r w:rsidR="00064D43">
        <w:rPr>
          <w:rFonts w:ascii="Verdana" w:hAnsi="Verdana" w:cs="Arial"/>
          <w:sz w:val="20"/>
          <w:szCs w:val="20"/>
          <w:lang w:val="sr-Latn-CS"/>
        </w:rPr>
        <w:t xml:space="preserve"> (nekretnine postrojenja i oprema, nematerijalna sredstva , ostala sredstva i potraživanja)</w:t>
      </w:r>
      <w:r w:rsidR="00A5239F" w:rsidRPr="00952360">
        <w:rPr>
          <w:rFonts w:ascii="Verdana" w:hAnsi="Verdana" w:cs="Arial"/>
          <w:sz w:val="20"/>
          <w:szCs w:val="20"/>
          <w:lang w:val="sr-Latn-CS"/>
        </w:rPr>
        <w:t>,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apsolutne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2C2E36">
        <w:rPr>
          <w:rFonts w:ascii="Verdana" w:hAnsi="Verdana" w:cs="Arial"/>
          <w:sz w:val="20"/>
          <w:szCs w:val="20"/>
          <w:lang w:val="sr-Latn-CS"/>
        </w:rPr>
        <w:t>1</w:t>
      </w:r>
      <w:r w:rsidR="000D604D">
        <w:rPr>
          <w:rFonts w:ascii="Verdana" w:hAnsi="Verdana" w:cs="Arial"/>
          <w:sz w:val="20"/>
          <w:szCs w:val="20"/>
          <w:lang w:val="sr-Latn-CS"/>
        </w:rPr>
        <w:t>37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>. KM</w:t>
      </w:r>
      <w:r w:rsidR="00A5239F" w:rsidRPr="00952360">
        <w:rPr>
          <w:rFonts w:ascii="Verdana" w:hAnsi="Verdana" w:cs="Arial"/>
          <w:sz w:val="20"/>
          <w:szCs w:val="20"/>
          <w:lang w:val="sr-Latn-CS"/>
        </w:rPr>
        <w:t>,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predstavljaju </w:t>
      </w:r>
      <w:r w:rsidR="002C2E36">
        <w:rPr>
          <w:rFonts w:ascii="Verdana" w:hAnsi="Verdana" w:cs="Arial"/>
          <w:sz w:val="20"/>
          <w:szCs w:val="20"/>
          <w:lang w:val="sr-Latn-CS"/>
        </w:rPr>
        <w:t>1,16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% ukupne aktive. U odnosu na prethodnu poslovnu godinu </w:t>
      </w:r>
      <w:r w:rsidR="00A5239F" w:rsidRPr="00952360">
        <w:rPr>
          <w:rFonts w:ascii="Verdana" w:hAnsi="Verdana" w:cs="Arial"/>
          <w:sz w:val="20"/>
          <w:szCs w:val="20"/>
          <w:lang w:val="sr-Latn-CS"/>
        </w:rPr>
        <w:t xml:space="preserve">ostvaren je 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rast </w:t>
      </w:r>
      <w:r w:rsidR="007A1BFF" w:rsidRPr="00952360">
        <w:rPr>
          <w:rFonts w:ascii="Verdana" w:hAnsi="Verdana" w:cs="Arial"/>
          <w:sz w:val="20"/>
          <w:szCs w:val="20"/>
          <w:lang w:val="sr-Latn-CS"/>
        </w:rPr>
        <w:t xml:space="preserve">u </w:t>
      </w:r>
      <w:proofErr w:type="spellStart"/>
      <w:r w:rsidR="007A1BFF" w:rsidRPr="00952360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="007A1BFF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(+) </w:t>
      </w:r>
      <w:r w:rsidR="00845A0D">
        <w:rPr>
          <w:rFonts w:ascii="Verdana" w:hAnsi="Verdana" w:cs="Arial"/>
          <w:sz w:val="20"/>
          <w:szCs w:val="20"/>
          <w:lang w:val="sr-Latn-CS"/>
        </w:rPr>
        <w:t xml:space="preserve">123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. KM ili  (+) </w:t>
      </w:r>
      <w:r w:rsidR="00845A0D">
        <w:rPr>
          <w:rFonts w:ascii="Verdana" w:hAnsi="Verdana" w:cs="Arial"/>
          <w:sz w:val="20"/>
          <w:szCs w:val="20"/>
          <w:lang w:val="sr-Latn-CS"/>
        </w:rPr>
        <w:t>307.5</w:t>
      </w:r>
      <w:r w:rsidR="00952360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52360" w:rsidRPr="00952360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952360" w:rsidRPr="00952360">
        <w:rPr>
          <w:rFonts w:ascii="Verdana" w:hAnsi="Verdana" w:cs="Arial"/>
          <w:sz w:val="20"/>
          <w:szCs w:val="20"/>
          <w:lang w:val="sr-Latn-CS"/>
        </w:rPr>
        <w:t xml:space="preserve">. </w:t>
      </w:r>
    </w:p>
    <w:p w14:paraId="235FC673" w14:textId="759CD982" w:rsidR="00523F9E" w:rsidRDefault="00994904" w:rsidP="002674B2">
      <w:pPr>
        <w:pStyle w:val="ListParagraph"/>
        <w:numPr>
          <w:ilvl w:val="0"/>
          <w:numId w:val="26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r w:rsidRPr="000D604D">
        <w:rPr>
          <w:rFonts w:ascii="Verdana" w:hAnsi="Verdana" w:cs="Arial"/>
          <w:sz w:val="20"/>
          <w:szCs w:val="20"/>
          <w:lang w:val="sr-Latn-CS"/>
        </w:rPr>
        <w:t xml:space="preserve">Vanbilansna aktiva, apsolutne </w:t>
      </w:r>
      <w:proofErr w:type="spellStart"/>
      <w:r w:rsidRPr="000D604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0D604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845A0D" w:rsidRPr="000D604D">
        <w:rPr>
          <w:rFonts w:ascii="Verdana" w:hAnsi="Verdana" w:cs="Arial"/>
          <w:sz w:val="20"/>
          <w:szCs w:val="20"/>
          <w:lang w:val="sr-Latn-CS"/>
        </w:rPr>
        <w:t>60</w:t>
      </w:r>
      <w:r w:rsidR="000D604D">
        <w:rPr>
          <w:rFonts w:ascii="Verdana" w:hAnsi="Verdana" w:cs="Arial"/>
          <w:sz w:val="20"/>
          <w:szCs w:val="20"/>
          <w:lang w:val="sr-Latn-CS"/>
        </w:rPr>
        <w:t>3</w:t>
      </w:r>
      <w:r w:rsidRPr="000D604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0D604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0D604D">
        <w:rPr>
          <w:rFonts w:ascii="Verdana" w:hAnsi="Verdana" w:cs="Arial"/>
          <w:sz w:val="20"/>
          <w:szCs w:val="20"/>
          <w:lang w:val="sr-Latn-CS"/>
        </w:rPr>
        <w:t xml:space="preserve">. KM, predstavlja </w:t>
      </w:r>
      <w:r w:rsidR="00845A0D" w:rsidRPr="000D604D">
        <w:rPr>
          <w:rFonts w:ascii="Verdana" w:hAnsi="Verdana" w:cs="Arial"/>
          <w:sz w:val="20"/>
          <w:szCs w:val="20"/>
          <w:lang w:val="sr-Latn-CS"/>
        </w:rPr>
        <w:t>5,</w:t>
      </w:r>
      <w:r w:rsidR="000D604D">
        <w:rPr>
          <w:rFonts w:ascii="Verdana" w:hAnsi="Verdana" w:cs="Arial"/>
          <w:sz w:val="20"/>
          <w:szCs w:val="20"/>
          <w:lang w:val="sr-Latn-CS"/>
        </w:rPr>
        <w:t>10</w:t>
      </w:r>
      <w:r w:rsidRPr="000D604D">
        <w:rPr>
          <w:rFonts w:ascii="Verdana" w:hAnsi="Verdana" w:cs="Arial"/>
          <w:sz w:val="20"/>
          <w:szCs w:val="20"/>
          <w:lang w:val="sr-Latn-CS"/>
        </w:rPr>
        <w:t>% ukupne aktive. U odnosu na prethodnu poslovnu godinu ostva</w:t>
      </w:r>
      <w:r w:rsidR="00A5239F" w:rsidRPr="000D604D">
        <w:rPr>
          <w:rFonts w:ascii="Verdana" w:hAnsi="Verdana" w:cs="Arial"/>
          <w:sz w:val="20"/>
          <w:szCs w:val="20"/>
          <w:lang w:val="sr-Latn-CS"/>
        </w:rPr>
        <w:t>ren</w:t>
      </w:r>
      <w:r w:rsidRPr="000D604D">
        <w:rPr>
          <w:rFonts w:ascii="Verdana" w:hAnsi="Verdana" w:cs="Arial"/>
          <w:sz w:val="20"/>
          <w:szCs w:val="20"/>
          <w:lang w:val="sr-Latn-CS"/>
        </w:rPr>
        <w:t xml:space="preserve"> je </w:t>
      </w:r>
      <w:r w:rsidR="00845A0D" w:rsidRPr="000D604D">
        <w:rPr>
          <w:rFonts w:ascii="Verdana" w:hAnsi="Verdana" w:cs="Arial"/>
          <w:sz w:val="20"/>
          <w:szCs w:val="20"/>
          <w:lang w:val="sr-Latn-CS"/>
        </w:rPr>
        <w:t xml:space="preserve">rast u </w:t>
      </w:r>
      <w:proofErr w:type="spellStart"/>
      <w:r w:rsidR="00845A0D" w:rsidRPr="000D604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0D604D">
        <w:rPr>
          <w:rFonts w:ascii="Verdana" w:hAnsi="Verdana" w:cs="Arial"/>
          <w:sz w:val="20"/>
          <w:szCs w:val="20"/>
          <w:lang w:val="sr-Latn-CS"/>
        </w:rPr>
        <w:t xml:space="preserve"> (</w:t>
      </w:r>
      <w:r w:rsidR="00845A0D" w:rsidRPr="000D604D">
        <w:rPr>
          <w:rFonts w:ascii="Verdana" w:hAnsi="Verdana" w:cs="Arial"/>
          <w:sz w:val="20"/>
          <w:szCs w:val="20"/>
          <w:lang w:val="sr-Latn-CS"/>
        </w:rPr>
        <w:t>+</w:t>
      </w:r>
      <w:r w:rsidRPr="000D604D">
        <w:rPr>
          <w:rFonts w:ascii="Verdana" w:hAnsi="Verdana" w:cs="Arial"/>
          <w:sz w:val="20"/>
          <w:szCs w:val="20"/>
          <w:lang w:val="sr-Latn-CS"/>
        </w:rPr>
        <w:t xml:space="preserve">) </w:t>
      </w:r>
      <w:r w:rsidR="000D604D" w:rsidRPr="000D604D">
        <w:rPr>
          <w:rFonts w:ascii="Verdana" w:hAnsi="Verdana" w:cs="Arial"/>
          <w:sz w:val="20"/>
          <w:szCs w:val="20"/>
          <w:lang w:val="sr-Latn-CS"/>
        </w:rPr>
        <w:t>601</w:t>
      </w:r>
      <w:r w:rsidR="00952360" w:rsidRPr="000D604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0D604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0D604D">
        <w:rPr>
          <w:rFonts w:ascii="Verdana" w:hAnsi="Verdana" w:cs="Arial"/>
          <w:sz w:val="20"/>
          <w:szCs w:val="20"/>
          <w:lang w:val="sr-Latn-CS"/>
        </w:rPr>
        <w:t>. KM,</w:t>
      </w:r>
    </w:p>
    <w:p w14:paraId="7C9BDEAC" w14:textId="77777777" w:rsidR="003D260C" w:rsidRPr="000D604D" w:rsidRDefault="003D260C" w:rsidP="003D260C">
      <w:pPr>
        <w:pStyle w:val="ListParagraph"/>
        <w:spacing w:after="0"/>
        <w:ind w:left="360" w:firstLine="0"/>
        <w:rPr>
          <w:rFonts w:ascii="Verdana" w:hAnsi="Verdana" w:cs="Arial"/>
          <w:sz w:val="20"/>
          <w:szCs w:val="20"/>
          <w:lang w:val="sr-Latn-CS"/>
        </w:rPr>
      </w:pPr>
    </w:p>
    <w:p w14:paraId="30FD3DBB" w14:textId="2742CDB9" w:rsidR="0038642A" w:rsidRDefault="00644CEA" w:rsidP="001D6CD9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  <w:r w:rsidRPr="009A293D">
        <w:rPr>
          <w:rFonts w:cs="Arial"/>
          <w:sz w:val="20"/>
          <w:szCs w:val="20"/>
          <w:lang w:val="sr-Latn-CS"/>
        </w:rPr>
        <w:t>→</w:t>
      </w:r>
      <w:r w:rsidRPr="009A293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Pr="009A293D">
        <w:rPr>
          <w:rFonts w:ascii="Verdana" w:hAnsi="Verdana" w:cs="Arial"/>
          <w:b/>
          <w:sz w:val="20"/>
          <w:szCs w:val="20"/>
          <w:lang w:val="sr-Latn-CS"/>
        </w:rPr>
        <w:t xml:space="preserve">Pasiva </w:t>
      </w:r>
      <w:r w:rsidRPr="009A293D">
        <w:rPr>
          <w:rFonts w:ascii="Verdana" w:hAnsi="Verdana" w:cs="Arial"/>
          <w:sz w:val="20"/>
          <w:szCs w:val="20"/>
          <w:lang w:val="sr-Latn-CS"/>
        </w:rPr>
        <w:t xml:space="preserve">– </w:t>
      </w:r>
      <w:r w:rsidR="00A51103" w:rsidRPr="009A293D">
        <w:rPr>
          <w:rFonts w:ascii="Verdana" w:hAnsi="Verdana" w:cs="Arial"/>
          <w:sz w:val="20"/>
          <w:szCs w:val="20"/>
          <w:lang w:val="sr-Latn-CS"/>
        </w:rPr>
        <w:t xml:space="preserve">U </w:t>
      </w:r>
      <w:proofErr w:type="spellStart"/>
      <w:r w:rsidR="00A51103" w:rsidRPr="009A293D">
        <w:rPr>
          <w:rFonts w:ascii="Verdana" w:hAnsi="Verdana" w:cs="Arial"/>
          <w:sz w:val="20"/>
          <w:szCs w:val="20"/>
          <w:lang w:val="sr-Latn-CS"/>
        </w:rPr>
        <w:t>izvještajnoj</w:t>
      </w:r>
      <w:proofErr w:type="spellEnd"/>
      <w:r w:rsidR="00A51103" w:rsidRPr="009A293D">
        <w:rPr>
          <w:rFonts w:ascii="Verdana" w:hAnsi="Verdana" w:cs="Arial"/>
          <w:sz w:val="20"/>
          <w:szCs w:val="20"/>
          <w:lang w:val="sr-Latn-CS"/>
        </w:rPr>
        <w:t xml:space="preserve"> 202</w:t>
      </w:r>
      <w:r w:rsidR="00452CF6">
        <w:rPr>
          <w:rFonts w:ascii="Verdana" w:hAnsi="Verdana" w:cs="Arial"/>
          <w:sz w:val="20"/>
          <w:szCs w:val="20"/>
          <w:lang w:val="sr-Latn-CS"/>
        </w:rPr>
        <w:t>4</w:t>
      </w:r>
      <w:r w:rsidR="00E658C5" w:rsidRPr="009A293D">
        <w:rPr>
          <w:rFonts w:ascii="Verdana" w:hAnsi="Verdana" w:cs="Arial"/>
          <w:sz w:val="20"/>
          <w:szCs w:val="20"/>
          <w:lang w:val="sr-Latn-CS"/>
        </w:rPr>
        <w:t>. godini  rast pasiv</w:t>
      </w:r>
      <w:r w:rsidR="005E5452" w:rsidRPr="009A293D">
        <w:rPr>
          <w:rFonts w:ascii="Verdana" w:hAnsi="Verdana" w:cs="Arial"/>
          <w:sz w:val="20"/>
          <w:szCs w:val="20"/>
          <w:lang w:val="sr-Latn-CS"/>
        </w:rPr>
        <w:t>e</w:t>
      </w:r>
      <w:r w:rsidR="00E658C5" w:rsidRPr="009A293D">
        <w:rPr>
          <w:rFonts w:ascii="Verdana" w:hAnsi="Verdana" w:cs="Arial"/>
          <w:sz w:val="20"/>
          <w:szCs w:val="20"/>
          <w:lang w:val="sr-Latn-CS"/>
        </w:rPr>
        <w:t xml:space="preserve"> je srazmjeran rastu neto aktive</w:t>
      </w:r>
      <w:r w:rsidR="00741CB1" w:rsidRPr="009A293D">
        <w:rPr>
          <w:rFonts w:ascii="Verdana" w:hAnsi="Verdana" w:cs="Arial"/>
          <w:sz w:val="20"/>
          <w:szCs w:val="20"/>
          <w:lang w:val="sr-Latn-CS"/>
        </w:rPr>
        <w:t xml:space="preserve"> kako u procentualnom tako i u apsolutnom iznosu</w:t>
      </w:r>
      <w:r w:rsidR="0038642A">
        <w:rPr>
          <w:rFonts w:ascii="Verdana" w:hAnsi="Verdana" w:cs="Arial"/>
          <w:sz w:val="20"/>
          <w:szCs w:val="20"/>
          <w:lang w:val="sr-Latn-CS"/>
        </w:rPr>
        <w:t>. U strukturi pasive učestvuju sledeći značajni pokazatelji poslovanja:</w:t>
      </w:r>
    </w:p>
    <w:p w14:paraId="0333ED64" w14:textId="77777777" w:rsidR="00786B06" w:rsidRDefault="00786B06" w:rsidP="001D6CD9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</w:p>
    <w:p w14:paraId="494E6E72" w14:textId="3756DF8E" w:rsidR="00952360" w:rsidRDefault="007A1BFF" w:rsidP="006062B7">
      <w:pPr>
        <w:pStyle w:val="ListParagraph"/>
        <w:numPr>
          <w:ilvl w:val="0"/>
          <w:numId w:val="27"/>
        </w:numPr>
        <w:spacing w:after="0"/>
        <w:ind w:left="360"/>
        <w:rPr>
          <w:rFonts w:ascii="Verdana" w:hAnsi="Verdana" w:cs="Arial"/>
          <w:sz w:val="20"/>
          <w:szCs w:val="20"/>
          <w:lang w:val="sr-Latn-CS"/>
        </w:rPr>
      </w:pPr>
      <w:r w:rsidRPr="00952360">
        <w:rPr>
          <w:rFonts w:ascii="Verdana" w:hAnsi="Verdana" w:cs="Arial"/>
          <w:sz w:val="20"/>
          <w:szCs w:val="20"/>
          <w:lang w:val="sr-Latn-CS"/>
        </w:rPr>
        <w:t>Uk</w:t>
      </w:r>
      <w:r w:rsidR="00B048E0">
        <w:rPr>
          <w:rFonts w:ascii="Verdana" w:hAnsi="Verdana" w:cs="Arial"/>
          <w:sz w:val="20"/>
          <w:szCs w:val="20"/>
          <w:lang w:val="sr-Latn-CS"/>
        </w:rPr>
        <w:t>u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pne obaveze, apsolutne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452CF6">
        <w:rPr>
          <w:rFonts w:ascii="Verdana" w:hAnsi="Verdana" w:cs="Arial"/>
          <w:sz w:val="20"/>
          <w:szCs w:val="20"/>
          <w:lang w:val="sr-Latn-CS"/>
        </w:rPr>
        <w:t>9.65</w:t>
      </w:r>
      <w:r w:rsidR="00183871">
        <w:rPr>
          <w:rFonts w:ascii="Verdana" w:hAnsi="Verdana" w:cs="Arial"/>
          <w:sz w:val="20"/>
          <w:szCs w:val="20"/>
          <w:lang w:val="sr-Latn-CS"/>
        </w:rPr>
        <w:t>4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183871">
        <w:rPr>
          <w:rFonts w:ascii="Verdana" w:hAnsi="Verdana" w:cs="Arial"/>
          <w:sz w:val="20"/>
          <w:szCs w:val="20"/>
          <w:lang w:val="sr-Latn-CS"/>
        </w:rPr>
        <w:t>81,65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% ukupne pasive. U odnosu na prethodnu poslovnu godinu </w:t>
      </w:r>
      <w:r w:rsidR="00A5239F" w:rsidRPr="00952360">
        <w:rPr>
          <w:rFonts w:ascii="Verdana" w:hAnsi="Verdana" w:cs="Arial"/>
          <w:sz w:val="20"/>
          <w:szCs w:val="20"/>
          <w:lang w:val="sr-Latn-CS"/>
        </w:rPr>
        <w:t xml:space="preserve">ostvaren je 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rast </w:t>
      </w:r>
      <w:r w:rsidR="00A5239F" w:rsidRPr="00952360">
        <w:rPr>
          <w:rFonts w:ascii="Verdana" w:hAnsi="Verdana" w:cs="Arial"/>
          <w:sz w:val="20"/>
          <w:szCs w:val="20"/>
          <w:lang w:val="sr-Latn-CS"/>
        </w:rPr>
        <w:t xml:space="preserve">apsolutne 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 (+) 2.</w:t>
      </w:r>
      <w:r w:rsidR="00183871">
        <w:rPr>
          <w:rFonts w:ascii="Verdana" w:hAnsi="Verdana" w:cs="Arial"/>
          <w:sz w:val="20"/>
          <w:szCs w:val="20"/>
          <w:lang w:val="sr-Latn-CS"/>
        </w:rPr>
        <w:t>663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183871">
        <w:rPr>
          <w:rFonts w:ascii="Verdana" w:hAnsi="Verdana" w:cs="Arial"/>
          <w:sz w:val="20"/>
          <w:szCs w:val="20"/>
          <w:lang w:val="sr-Latn-CS"/>
        </w:rPr>
        <w:t>38.10</w:t>
      </w:r>
      <w:r w:rsidR="00952360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52360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952360">
        <w:rPr>
          <w:rFonts w:ascii="Verdana" w:hAnsi="Verdana" w:cs="Arial"/>
          <w:sz w:val="20"/>
          <w:szCs w:val="20"/>
          <w:lang w:val="sr-Latn-CS"/>
        </w:rPr>
        <w:t xml:space="preserve">. </w:t>
      </w:r>
    </w:p>
    <w:p w14:paraId="674283B5" w14:textId="262E4303" w:rsidR="007A1BFF" w:rsidRPr="00952360" w:rsidRDefault="007A1BFF" w:rsidP="006062B7">
      <w:pPr>
        <w:pStyle w:val="ListParagraph"/>
        <w:numPr>
          <w:ilvl w:val="0"/>
          <w:numId w:val="27"/>
        </w:numPr>
        <w:spacing w:after="0"/>
        <w:ind w:left="360"/>
        <w:rPr>
          <w:rFonts w:ascii="Verdana" w:hAnsi="Verdana" w:cs="Arial"/>
          <w:sz w:val="20"/>
          <w:szCs w:val="20"/>
          <w:lang w:val="sr-Latn-CS"/>
        </w:rPr>
      </w:pPr>
      <w:r w:rsidRPr="00952360">
        <w:rPr>
          <w:rFonts w:ascii="Verdana" w:hAnsi="Verdana" w:cs="Arial"/>
          <w:sz w:val="20"/>
          <w:szCs w:val="20"/>
          <w:lang w:val="sr-Latn-CS"/>
        </w:rPr>
        <w:t xml:space="preserve">Ukupan kapital, apsolutne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 1.</w:t>
      </w:r>
      <w:r w:rsidR="00183871">
        <w:rPr>
          <w:rFonts w:ascii="Verdana" w:hAnsi="Verdana" w:cs="Arial"/>
          <w:sz w:val="20"/>
          <w:szCs w:val="20"/>
          <w:lang w:val="sr-Latn-CS"/>
        </w:rPr>
        <w:t>566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183871">
        <w:rPr>
          <w:rFonts w:ascii="Verdana" w:hAnsi="Verdana" w:cs="Arial"/>
          <w:sz w:val="20"/>
          <w:szCs w:val="20"/>
          <w:lang w:val="sr-Latn-CS"/>
        </w:rPr>
        <w:t>13,25</w:t>
      </w:r>
      <w:r w:rsidRPr="00952360">
        <w:rPr>
          <w:rFonts w:ascii="Verdana" w:hAnsi="Verdana" w:cs="Arial"/>
          <w:sz w:val="20"/>
          <w:szCs w:val="20"/>
          <w:lang w:val="sr-Latn-CS"/>
        </w:rPr>
        <w:t>% ukupne pasive. U odnosu na prethodnu poslovnu godinu ostvaren je rast</w:t>
      </w:r>
      <w:r w:rsidR="00A5239F" w:rsidRPr="00952360">
        <w:rPr>
          <w:rFonts w:ascii="Verdana" w:hAnsi="Verdana" w:cs="Arial"/>
          <w:sz w:val="20"/>
          <w:szCs w:val="20"/>
          <w:lang w:val="sr-Latn-CS"/>
        </w:rPr>
        <w:t xml:space="preserve"> apsolutne 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 (+) </w:t>
      </w:r>
      <w:r w:rsidR="00183871">
        <w:rPr>
          <w:rFonts w:ascii="Verdana" w:hAnsi="Verdana" w:cs="Arial"/>
          <w:sz w:val="20"/>
          <w:szCs w:val="20"/>
          <w:lang w:val="sr-Latn-CS"/>
        </w:rPr>
        <w:t>174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183871">
        <w:rPr>
          <w:rFonts w:ascii="Verdana" w:hAnsi="Verdana" w:cs="Arial"/>
          <w:sz w:val="20"/>
          <w:szCs w:val="20"/>
          <w:lang w:val="sr-Latn-CS"/>
        </w:rPr>
        <w:t>12,48</w:t>
      </w:r>
      <w:r w:rsidR="00952360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52360" w:rsidRPr="00952360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952360" w:rsidRPr="00952360">
        <w:rPr>
          <w:rFonts w:ascii="Verdana" w:hAnsi="Verdana" w:cs="Arial"/>
          <w:sz w:val="20"/>
          <w:szCs w:val="20"/>
          <w:lang w:val="sr-Latn-CS"/>
        </w:rPr>
        <w:t>.</w:t>
      </w:r>
    </w:p>
    <w:p w14:paraId="1F38ED4F" w14:textId="0BB6EA30" w:rsidR="004D2F69" w:rsidRDefault="007A1BFF" w:rsidP="004D2F69">
      <w:pPr>
        <w:pStyle w:val="ListParagraph"/>
        <w:numPr>
          <w:ilvl w:val="0"/>
          <w:numId w:val="27"/>
        </w:numPr>
        <w:spacing w:after="0"/>
        <w:ind w:left="360"/>
        <w:rPr>
          <w:rFonts w:ascii="Verdana" w:hAnsi="Verdana" w:cs="Arial"/>
          <w:sz w:val="20"/>
          <w:szCs w:val="20"/>
          <w:lang w:val="sr-Latn-CS"/>
        </w:rPr>
      </w:pPr>
      <w:r>
        <w:rPr>
          <w:rFonts w:ascii="Verdana" w:hAnsi="Verdana" w:cs="Arial"/>
          <w:sz w:val="20"/>
          <w:szCs w:val="20"/>
          <w:lang w:val="sr-Latn-CS"/>
        </w:rPr>
        <w:t xml:space="preserve">Vanbilansna pasiva, apsolutne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183871">
        <w:rPr>
          <w:rFonts w:ascii="Verdana" w:hAnsi="Verdana" w:cs="Arial"/>
          <w:sz w:val="20"/>
          <w:szCs w:val="20"/>
          <w:lang w:val="sr-Latn-CS"/>
        </w:rPr>
        <w:t>603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>. KM</w:t>
      </w:r>
      <w:r w:rsidR="00994904">
        <w:rPr>
          <w:rFonts w:ascii="Verdana" w:hAnsi="Verdana" w:cs="Arial"/>
          <w:sz w:val="20"/>
          <w:szCs w:val="20"/>
          <w:lang w:val="sr-Latn-CS"/>
        </w:rPr>
        <w:t xml:space="preserve">, predstavlja </w:t>
      </w:r>
      <w:r w:rsidR="00183871">
        <w:rPr>
          <w:rFonts w:ascii="Verdana" w:hAnsi="Verdana" w:cs="Arial"/>
          <w:sz w:val="20"/>
          <w:szCs w:val="20"/>
          <w:lang w:val="sr-Latn-CS"/>
        </w:rPr>
        <w:t>5,10</w:t>
      </w:r>
      <w:r w:rsidR="00994904">
        <w:rPr>
          <w:rFonts w:ascii="Verdana" w:hAnsi="Verdana" w:cs="Arial"/>
          <w:sz w:val="20"/>
          <w:szCs w:val="20"/>
          <w:lang w:val="sr-Latn-CS"/>
        </w:rPr>
        <w:t xml:space="preserve">% ukupne pasive. U odnosu na prethodnu poslovnu godinu ostvarila </w:t>
      </w:r>
      <w:r w:rsidR="00183871">
        <w:rPr>
          <w:rFonts w:ascii="Verdana" w:hAnsi="Verdana" w:cs="Arial"/>
          <w:sz w:val="20"/>
          <w:szCs w:val="20"/>
          <w:lang w:val="sr-Latn-CS"/>
        </w:rPr>
        <w:t xml:space="preserve">je rast u </w:t>
      </w:r>
      <w:proofErr w:type="spellStart"/>
      <w:r w:rsidR="00183871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="00183871">
        <w:rPr>
          <w:rFonts w:ascii="Verdana" w:hAnsi="Verdana" w:cs="Arial"/>
          <w:sz w:val="20"/>
          <w:szCs w:val="20"/>
          <w:lang w:val="sr-Latn-CS"/>
        </w:rPr>
        <w:t xml:space="preserve"> (+) 601 </w:t>
      </w:r>
      <w:proofErr w:type="spellStart"/>
      <w:r w:rsidR="00183871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183871">
        <w:rPr>
          <w:rFonts w:ascii="Verdana" w:hAnsi="Verdana" w:cs="Arial"/>
          <w:sz w:val="20"/>
          <w:szCs w:val="20"/>
          <w:lang w:val="sr-Latn-CS"/>
        </w:rPr>
        <w:t>. KM</w:t>
      </w:r>
      <w:r w:rsidR="00952360">
        <w:rPr>
          <w:rFonts w:ascii="Verdana" w:hAnsi="Verdana" w:cs="Arial"/>
          <w:sz w:val="20"/>
          <w:szCs w:val="20"/>
          <w:lang w:val="sr-Latn-CS"/>
        </w:rPr>
        <w:t>.</w:t>
      </w:r>
    </w:p>
    <w:p w14:paraId="2E17D162" w14:textId="77777777" w:rsidR="003D260C" w:rsidRDefault="003D260C" w:rsidP="003D260C">
      <w:pPr>
        <w:spacing w:after="0"/>
        <w:rPr>
          <w:rFonts w:ascii="Verdana" w:hAnsi="Verdana" w:cs="Arial"/>
          <w:sz w:val="20"/>
          <w:szCs w:val="20"/>
          <w:lang w:val="sr-Latn-CS"/>
        </w:rPr>
      </w:pPr>
    </w:p>
    <w:p w14:paraId="3F0EBE12" w14:textId="76C8F4B1" w:rsidR="003D260C" w:rsidRPr="003D260C" w:rsidRDefault="003D260C" w:rsidP="003D260C">
      <w:pPr>
        <w:spacing w:after="0"/>
        <w:rPr>
          <w:rFonts w:ascii="Verdana" w:hAnsi="Verdana" w:cs="Arial"/>
          <w:sz w:val="20"/>
          <w:szCs w:val="20"/>
          <w:lang w:val="sr-Latn-CS"/>
        </w:rPr>
      </w:pPr>
      <w:r w:rsidRPr="003D260C">
        <w:rPr>
          <w:noProof/>
        </w:rPr>
        <w:drawing>
          <wp:inline distT="0" distB="0" distL="0" distR="0" wp14:anchorId="68014FA4" wp14:editId="06EADBEF">
            <wp:extent cx="5760720" cy="2932430"/>
            <wp:effectExtent l="0" t="0" r="0" b="1270"/>
            <wp:docPr id="3551795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7B7D2" w14:textId="48E26EC0" w:rsidR="000E41A0" w:rsidRPr="00425127" w:rsidRDefault="00CD226C" w:rsidP="00210A67">
      <w:pPr>
        <w:pStyle w:val="Heading1"/>
        <w:numPr>
          <w:ilvl w:val="0"/>
          <w:numId w:val="0"/>
        </w:numPr>
        <w:spacing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  <w:bookmarkStart w:id="6" w:name="_Toc72918243"/>
      <w:r>
        <w:rPr>
          <w:rFonts w:ascii="Verdana" w:hAnsi="Verdana" w:cs="Times New Roman"/>
          <w:color w:val="auto"/>
          <w:sz w:val="20"/>
          <w:szCs w:val="20"/>
        </w:rPr>
        <w:t>b</w:t>
      </w:r>
      <w:r w:rsidR="00210A67" w:rsidRPr="00923D86">
        <w:rPr>
          <w:rFonts w:ascii="Verdana" w:hAnsi="Verdana" w:cs="Times New Roman"/>
          <w:color w:val="auto"/>
          <w:sz w:val="20"/>
          <w:szCs w:val="20"/>
          <w:lang w:val="sr-Latn-CS"/>
        </w:rPr>
        <w:t xml:space="preserve">) </w:t>
      </w:r>
      <w:proofErr w:type="spellStart"/>
      <w:r w:rsidR="002B13F2">
        <w:rPr>
          <w:rFonts w:ascii="Verdana" w:hAnsi="Verdana" w:cs="Times New Roman"/>
          <w:color w:val="auto"/>
          <w:sz w:val="20"/>
          <w:szCs w:val="20"/>
        </w:rPr>
        <w:t>P</w:t>
      </w:r>
      <w:r w:rsidR="000E41A0" w:rsidRPr="00425127">
        <w:rPr>
          <w:rFonts w:ascii="Verdana" w:hAnsi="Verdana" w:cs="Times New Roman"/>
          <w:color w:val="auto"/>
          <w:sz w:val="20"/>
          <w:szCs w:val="20"/>
        </w:rPr>
        <w:t>rikaz</w:t>
      </w:r>
      <w:proofErr w:type="spellEnd"/>
      <w:r w:rsidR="000E41A0" w:rsidRPr="00923D86">
        <w:rPr>
          <w:rFonts w:ascii="Verdana" w:hAnsi="Verdana" w:cs="Times New Roman"/>
          <w:color w:val="auto"/>
          <w:sz w:val="20"/>
          <w:szCs w:val="20"/>
          <w:lang w:val="sr-Latn-CS"/>
        </w:rPr>
        <w:t xml:space="preserve"> </w:t>
      </w:r>
      <w:proofErr w:type="spellStart"/>
      <w:r w:rsidR="000E41A0" w:rsidRPr="00425127">
        <w:rPr>
          <w:rFonts w:ascii="Verdana" w:hAnsi="Verdana" w:cs="Times New Roman"/>
          <w:color w:val="auto"/>
          <w:sz w:val="20"/>
          <w:szCs w:val="20"/>
        </w:rPr>
        <w:t>rezultata</w:t>
      </w:r>
      <w:proofErr w:type="spellEnd"/>
      <w:r w:rsidR="000E41A0" w:rsidRPr="00923D86">
        <w:rPr>
          <w:rFonts w:ascii="Verdana" w:hAnsi="Verdana" w:cs="Times New Roman"/>
          <w:color w:val="auto"/>
          <w:sz w:val="20"/>
          <w:szCs w:val="20"/>
          <w:lang w:val="sr-Latn-CS"/>
        </w:rPr>
        <w:t xml:space="preserve"> </w:t>
      </w:r>
      <w:proofErr w:type="spellStart"/>
      <w:r w:rsidR="000E41A0" w:rsidRPr="00425127">
        <w:rPr>
          <w:rFonts w:ascii="Verdana" w:hAnsi="Verdana" w:cs="Times New Roman"/>
          <w:color w:val="auto"/>
          <w:sz w:val="20"/>
          <w:szCs w:val="20"/>
        </w:rPr>
        <w:t>poslovanja</w:t>
      </w:r>
      <w:bookmarkEnd w:id="6"/>
      <w:proofErr w:type="spellEnd"/>
    </w:p>
    <w:p w14:paraId="72FF5658" w14:textId="77777777" w:rsidR="00A93291" w:rsidRPr="00425127" w:rsidRDefault="00A93291" w:rsidP="001D6CD9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</w:p>
    <w:p w14:paraId="6C6E15F1" w14:textId="2FBE8E0D" w:rsidR="00936F60" w:rsidRDefault="003170C1" w:rsidP="001D6CD9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  <w:r w:rsidRPr="00425127">
        <w:rPr>
          <w:rFonts w:cs="Arial"/>
          <w:sz w:val="20"/>
          <w:szCs w:val="20"/>
          <w:lang w:val="sr-Latn-CS"/>
        </w:rPr>
        <w:t>→</w:t>
      </w:r>
      <w:r w:rsidRPr="00425127">
        <w:rPr>
          <w:rFonts w:ascii="Verdana" w:hAnsi="Verdana" w:cs="Arial"/>
          <w:sz w:val="20"/>
          <w:szCs w:val="20"/>
          <w:lang w:val="sr-Latn-CS"/>
        </w:rPr>
        <w:t xml:space="preserve"> </w:t>
      </w:r>
      <w:r w:rsidRPr="00425127">
        <w:rPr>
          <w:rFonts w:ascii="Verdana" w:hAnsi="Verdana" w:cs="Arial"/>
          <w:b/>
          <w:sz w:val="20"/>
          <w:szCs w:val="20"/>
          <w:lang w:val="sr-Latn-CS"/>
        </w:rPr>
        <w:t>P</w:t>
      </w:r>
      <w:r w:rsidR="00015588" w:rsidRPr="00425127">
        <w:rPr>
          <w:rFonts w:ascii="Verdana" w:hAnsi="Verdana" w:cs="Arial"/>
          <w:b/>
          <w:sz w:val="20"/>
          <w:szCs w:val="20"/>
          <w:lang w:val="sr-Latn-CS"/>
        </w:rPr>
        <w:t>rihodi</w:t>
      </w:r>
      <w:r w:rsidR="00015588" w:rsidRPr="00425127">
        <w:rPr>
          <w:rFonts w:ascii="Verdana" w:hAnsi="Verdana" w:cs="Arial"/>
          <w:sz w:val="20"/>
          <w:szCs w:val="20"/>
          <w:lang w:val="sr-Latn-CS"/>
        </w:rPr>
        <w:t xml:space="preserve"> </w:t>
      </w:r>
      <w:r w:rsidRPr="00425127">
        <w:rPr>
          <w:rFonts w:ascii="Verdana" w:hAnsi="Verdana" w:cs="Arial"/>
          <w:b/>
          <w:sz w:val="20"/>
          <w:szCs w:val="20"/>
          <w:lang w:val="sr-Latn-CS"/>
        </w:rPr>
        <w:t xml:space="preserve">Društva </w:t>
      </w:r>
      <w:r w:rsidRPr="00425127">
        <w:rPr>
          <w:rFonts w:ascii="Verdana" w:hAnsi="Verdana" w:cs="Arial"/>
          <w:sz w:val="20"/>
          <w:szCs w:val="20"/>
          <w:lang w:val="sr-Latn-CS"/>
        </w:rPr>
        <w:t xml:space="preserve">– </w:t>
      </w:r>
      <w:r w:rsidR="00936F60" w:rsidRPr="00425127">
        <w:rPr>
          <w:rFonts w:ascii="Verdana" w:hAnsi="Verdana" w:cs="Arial"/>
          <w:sz w:val="20"/>
          <w:szCs w:val="20"/>
          <w:lang w:val="sr-Latn-CS"/>
        </w:rPr>
        <w:t xml:space="preserve">iznose </w:t>
      </w:r>
      <w:r w:rsidR="005C58B9" w:rsidRPr="00425127">
        <w:rPr>
          <w:rFonts w:ascii="Verdana" w:hAnsi="Verdana" w:cs="Arial"/>
          <w:sz w:val="20"/>
          <w:szCs w:val="20"/>
          <w:lang w:val="sr-Latn-CS"/>
        </w:rPr>
        <w:t>1</w:t>
      </w:r>
      <w:r w:rsidR="00EB3FB1">
        <w:rPr>
          <w:rFonts w:ascii="Verdana" w:hAnsi="Verdana" w:cs="Arial"/>
          <w:sz w:val="20"/>
          <w:szCs w:val="20"/>
          <w:lang w:val="sr-Latn-CS"/>
        </w:rPr>
        <w:t>.</w:t>
      </w:r>
      <w:r w:rsidR="00CB178B">
        <w:rPr>
          <w:rFonts w:ascii="Verdana" w:hAnsi="Verdana" w:cs="Arial"/>
          <w:sz w:val="20"/>
          <w:szCs w:val="20"/>
          <w:lang w:val="sr-Latn-CS"/>
        </w:rPr>
        <w:t>663</w:t>
      </w:r>
      <w:r w:rsidR="00936F60" w:rsidRPr="00425127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36F60" w:rsidRPr="00425127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936F60" w:rsidRPr="00425127">
        <w:rPr>
          <w:rFonts w:ascii="Verdana" w:hAnsi="Verdana" w:cs="Arial"/>
          <w:sz w:val="20"/>
          <w:szCs w:val="20"/>
          <w:lang w:val="sr-Latn-CS"/>
        </w:rPr>
        <w:t xml:space="preserve">. KM, veći su u odnosu na </w:t>
      </w:r>
      <w:r w:rsidR="00EB3FB1">
        <w:rPr>
          <w:rFonts w:ascii="Verdana" w:hAnsi="Verdana" w:cs="Arial"/>
          <w:sz w:val="20"/>
          <w:szCs w:val="20"/>
          <w:lang w:val="sr-Latn-CS"/>
        </w:rPr>
        <w:t xml:space="preserve">prethodnu poslovnu </w:t>
      </w:r>
      <w:proofErr w:type="spellStart"/>
      <w:r w:rsidR="00EB3FB1">
        <w:rPr>
          <w:rFonts w:ascii="Verdana" w:hAnsi="Verdana" w:cs="Arial"/>
          <w:sz w:val="20"/>
          <w:szCs w:val="20"/>
          <w:lang w:val="sr-Latn-CS"/>
        </w:rPr>
        <w:t>godinu</w:t>
      </w:r>
      <w:r w:rsidR="00936F60" w:rsidRPr="00425127">
        <w:rPr>
          <w:rFonts w:ascii="Verdana" w:hAnsi="Verdana" w:cs="Arial"/>
          <w:sz w:val="20"/>
          <w:szCs w:val="20"/>
          <w:lang w:val="sr-Latn-CS"/>
        </w:rPr>
        <w:t>za</w:t>
      </w:r>
      <w:proofErr w:type="spellEnd"/>
      <w:r w:rsidR="00936F60" w:rsidRPr="00425127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576E3C" w:rsidRPr="00425127">
        <w:rPr>
          <w:rFonts w:ascii="Verdana" w:hAnsi="Verdana" w:cs="Arial"/>
          <w:sz w:val="20"/>
          <w:szCs w:val="20"/>
          <w:lang w:val="sr-Latn-CS"/>
        </w:rPr>
        <w:t xml:space="preserve">(+) </w:t>
      </w:r>
      <w:r w:rsidR="00CB178B">
        <w:rPr>
          <w:rFonts w:ascii="Verdana" w:hAnsi="Verdana" w:cs="Arial"/>
          <w:sz w:val="20"/>
          <w:szCs w:val="20"/>
          <w:lang w:val="sr-Latn-CS"/>
        </w:rPr>
        <w:t>366</w:t>
      </w:r>
      <w:r w:rsidR="00936F60" w:rsidRPr="00425127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36F60" w:rsidRPr="00425127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936F60" w:rsidRPr="00425127">
        <w:rPr>
          <w:rFonts w:ascii="Verdana" w:hAnsi="Verdana" w:cs="Arial"/>
          <w:sz w:val="20"/>
          <w:szCs w:val="20"/>
          <w:lang w:val="sr-Latn-CS"/>
        </w:rPr>
        <w:t xml:space="preserve">. KM ili </w:t>
      </w:r>
      <w:r w:rsidR="00576E3C" w:rsidRPr="00425127">
        <w:rPr>
          <w:rFonts w:ascii="Verdana" w:hAnsi="Verdana" w:cs="Arial"/>
          <w:sz w:val="20"/>
          <w:szCs w:val="20"/>
          <w:lang w:val="sr-Latn-CS"/>
        </w:rPr>
        <w:t xml:space="preserve">(+) </w:t>
      </w:r>
      <w:r w:rsidR="00CB178B">
        <w:rPr>
          <w:rFonts w:ascii="Verdana" w:hAnsi="Verdana" w:cs="Arial"/>
          <w:sz w:val="20"/>
          <w:szCs w:val="20"/>
          <w:lang w:val="sr-Latn-CS"/>
        </w:rPr>
        <w:t>28.</w:t>
      </w:r>
      <w:r w:rsidR="00937070">
        <w:rPr>
          <w:rFonts w:ascii="Verdana" w:hAnsi="Verdana" w:cs="Arial"/>
          <w:sz w:val="20"/>
          <w:szCs w:val="20"/>
          <w:lang w:val="sr-Latn-CS"/>
        </w:rPr>
        <w:t xml:space="preserve">16 </w:t>
      </w:r>
      <w:proofErr w:type="spellStart"/>
      <w:r w:rsidR="00FE01E8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5C58B9" w:rsidRPr="00425127">
        <w:rPr>
          <w:rFonts w:ascii="Verdana" w:hAnsi="Verdana" w:cs="Arial"/>
          <w:sz w:val="20"/>
          <w:szCs w:val="20"/>
          <w:lang w:val="sr-Latn-CS"/>
        </w:rPr>
        <w:t>.</w:t>
      </w:r>
      <w:r w:rsidR="00EB3FB1">
        <w:rPr>
          <w:rFonts w:ascii="Verdana" w:hAnsi="Verdana" w:cs="Arial"/>
          <w:sz w:val="20"/>
          <w:szCs w:val="20"/>
          <w:lang w:val="sr-Latn-CS"/>
        </w:rPr>
        <w:t xml:space="preserve"> U strukturi prihoda učestvuju sljedeći osnovni pokazatelji poslovanja:</w:t>
      </w:r>
    </w:p>
    <w:p w14:paraId="73D882CC" w14:textId="77777777" w:rsidR="00CE16C4" w:rsidRDefault="00CE16C4" w:rsidP="001D6CD9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</w:p>
    <w:p w14:paraId="436EDDCD" w14:textId="3A7A5C3F" w:rsidR="00952360" w:rsidRDefault="003170C1" w:rsidP="00CE16C4">
      <w:pPr>
        <w:pStyle w:val="ListParagraph"/>
        <w:numPr>
          <w:ilvl w:val="0"/>
          <w:numId w:val="30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r w:rsidRPr="00952360">
        <w:rPr>
          <w:rFonts w:ascii="Verdana" w:hAnsi="Verdana" w:cs="Arial"/>
          <w:sz w:val="20"/>
          <w:szCs w:val="20"/>
          <w:lang w:val="sr-Latn-CS"/>
        </w:rPr>
        <w:t xml:space="preserve">Prihodi </w:t>
      </w:r>
      <w:r w:rsidR="00015588" w:rsidRPr="00952360">
        <w:rPr>
          <w:rFonts w:ascii="Verdana" w:hAnsi="Verdana" w:cs="Arial"/>
          <w:sz w:val="20"/>
          <w:szCs w:val="20"/>
          <w:lang w:val="sr-Latn-CS"/>
        </w:rPr>
        <w:t>od kamata</w:t>
      </w:r>
      <w:r w:rsidR="00CC1456" w:rsidRPr="00952360">
        <w:rPr>
          <w:rFonts w:ascii="Verdana" w:hAnsi="Verdana" w:cs="Arial"/>
          <w:sz w:val="20"/>
          <w:szCs w:val="20"/>
          <w:lang w:val="sr-Latn-CS"/>
        </w:rPr>
        <w:t>,</w:t>
      </w:r>
      <w:r w:rsidR="00015588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CC1456" w:rsidRPr="00952360">
        <w:rPr>
          <w:rFonts w:ascii="Verdana" w:hAnsi="Verdana" w:cs="Arial"/>
          <w:sz w:val="20"/>
          <w:szCs w:val="20"/>
          <w:lang w:val="sr-Latn-CS"/>
        </w:rPr>
        <w:t xml:space="preserve">po osnovu kredita apsolutne </w:t>
      </w:r>
      <w:proofErr w:type="spellStart"/>
      <w:r w:rsidR="00CC1456" w:rsidRPr="00952360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="00CC1456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CB178B">
        <w:rPr>
          <w:rFonts w:ascii="Verdana" w:hAnsi="Verdana" w:cs="Arial"/>
          <w:sz w:val="20"/>
          <w:szCs w:val="20"/>
          <w:lang w:val="sr-Latn-CS"/>
        </w:rPr>
        <w:t>1.40</w:t>
      </w:r>
      <w:r w:rsidR="000C7582">
        <w:rPr>
          <w:rFonts w:ascii="Verdana" w:hAnsi="Verdana" w:cs="Arial"/>
          <w:sz w:val="20"/>
          <w:szCs w:val="20"/>
          <w:lang w:val="sr-Latn-CS"/>
        </w:rPr>
        <w:t>6</w:t>
      </w:r>
      <w:r w:rsidR="00CC1456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CC1456" w:rsidRPr="00952360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CC1456" w:rsidRPr="00952360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CB178B">
        <w:rPr>
          <w:rFonts w:ascii="Verdana" w:hAnsi="Verdana" w:cs="Arial"/>
          <w:sz w:val="20"/>
          <w:szCs w:val="20"/>
          <w:lang w:val="sr-Latn-CS"/>
        </w:rPr>
        <w:t>84.</w:t>
      </w:r>
      <w:r w:rsidR="00E924E9">
        <w:rPr>
          <w:rFonts w:ascii="Verdana" w:hAnsi="Verdana" w:cs="Arial"/>
          <w:sz w:val="20"/>
          <w:szCs w:val="20"/>
          <w:lang w:val="sr-Latn-CS"/>
        </w:rPr>
        <w:t>54</w:t>
      </w:r>
      <w:r w:rsidR="00CC1456" w:rsidRPr="00952360">
        <w:rPr>
          <w:rFonts w:ascii="Verdana" w:hAnsi="Verdana" w:cs="Arial"/>
          <w:sz w:val="20"/>
          <w:szCs w:val="20"/>
          <w:lang w:val="sr-Latn-CS"/>
        </w:rPr>
        <w:t xml:space="preserve">% ukupnih prihoda. U odnosu na prethodnu poslovnu godinu ostvaren je rast apsolutne </w:t>
      </w:r>
      <w:proofErr w:type="spellStart"/>
      <w:r w:rsidR="00CC1456" w:rsidRPr="00952360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="00CC1456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A21F9D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576E3C" w:rsidRPr="00952360">
        <w:rPr>
          <w:rFonts w:ascii="Verdana" w:hAnsi="Verdana" w:cs="Arial"/>
          <w:sz w:val="20"/>
          <w:szCs w:val="20"/>
          <w:lang w:val="sr-Latn-CS"/>
        </w:rPr>
        <w:t xml:space="preserve">(+) </w:t>
      </w:r>
      <w:r w:rsidR="00CB178B">
        <w:rPr>
          <w:rFonts w:ascii="Verdana" w:hAnsi="Verdana" w:cs="Arial"/>
          <w:sz w:val="20"/>
          <w:szCs w:val="20"/>
          <w:lang w:val="sr-Latn-CS"/>
        </w:rPr>
        <w:t>37</w:t>
      </w:r>
      <w:r w:rsidR="000C7582">
        <w:rPr>
          <w:rFonts w:ascii="Verdana" w:hAnsi="Verdana" w:cs="Arial"/>
          <w:sz w:val="20"/>
          <w:szCs w:val="20"/>
          <w:lang w:val="sr-Latn-CS"/>
        </w:rPr>
        <w:t>4</w:t>
      </w:r>
      <w:r w:rsidR="00643D3B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A21F9D" w:rsidRPr="00952360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A21F9D" w:rsidRPr="00952360">
        <w:rPr>
          <w:rFonts w:ascii="Verdana" w:hAnsi="Verdana" w:cs="Arial"/>
          <w:sz w:val="20"/>
          <w:szCs w:val="20"/>
          <w:lang w:val="sr-Latn-CS"/>
        </w:rPr>
        <w:t xml:space="preserve">. KM ili </w:t>
      </w:r>
      <w:r w:rsidR="00576E3C" w:rsidRPr="00952360">
        <w:rPr>
          <w:rFonts w:ascii="Verdana" w:hAnsi="Verdana" w:cs="Arial"/>
          <w:sz w:val="20"/>
          <w:szCs w:val="20"/>
          <w:lang w:val="sr-Latn-CS"/>
        </w:rPr>
        <w:t xml:space="preserve">(+) </w:t>
      </w:r>
      <w:r w:rsidR="00CB178B">
        <w:rPr>
          <w:rFonts w:ascii="Verdana" w:hAnsi="Verdana" w:cs="Arial"/>
          <w:sz w:val="20"/>
          <w:szCs w:val="20"/>
          <w:lang w:val="sr-Latn-CS"/>
        </w:rPr>
        <w:t>36,13</w:t>
      </w:r>
      <w:r w:rsidR="00952360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52360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952360">
        <w:rPr>
          <w:rFonts w:ascii="Verdana" w:hAnsi="Verdana" w:cs="Arial"/>
          <w:sz w:val="20"/>
          <w:szCs w:val="20"/>
          <w:lang w:val="sr-Latn-CS"/>
        </w:rPr>
        <w:t xml:space="preserve">. </w:t>
      </w:r>
    </w:p>
    <w:p w14:paraId="30AFBA66" w14:textId="44E89D1A" w:rsidR="00CC1456" w:rsidRPr="00952360" w:rsidRDefault="00CC1456" w:rsidP="00CE16C4">
      <w:pPr>
        <w:pStyle w:val="ListParagraph"/>
        <w:numPr>
          <w:ilvl w:val="0"/>
          <w:numId w:val="30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r w:rsidRPr="00952360">
        <w:rPr>
          <w:rFonts w:ascii="Verdana" w:hAnsi="Verdana" w:cs="Arial"/>
          <w:sz w:val="20"/>
          <w:szCs w:val="20"/>
          <w:lang w:val="sr-Latn-CS"/>
        </w:rPr>
        <w:lastRenderedPageBreak/>
        <w:t xml:space="preserve">Prihodi od provizija i naknada u domaćoj valuti, apsolutne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CB178B">
        <w:rPr>
          <w:rFonts w:ascii="Verdana" w:hAnsi="Verdana" w:cs="Arial"/>
          <w:sz w:val="20"/>
          <w:szCs w:val="20"/>
          <w:lang w:val="sr-Latn-CS"/>
        </w:rPr>
        <w:t>191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CB178B">
        <w:rPr>
          <w:rFonts w:ascii="Verdana" w:hAnsi="Verdana" w:cs="Arial"/>
          <w:sz w:val="20"/>
          <w:szCs w:val="20"/>
          <w:lang w:val="sr-Latn-CS"/>
        </w:rPr>
        <w:t>11,49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% ukupnih prihoda. U odnosu na prethodnu poslovnu godinu ostvaren je </w:t>
      </w:r>
      <w:r w:rsidR="00CB178B">
        <w:rPr>
          <w:rFonts w:ascii="Verdana" w:hAnsi="Verdana" w:cs="Arial"/>
          <w:sz w:val="20"/>
          <w:szCs w:val="20"/>
          <w:lang w:val="sr-Latn-CS"/>
        </w:rPr>
        <w:t xml:space="preserve">rast 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apsolutne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 (</w:t>
      </w:r>
      <w:r w:rsidR="00CB178B">
        <w:rPr>
          <w:rFonts w:ascii="Verdana" w:hAnsi="Verdana" w:cs="Arial"/>
          <w:sz w:val="20"/>
          <w:szCs w:val="20"/>
          <w:lang w:val="sr-Latn-CS"/>
        </w:rPr>
        <w:t>+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) </w:t>
      </w:r>
      <w:r w:rsidR="00CB178B">
        <w:rPr>
          <w:rFonts w:ascii="Verdana" w:hAnsi="Verdana" w:cs="Arial"/>
          <w:sz w:val="20"/>
          <w:szCs w:val="20"/>
          <w:lang w:val="sr-Latn-CS"/>
        </w:rPr>
        <w:t>31</w:t>
      </w:r>
      <w:r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52360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52360">
        <w:rPr>
          <w:rFonts w:ascii="Verdana" w:hAnsi="Verdana" w:cs="Arial"/>
          <w:sz w:val="20"/>
          <w:szCs w:val="20"/>
          <w:lang w:val="sr-Latn-CS"/>
        </w:rPr>
        <w:t xml:space="preserve">. KM  ili </w:t>
      </w:r>
      <w:r w:rsidR="008B7701" w:rsidRPr="00952360">
        <w:rPr>
          <w:rFonts w:ascii="Verdana" w:hAnsi="Verdana" w:cs="Arial"/>
          <w:sz w:val="20"/>
          <w:szCs w:val="20"/>
          <w:lang w:val="sr-Latn-CS"/>
        </w:rPr>
        <w:t xml:space="preserve"> (</w:t>
      </w:r>
      <w:r w:rsidR="00CB178B">
        <w:rPr>
          <w:rFonts w:ascii="Verdana" w:hAnsi="Verdana" w:cs="Arial"/>
          <w:sz w:val="20"/>
          <w:szCs w:val="20"/>
          <w:lang w:val="sr-Latn-CS"/>
        </w:rPr>
        <w:t>+</w:t>
      </w:r>
      <w:r w:rsidR="008B7701" w:rsidRPr="00952360">
        <w:rPr>
          <w:rFonts w:ascii="Verdana" w:hAnsi="Verdana" w:cs="Arial"/>
          <w:sz w:val="20"/>
          <w:szCs w:val="20"/>
          <w:lang w:val="sr-Latn-CS"/>
        </w:rPr>
        <w:t xml:space="preserve">) </w:t>
      </w:r>
      <w:r w:rsidR="00CB178B">
        <w:rPr>
          <w:rFonts w:ascii="Verdana" w:hAnsi="Verdana" w:cs="Arial"/>
          <w:sz w:val="20"/>
          <w:szCs w:val="20"/>
          <w:lang w:val="sr-Latn-CS"/>
        </w:rPr>
        <w:t>19.39</w:t>
      </w:r>
      <w:r w:rsidR="00952360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52360" w:rsidRPr="00952360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952360" w:rsidRPr="00952360">
        <w:rPr>
          <w:rFonts w:ascii="Verdana" w:hAnsi="Verdana" w:cs="Arial"/>
          <w:sz w:val="20"/>
          <w:szCs w:val="20"/>
          <w:lang w:val="sr-Latn-CS"/>
        </w:rPr>
        <w:t>.</w:t>
      </w:r>
    </w:p>
    <w:p w14:paraId="596C2E85" w14:textId="52720B93" w:rsidR="008B7701" w:rsidRDefault="008B7701" w:rsidP="00CE16C4">
      <w:pPr>
        <w:pStyle w:val="ListParagraph"/>
        <w:numPr>
          <w:ilvl w:val="0"/>
          <w:numId w:val="30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r>
        <w:rPr>
          <w:rFonts w:ascii="Verdana" w:hAnsi="Verdana" w:cs="Arial"/>
          <w:sz w:val="20"/>
          <w:szCs w:val="20"/>
          <w:lang w:val="sr-Latn-CS"/>
        </w:rPr>
        <w:t xml:space="preserve">Prihodi od ukidanja indirektnog otpisa plasmana, apsolutne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0C7582">
        <w:rPr>
          <w:rFonts w:ascii="Verdana" w:hAnsi="Verdana" w:cs="Arial"/>
          <w:sz w:val="20"/>
          <w:szCs w:val="20"/>
          <w:lang w:val="sr-Latn-CS"/>
        </w:rPr>
        <w:t>57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0C7582">
        <w:rPr>
          <w:rFonts w:ascii="Verdana" w:hAnsi="Verdana" w:cs="Arial"/>
          <w:sz w:val="20"/>
          <w:szCs w:val="20"/>
          <w:lang w:val="sr-Latn-CS"/>
        </w:rPr>
        <w:t>3.4</w:t>
      </w:r>
      <w:r w:rsidR="00E924E9">
        <w:rPr>
          <w:rFonts w:ascii="Verdana" w:hAnsi="Verdana" w:cs="Arial"/>
          <w:sz w:val="20"/>
          <w:szCs w:val="20"/>
          <w:lang w:val="sr-Latn-CS"/>
        </w:rPr>
        <w:t>3</w:t>
      </w:r>
      <w:r>
        <w:rPr>
          <w:rFonts w:ascii="Verdana" w:hAnsi="Verdana" w:cs="Arial"/>
          <w:sz w:val="20"/>
          <w:szCs w:val="20"/>
          <w:lang w:val="sr-Latn-CS"/>
        </w:rPr>
        <w:t xml:space="preserve">% ukupnih prihoda. U odnosu na prethodnu poslovnu godinu ostvaren je pad apsolutne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 (-) </w:t>
      </w:r>
      <w:r w:rsidR="000C7582">
        <w:rPr>
          <w:rFonts w:ascii="Verdana" w:hAnsi="Verdana" w:cs="Arial"/>
          <w:sz w:val="20"/>
          <w:szCs w:val="20"/>
          <w:lang w:val="sr-Latn-CS"/>
        </w:rPr>
        <w:t>34</w:t>
      </w:r>
      <w:r w:rsidR="0093707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. KM ili (-) </w:t>
      </w:r>
      <w:r w:rsidR="000C7582">
        <w:rPr>
          <w:rFonts w:ascii="Verdana" w:hAnsi="Verdana" w:cs="Arial"/>
          <w:sz w:val="20"/>
          <w:szCs w:val="20"/>
          <w:lang w:val="sr-Latn-CS"/>
        </w:rPr>
        <w:t>39,3</w:t>
      </w:r>
      <w:r w:rsidR="00937070">
        <w:rPr>
          <w:rFonts w:ascii="Verdana" w:hAnsi="Verdana" w:cs="Arial"/>
          <w:sz w:val="20"/>
          <w:szCs w:val="20"/>
          <w:lang w:val="sr-Latn-CS"/>
        </w:rPr>
        <w:t>6</w:t>
      </w:r>
      <w:r w:rsidR="00952360" w:rsidRPr="00952360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52360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952360">
        <w:rPr>
          <w:rFonts w:ascii="Verdana" w:hAnsi="Verdana" w:cs="Arial"/>
          <w:sz w:val="20"/>
          <w:szCs w:val="20"/>
          <w:lang w:val="sr-Latn-CS"/>
        </w:rPr>
        <w:t>.</w:t>
      </w:r>
    </w:p>
    <w:p w14:paraId="17A1B10B" w14:textId="49FC17BA" w:rsidR="008B7701" w:rsidRDefault="008B7701" w:rsidP="00CE16C4">
      <w:pPr>
        <w:pStyle w:val="ListParagraph"/>
        <w:numPr>
          <w:ilvl w:val="0"/>
          <w:numId w:val="30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r>
        <w:rPr>
          <w:rFonts w:ascii="Verdana" w:hAnsi="Verdana" w:cs="Arial"/>
          <w:sz w:val="20"/>
          <w:szCs w:val="20"/>
          <w:lang w:val="sr-Latn-CS"/>
        </w:rPr>
        <w:t xml:space="preserve">Ostali prihodi, apsolutne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0C7582">
        <w:rPr>
          <w:rFonts w:ascii="Verdana" w:hAnsi="Verdana" w:cs="Arial"/>
          <w:sz w:val="20"/>
          <w:szCs w:val="20"/>
          <w:lang w:val="sr-Latn-CS"/>
        </w:rPr>
        <w:t>9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>. KM, predstavljaju 0,</w:t>
      </w:r>
      <w:r w:rsidR="000C7582">
        <w:rPr>
          <w:rFonts w:ascii="Verdana" w:hAnsi="Verdana" w:cs="Arial"/>
          <w:sz w:val="20"/>
          <w:szCs w:val="20"/>
          <w:lang w:val="sr-Latn-CS"/>
        </w:rPr>
        <w:t>5</w:t>
      </w:r>
      <w:r w:rsidR="00E924E9">
        <w:rPr>
          <w:rFonts w:ascii="Verdana" w:hAnsi="Verdana" w:cs="Arial"/>
          <w:sz w:val="20"/>
          <w:szCs w:val="20"/>
          <w:lang w:val="sr-Latn-CS"/>
        </w:rPr>
        <w:t>4</w:t>
      </w:r>
      <w:r>
        <w:rPr>
          <w:rFonts w:ascii="Verdana" w:hAnsi="Verdana" w:cs="Arial"/>
          <w:sz w:val="20"/>
          <w:szCs w:val="20"/>
          <w:lang w:val="sr-Latn-CS"/>
        </w:rPr>
        <w:t xml:space="preserve">%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ukpnih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 prihoda. U odnosu na prethodnu poslovnu godinu ostvaren je </w:t>
      </w:r>
      <w:r w:rsidR="000C7582">
        <w:rPr>
          <w:rFonts w:ascii="Verdana" w:hAnsi="Verdana" w:cs="Arial"/>
          <w:sz w:val="20"/>
          <w:szCs w:val="20"/>
          <w:lang w:val="sr-Latn-CS"/>
        </w:rPr>
        <w:t>pad</w:t>
      </w:r>
      <w:r>
        <w:rPr>
          <w:rFonts w:ascii="Verdana" w:hAnsi="Verdana" w:cs="Arial"/>
          <w:sz w:val="20"/>
          <w:szCs w:val="20"/>
          <w:lang w:val="sr-Latn-CS"/>
        </w:rPr>
        <w:t xml:space="preserve"> od (</w:t>
      </w:r>
      <w:r w:rsidR="000C7582">
        <w:rPr>
          <w:rFonts w:ascii="Verdana" w:hAnsi="Verdana" w:cs="Arial"/>
          <w:sz w:val="20"/>
          <w:szCs w:val="20"/>
          <w:lang w:val="sr-Latn-CS"/>
        </w:rPr>
        <w:t>-</w:t>
      </w:r>
      <w:r>
        <w:rPr>
          <w:rFonts w:ascii="Verdana" w:hAnsi="Verdana" w:cs="Arial"/>
          <w:sz w:val="20"/>
          <w:szCs w:val="20"/>
          <w:lang w:val="sr-Latn-CS"/>
        </w:rPr>
        <w:t xml:space="preserve">) </w:t>
      </w:r>
      <w:r w:rsidR="000C7582">
        <w:rPr>
          <w:rFonts w:ascii="Verdana" w:hAnsi="Verdana" w:cs="Arial"/>
          <w:sz w:val="20"/>
          <w:szCs w:val="20"/>
          <w:lang w:val="sr-Latn-CS"/>
        </w:rPr>
        <w:t>2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. KM ili </w:t>
      </w:r>
      <w:r w:rsidR="00D11DD0">
        <w:rPr>
          <w:rFonts w:ascii="Verdana" w:hAnsi="Verdana" w:cs="Arial"/>
          <w:sz w:val="20"/>
          <w:szCs w:val="20"/>
          <w:lang w:val="sr-Latn-CS"/>
        </w:rPr>
        <w:t>(</w:t>
      </w:r>
      <w:r w:rsidR="000C7582">
        <w:rPr>
          <w:rFonts w:ascii="Verdana" w:hAnsi="Verdana" w:cs="Arial"/>
          <w:sz w:val="20"/>
          <w:szCs w:val="20"/>
          <w:lang w:val="sr-Latn-CS"/>
        </w:rPr>
        <w:t>-</w:t>
      </w:r>
      <w:r w:rsidR="00D11DD0">
        <w:rPr>
          <w:rFonts w:ascii="Verdana" w:hAnsi="Verdana" w:cs="Arial"/>
          <w:sz w:val="20"/>
          <w:szCs w:val="20"/>
          <w:lang w:val="sr-Latn-CS"/>
        </w:rPr>
        <w:t xml:space="preserve">) </w:t>
      </w:r>
      <w:r w:rsidR="000C7582">
        <w:rPr>
          <w:rFonts w:ascii="Verdana" w:hAnsi="Verdana" w:cs="Arial"/>
          <w:sz w:val="20"/>
          <w:szCs w:val="20"/>
          <w:lang w:val="sr-Latn-CS"/>
        </w:rPr>
        <w:t>16,4</w:t>
      </w:r>
      <w:r w:rsidR="00937070">
        <w:rPr>
          <w:rFonts w:ascii="Verdana" w:hAnsi="Verdana" w:cs="Arial"/>
          <w:sz w:val="20"/>
          <w:szCs w:val="20"/>
          <w:lang w:val="sr-Latn-CS"/>
        </w:rPr>
        <w:t>5</w:t>
      </w:r>
      <w:r w:rsidR="005325FE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52360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952360">
        <w:rPr>
          <w:rFonts w:ascii="Verdana" w:hAnsi="Verdana" w:cs="Arial"/>
          <w:sz w:val="20"/>
          <w:szCs w:val="20"/>
          <w:lang w:val="sr-Latn-CS"/>
        </w:rPr>
        <w:t>.</w:t>
      </w:r>
      <w:r w:rsidR="00D11DD0">
        <w:rPr>
          <w:rFonts w:ascii="Verdana" w:hAnsi="Verdana" w:cs="Arial"/>
          <w:sz w:val="20"/>
          <w:szCs w:val="20"/>
          <w:lang w:val="sr-Latn-CS"/>
        </w:rPr>
        <w:t xml:space="preserve"> </w:t>
      </w:r>
    </w:p>
    <w:p w14:paraId="27342736" w14:textId="77777777" w:rsidR="00A9276C" w:rsidRDefault="00A9276C" w:rsidP="00A9276C">
      <w:pPr>
        <w:spacing w:after="0"/>
        <w:rPr>
          <w:rFonts w:ascii="Verdana" w:hAnsi="Verdana" w:cs="Arial"/>
          <w:sz w:val="20"/>
          <w:szCs w:val="20"/>
          <w:lang w:val="sr-Latn-CS"/>
        </w:rPr>
      </w:pPr>
    </w:p>
    <w:p w14:paraId="75C2D292" w14:textId="37FE5F70" w:rsidR="00A9276C" w:rsidRPr="00A9276C" w:rsidRDefault="00A9276C" w:rsidP="00A9276C">
      <w:pPr>
        <w:spacing w:after="0"/>
        <w:rPr>
          <w:rFonts w:ascii="Verdana" w:hAnsi="Verdana" w:cs="Arial"/>
          <w:sz w:val="20"/>
          <w:szCs w:val="20"/>
          <w:lang w:val="sr-Latn-CS"/>
        </w:rPr>
      </w:pPr>
      <w:r w:rsidRPr="00A9276C">
        <w:rPr>
          <w:noProof/>
        </w:rPr>
        <w:drawing>
          <wp:inline distT="0" distB="0" distL="0" distR="0" wp14:anchorId="1EA5F32C" wp14:editId="134AD0C0">
            <wp:extent cx="5760720" cy="1384300"/>
            <wp:effectExtent l="0" t="0" r="0" b="6350"/>
            <wp:docPr id="176877778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76B3B" w14:textId="77777777" w:rsidR="00236A0D" w:rsidRDefault="00236A0D" w:rsidP="00BC465A">
      <w:pPr>
        <w:spacing w:after="0" w:line="240" w:lineRule="auto"/>
        <w:jc w:val="both"/>
        <w:rPr>
          <w:rFonts w:cs="Arial"/>
          <w:sz w:val="20"/>
          <w:szCs w:val="20"/>
          <w:lang w:val="sr-Latn-CS"/>
        </w:rPr>
      </w:pPr>
    </w:p>
    <w:p w14:paraId="43AB4942" w14:textId="27D03569" w:rsidR="00BC465A" w:rsidRDefault="00936F60" w:rsidP="00BC465A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  <w:r w:rsidRPr="00425127">
        <w:rPr>
          <w:rFonts w:cs="Arial"/>
          <w:sz w:val="20"/>
          <w:szCs w:val="20"/>
          <w:lang w:val="sr-Latn-CS"/>
        </w:rPr>
        <w:t>→</w:t>
      </w:r>
      <w:r w:rsidRPr="00425127">
        <w:rPr>
          <w:rFonts w:ascii="Verdana" w:hAnsi="Verdana" w:cs="Arial"/>
          <w:sz w:val="20"/>
          <w:szCs w:val="20"/>
          <w:lang w:val="sr-Latn-CS"/>
        </w:rPr>
        <w:t xml:space="preserve"> </w:t>
      </w:r>
      <w:r w:rsidRPr="009418AD">
        <w:rPr>
          <w:rFonts w:ascii="Verdana" w:hAnsi="Verdana" w:cs="Arial"/>
          <w:b/>
          <w:sz w:val="20"/>
          <w:szCs w:val="20"/>
          <w:lang w:val="sr-Latn-CS"/>
        </w:rPr>
        <w:t xml:space="preserve">Rashodi Društva 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- iznose </w:t>
      </w:r>
      <w:r w:rsidR="00804D7A" w:rsidRPr="009418AD">
        <w:rPr>
          <w:rFonts w:ascii="Verdana" w:hAnsi="Verdana" w:cs="Arial"/>
          <w:sz w:val="20"/>
          <w:szCs w:val="20"/>
          <w:lang w:val="sr-Latn-CS"/>
        </w:rPr>
        <w:t>1.090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. KM, </w:t>
      </w:r>
      <w:r w:rsidR="00D11DD0" w:rsidRPr="009418AD">
        <w:rPr>
          <w:rFonts w:ascii="Verdana" w:hAnsi="Verdana" w:cs="Arial"/>
          <w:sz w:val="20"/>
          <w:szCs w:val="20"/>
          <w:lang w:val="sr-Latn-CS"/>
        </w:rPr>
        <w:t>veći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su u odnosu na </w:t>
      </w:r>
      <w:r w:rsidR="00D11DD0" w:rsidRPr="009418AD">
        <w:rPr>
          <w:rFonts w:ascii="Verdana" w:hAnsi="Verdana" w:cs="Arial"/>
          <w:sz w:val="20"/>
          <w:szCs w:val="20"/>
          <w:lang w:val="sr-Latn-CS"/>
        </w:rPr>
        <w:t xml:space="preserve">prethodnu poslovnu godinu 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za </w:t>
      </w:r>
      <w:r w:rsidR="009D4FD4" w:rsidRPr="009418AD">
        <w:rPr>
          <w:rFonts w:ascii="Verdana" w:hAnsi="Verdana" w:cs="Arial"/>
          <w:sz w:val="20"/>
          <w:szCs w:val="20"/>
          <w:lang w:val="sr-Latn-CS"/>
        </w:rPr>
        <w:t>(</w:t>
      </w:r>
      <w:r w:rsidR="00D11DD0" w:rsidRPr="009418AD">
        <w:rPr>
          <w:rFonts w:ascii="Verdana" w:hAnsi="Verdana" w:cs="Arial"/>
          <w:sz w:val="20"/>
          <w:szCs w:val="20"/>
          <w:lang w:val="sr-Latn-CS"/>
        </w:rPr>
        <w:t>+</w:t>
      </w:r>
      <w:r w:rsidR="009D4FD4" w:rsidRPr="009418AD">
        <w:rPr>
          <w:rFonts w:ascii="Verdana" w:hAnsi="Verdana" w:cs="Arial"/>
          <w:sz w:val="20"/>
          <w:szCs w:val="20"/>
          <w:lang w:val="sr-Latn-CS"/>
        </w:rPr>
        <w:t xml:space="preserve">) </w:t>
      </w:r>
      <w:r w:rsidR="00804D7A" w:rsidRPr="009418AD">
        <w:rPr>
          <w:rFonts w:ascii="Verdana" w:hAnsi="Verdana" w:cs="Arial"/>
          <w:sz w:val="20"/>
          <w:szCs w:val="20"/>
          <w:lang w:val="sr-Latn-CS"/>
        </w:rPr>
        <w:t>192</w:t>
      </w:r>
      <w:r w:rsidR="00AF5048"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>. KM ili</w:t>
      </w:r>
      <w:r w:rsidR="009D4FD4" w:rsidRPr="009418AD">
        <w:rPr>
          <w:rFonts w:ascii="Verdana" w:hAnsi="Verdana" w:cs="Arial"/>
          <w:sz w:val="20"/>
          <w:szCs w:val="20"/>
          <w:lang w:val="sr-Latn-CS"/>
        </w:rPr>
        <w:t xml:space="preserve"> (</w:t>
      </w:r>
      <w:r w:rsidR="00D11DD0" w:rsidRPr="009418AD">
        <w:rPr>
          <w:rFonts w:ascii="Verdana" w:hAnsi="Verdana" w:cs="Arial"/>
          <w:sz w:val="20"/>
          <w:szCs w:val="20"/>
          <w:lang w:val="sr-Latn-CS"/>
        </w:rPr>
        <w:t>+</w:t>
      </w:r>
      <w:r w:rsidR="009D4FD4" w:rsidRPr="009418AD">
        <w:rPr>
          <w:rFonts w:ascii="Verdana" w:hAnsi="Verdana" w:cs="Arial"/>
          <w:sz w:val="20"/>
          <w:szCs w:val="20"/>
          <w:lang w:val="sr-Latn-CS"/>
        </w:rPr>
        <w:t xml:space="preserve">) 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804D7A" w:rsidRPr="009418AD">
        <w:rPr>
          <w:rFonts w:ascii="Verdana" w:hAnsi="Verdana" w:cs="Arial"/>
          <w:sz w:val="20"/>
          <w:szCs w:val="20"/>
          <w:lang w:val="sr-Latn-CS"/>
        </w:rPr>
        <w:t>21,34</w:t>
      </w:r>
      <w:r w:rsidR="00E26535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E26535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AF5048" w:rsidRPr="009418AD">
        <w:rPr>
          <w:rFonts w:ascii="Verdana" w:hAnsi="Verdana" w:cs="Arial"/>
          <w:sz w:val="20"/>
          <w:szCs w:val="20"/>
          <w:lang w:val="sr-Latn-CS"/>
        </w:rPr>
        <w:t>.</w:t>
      </w:r>
      <w:r w:rsidR="00BC465A" w:rsidRPr="009418AD">
        <w:rPr>
          <w:rFonts w:ascii="Verdana" w:hAnsi="Verdana" w:cs="Arial"/>
          <w:sz w:val="20"/>
          <w:szCs w:val="20"/>
          <w:lang w:val="sr-Latn-CS"/>
        </w:rPr>
        <w:t xml:space="preserve"> U strukturi rashoda učestvuju sljedeći osnovni pokazatelji poslovanja:</w:t>
      </w:r>
    </w:p>
    <w:p w14:paraId="284F497B" w14:textId="77777777" w:rsidR="009555AD" w:rsidRPr="009418AD" w:rsidRDefault="009555AD" w:rsidP="00BC465A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</w:p>
    <w:p w14:paraId="2B9C4D38" w14:textId="19FD3377" w:rsidR="00BC465A" w:rsidRPr="009418AD" w:rsidRDefault="00936F60" w:rsidP="004626DF">
      <w:pPr>
        <w:pStyle w:val="ListParagraph"/>
        <w:numPr>
          <w:ilvl w:val="0"/>
          <w:numId w:val="30"/>
        </w:numPr>
        <w:spacing w:after="0"/>
        <w:ind w:left="450" w:hanging="450"/>
        <w:rPr>
          <w:rFonts w:ascii="Verdana" w:hAnsi="Verdana" w:cs="Arial"/>
          <w:sz w:val="20"/>
          <w:szCs w:val="20"/>
          <w:lang w:val="sr-Latn-CS"/>
        </w:rPr>
      </w:pPr>
      <w:r w:rsidRPr="009418AD">
        <w:rPr>
          <w:rFonts w:ascii="Verdana" w:hAnsi="Verdana" w:cs="Arial"/>
          <w:sz w:val="20"/>
          <w:szCs w:val="20"/>
          <w:lang w:val="sr-Latn-CS"/>
        </w:rPr>
        <w:t>Rashodi o</w:t>
      </w:r>
      <w:r w:rsidR="00BC465A" w:rsidRPr="009418AD">
        <w:rPr>
          <w:rFonts w:ascii="Verdana" w:hAnsi="Verdana" w:cs="Arial"/>
          <w:sz w:val="20"/>
          <w:szCs w:val="20"/>
          <w:lang w:val="sr-Latn-CS"/>
        </w:rPr>
        <w:t xml:space="preserve"> od kamata, apsolutne </w:t>
      </w:r>
      <w:proofErr w:type="spellStart"/>
      <w:r w:rsidR="00BC465A"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="00BC465A"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726E2B" w:rsidRPr="009418AD">
        <w:rPr>
          <w:rFonts w:ascii="Verdana" w:hAnsi="Verdana" w:cs="Arial"/>
          <w:sz w:val="20"/>
          <w:szCs w:val="20"/>
          <w:lang w:val="sr-Latn-CS"/>
        </w:rPr>
        <w:t>375</w:t>
      </w:r>
      <w:r w:rsidR="00BC465A"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BC465A"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BC465A" w:rsidRPr="009418AD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726E2B" w:rsidRPr="009418AD">
        <w:rPr>
          <w:rFonts w:ascii="Verdana" w:hAnsi="Verdana" w:cs="Arial"/>
          <w:sz w:val="20"/>
          <w:szCs w:val="20"/>
          <w:lang w:val="sr-Latn-CS"/>
        </w:rPr>
        <w:t>34.4</w:t>
      </w:r>
      <w:r w:rsidR="007B722C" w:rsidRPr="009418AD">
        <w:rPr>
          <w:rFonts w:ascii="Verdana" w:hAnsi="Verdana" w:cs="Arial"/>
          <w:sz w:val="20"/>
          <w:szCs w:val="20"/>
          <w:lang w:val="sr-Latn-CS"/>
        </w:rPr>
        <w:t>1</w:t>
      </w:r>
      <w:r w:rsidR="00BC465A" w:rsidRPr="009418AD">
        <w:rPr>
          <w:rFonts w:ascii="Verdana" w:hAnsi="Verdana" w:cs="Arial"/>
          <w:sz w:val="20"/>
          <w:szCs w:val="20"/>
          <w:lang w:val="sr-Latn-CS"/>
        </w:rPr>
        <w:t xml:space="preserve">% ukupnih rashoda. U odnosu na prethodnu poslovnu godinu ostvaren je rast apsolutne </w:t>
      </w:r>
      <w:proofErr w:type="spellStart"/>
      <w:r w:rsidR="00BC465A"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="00BC465A" w:rsidRPr="009418AD">
        <w:rPr>
          <w:rFonts w:ascii="Verdana" w:hAnsi="Verdana" w:cs="Arial"/>
          <w:sz w:val="20"/>
          <w:szCs w:val="20"/>
          <w:lang w:val="sr-Latn-CS"/>
        </w:rPr>
        <w:t xml:space="preserve">  (+) </w:t>
      </w:r>
      <w:r w:rsidR="00726E2B" w:rsidRPr="009418AD">
        <w:rPr>
          <w:rFonts w:ascii="Verdana" w:hAnsi="Verdana" w:cs="Arial"/>
          <w:sz w:val="20"/>
          <w:szCs w:val="20"/>
          <w:lang w:val="sr-Latn-CS"/>
        </w:rPr>
        <w:t>138</w:t>
      </w:r>
      <w:r w:rsidR="00BC465A"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BC465A"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BC465A" w:rsidRPr="009418AD"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726E2B" w:rsidRPr="009418AD">
        <w:rPr>
          <w:rFonts w:ascii="Verdana" w:hAnsi="Verdana" w:cs="Arial"/>
          <w:sz w:val="20"/>
          <w:szCs w:val="20"/>
          <w:lang w:val="sr-Latn-CS"/>
        </w:rPr>
        <w:t>58,07</w:t>
      </w:r>
      <w:r w:rsidR="005325FE"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52360" w:rsidRPr="009418AD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BC465A" w:rsidRPr="009418AD">
        <w:rPr>
          <w:rFonts w:ascii="Verdana" w:hAnsi="Verdana" w:cs="Arial"/>
          <w:sz w:val="20"/>
          <w:szCs w:val="20"/>
          <w:lang w:val="sr-Latn-CS"/>
        </w:rPr>
        <w:t>.</w:t>
      </w:r>
    </w:p>
    <w:p w14:paraId="65EE43F7" w14:textId="517FB033" w:rsidR="00952360" w:rsidRPr="009418AD" w:rsidRDefault="00BC465A" w:rsidP="004626DF">
      <w:pPr>
        <w:pStyle w:val="ListParagraph"/>
        <w:numPr>
          <w:ilvl w:val="0"/>
          <w:numId w:val="30"/>
        </w:numPr>
        <w:spacing w:after="0"/>
        <w:ind w:left="450" w:hanging="450"/>
        <w:rPr>
          <w:rFonts w:ascii="Verdana" w:hAnsi="Verdana" w:cs="Arial"/>
          <w:sz w:val="20"/>
          <w:szCs w:val="20"/>
          <w:lang w:val="sr-Latn-CS"/>
        </w:rPr>
      </w:pPr>
      <w:r w:rsidRPr="009418AD">
        <w:rPr>
          <w:rFonts w:ascii="Verdana" w:hAnsi="Verdana" w:cs="Arial"/>
          <w:sz w:val="20"/>
          <w:szCs w:val="20"/>
          <w:lang w:val="sr-Latn-CS"/>
        </w:rPr>
        <w:t xml:space="preserve">Rashodi naknada i provizija </w:t>
      </w:r>
      <w:r w:rsidR="00952360" w:rsidRPr="009418AD">
        <w:rPr>
          <w:rFonts w:ascii="Verdana" w:hAnsi="Verdana" w:cs="Arial"/>
          <w:sz w:val="20"/>
          <w:szCs w:val="20"/>
          <w:lang w:val="sr-Latn-CS"/>
        </w:rPr>
        <w:t xml:space="preserve">- 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prema poslovnim bankama,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726E2B" w:rsidRPr="009418AD">
        <w:rPr>
          <w:rFonts w:ascii="Verdana" w:hAnsi="Verdana" w:cs="Arial"/>
          <w:sz w:val="20"/>
          <w:szCs w:val="20"/>
          <w:lang w:val="sr-Latn-CS"/>
        </w:rPr>
        <w:t>12</w:t>
      </w:r>
      <w:r w:rsidR="00610AE1"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. KM,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predtavljaju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7B722C" w:rsidRPr="009418AD">
        <w:rPr>
          <w:rFonts w:ascii="Verdana" w:hAnsi="Verdana" w:cs="Arial"/>
          <w:sz w:val="20"/>
          <w:szCs w:val="20"/>
          <w:lang w:val="sr-Latn-CS"/>
        </w:rPr>
        <w:t>1.10</w:t>
      </w:r>
      <w:r w:rsidR="00952360" w:rsidRPr="009418AD">
        <w:rPr>
          <w:rFonts w:ascii="Verdana" w:hAnsi="Verdana" w:cs="Arial"/>
          <w:sz w:val="20"/>
          <w:szCs w:val="20"/>
          <w:lang w:val="sr-Latn-CS"/>
        </w:rPr>
        <w:t xml:space="preserve">% ukupnih rashoda. U odnosu na prethodnu poslovnu godinu ostvaren je rast apsolutne </w:t>
      </w:r>
      <w:proofErr w:type="spellStart"/>
      <w:r w:rsidR="00952360"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="00952360" w:rsidRPr="009418AD">
        <w:rPr>
          <w:rFonts w:ascii="Verdana" w:hAnsi="Verdana" w:cs="Arial"/>
          <w:sz w:val="20"/>
          <w:szCs w:val="20"/>
          <w:lang w:val="sr-Latn-CS"/>
        </w:rPr>
        <w:t xml:space="preserve">  (+) </w:t>
      </w:r>
      <w:r w:rsidR="00726E2B" w:rsidRPr="009418AD">
        <w:rPr>
          <w:rFonts w:ascii="Verdana" w:hAnsi="Verdana" w:cs="Arial"/>
          <w:sz w:val="20"/>
          <w:szCs w:val="20"/>
          <w:lang w:val="sr-Latn-CS"/>
        </w:rPr>
        <w:t>3</w:t>
      </w:r>
      <w:r w:rsidR="00952360"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52360"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952360" w:rsidRPr="009418AD"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726E2B" w:rsidRPr="009418AD">
        <w:rPr>
          <w:rFonts w:ascii="Verdana" w:hAnsi="Verdana" w:cs="Arial"/>
          <w:sz w:val="20"/>
          <w:szCs w:val="20"/>
          <w:lang w:val="sr-Latn-CS"/>
        </w:rPr>
        <w:t>36.17</w:t>
      </w:r>
      <w:r w:rsidR="005325FE"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952360" w:rsidRPr="009418AD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952360" w:rsidRPr="009418AD">
        <w:rPr>
          <w:rFonts w:ascii="Verdana" w:hAnsi="Verdana" w:cs="Arial"/>
          <w:sz w:val="20"/>
          <w:szCs w:val="20"/>
          <w:lang w:val="sr-Latn-CS"/>
        </w:rPr>
        <w:t>.</w:t>
      </w:r>
    </w:p>
    <w:p w14:paraId="02A95212" w14:textId="4B4F74F4" w:rsidR="00952360" w:rsidRPr="009418AD" w:rsidRDefault="00952360" w:rsidP="004626DF">
      <w:pPr>
        <w:pStyle w:val="ListParagraph"/>
        <w:numPr>
          <w:ilvl w:val="0"/>
          <w:numId w:val="30"/>
        </w:numPr>
        <w:spacing w:after="0"/>
        <w:ind w:left="450" w:hanging="450"/>
        <w:rPr>
          <w:rFonts w:ascii="Verdana" w:hAnsi="Verdana" w:cs="Arial"/>
          <w:sz w:val="20"/>
          <w:szCs w:val="20"/>
          <w:lang w:val="sr-Latn-CS"/>
        </w:rPr>
      </w:pPr>
      <w:r w:rsidRPr="009418AD">
        <w:rPr>
          <w:rFonts w:ascii="Verdana" w:hAnsi="Verdana" w:cs="Arial"/>
          <w:sz w:val="20"/>
          <w:szCs w:val="20"/>
          <w:lang w:val="sr-Latn-CS"/>
        </w:rPr>
        <w:t xml:space="preserve">Rashodi ostalih naknada i provizija - prema institucijama( ABRS, CRK, CRHOV, Berza, broker i sl.) ,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726E2B" w:rsidRPr="009418AD">
        <w:rPr>
          <w:rFonts w:ascii="Verdana" w:hAnsi="Verdana" w:cs="Arial"/>
          <w:sz w:val="20"/>
          <w:szCs w:val="20"/>
          <w:lang w:val="sr-Latn-CS"/>
        </w:rPr>
        <w:t>61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. KM,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predtavljaju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5,60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% ukupnih rashoda. U odnosu na prethodnu poslovnu godinu ostvaren je rast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 (+) </w:t>
      </w:r>
      <w:r w:rsidR="00726E2B" w:rsidRPr="009418AD">
        <w:rPr>
          <w:rFonts w:ascii="Verdana" w:hAnsi="Verdana" w:cs="Arial"/>
          <w:sz w:val="20"/>
          <w:szCs w:val="20"/>
          <w:lang w:val="sr-Latn-CS"/>
        </w:rPr>
        <w:t>21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726E2B" w:rsidRPr="009418AD">
        <w:rPr>
          <w:rFonts w:ascii="Verdana" w:hAnsi="Verdana" w:cs="Arial"/>
          <w:sz w:val="20"/>
          <w:szCs w:val="20"/>
          <w:lang w:val="sr-Latn-CS"/>
        </w:rPr>
        <w:t>52,34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>.</w:t>
      </w:r>
    </w:p>
    <w:p w14:paraId="0AE0D262" w14:textId="6233B54B" w:rsidR="009C12A6" w:rsidRPr="009418AD" w:rsidRDefault="009C12A6" w:rsidP="004626DF">
      <w:pPr>
        <w:pStyle w:val="ListParagraph"/>
        <w:numPr>
          <w:ilvl w:val="0"/>
          <w:numId w:val="30"/>
        </w:numPr>
        <w:spacing w:after="0"/>
        <w:ind w:left="450" w:hanging="450"/>
        <w:rPr>
          <w:rFonts w:ascii="Verdana" w:hAnsi="Verdana" w:cs="Arial"/>
          <w:sz w:val="20"/>
          <w:szCs w:val="20"/>
          <w:lang w:val="sr-Latn-CS"/>
        </w:rPr>
      </w:pPr>
      <w:r w:rsidRPr="009418AD">
        <w:rPr>
          <w:rFonts w:ascii="Verdana" w:hAnsi="Verdana" w:cs="Arial"/>
          <w:sz w:val="20"/>
          <w:szCs w:val="20"/>
          <w:lang w:val="sr-Latn-CS"/>
        </w:rPr>
        <w:t xml:space="preserve">Rashodi od indirektnog otpisa plasmana,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75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6,88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% ukupnih rashoda. U odnosu na prethodnu poslovnu godinu ostvaren je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 xml:space="preserve">pad 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 (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-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)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65</w:t>
      </w:r>
      <w:r w:rsidR="005325FE"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>. KM ili (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-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)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46,3</w:t>
      </w:r>
      <w:r w:rsidR="007B722C" w:rsidRPr="009418AD">
        <w:rPr>
          <w:rFonts w:ascii="Verdana" w:hAnsi="Verdana" w:cs="Arial"/>
          <w:sz w:val="20"/>
          <w:szCs w:val="20"/>
          <w:lang w:val="sr-Latn-CS"/>
        </w:rPr>
        <w:t>6</w:t>
      </w:r>
      <w:r w:rsidR="005325FE"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>.</w:t>
      </w:r>
    </w:p>
    <w:p w14:paraId="210CF43E" w14:textId="262D0B9D" w:rsidR="005325FE" w:rsidRPr="009418AD" w:rsidRDefault="005325FE" w:rsidP="004626DF">
      <w:pPr>
        <w:pStyle w:val="ListParagraph"/>
        <w:numPr>
          <w:ilvl w:val="0"/>
          <w:numId w:val="30"/>
        </w:numPr>
        <w:spacing w:after="0"/>
        <w:ind w:left="450" w:hanging="450"/>
        <w:rPr>
          <w:rFonts w:ascii="Verdana" w:hAnsi="Verdana" w:cs="Arial"/>
          <w:sz w:val="20"/>
          <w:szCs w:val="20"/>
          <w:lang w:val="sr-Latn-CS"/>
        </w:rPr>
      </w:pPr>
      <w:bookmarkStart w:id="7" w:name="_Hlk161406132"/>
      <w:r w:rsidRPr="009418AD">
        <w:rPr>
          <w:rFonts w:ascii="Verdana" w:hAnsi="Verdana" w:cs="Arial"/>
          <w:sz w:val="20"/>
          <w:szCs w:val="20"/>
          <w:lang w:val="sr-Latn-CS"/>
        </w:rPr>
        <w:t xml:space="preserve">Rashodi bruto zarada,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410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37.61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% ukupnih rashoda. U odnosu na prethodnu poslovnu godinu ostvaren je rast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 (+)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49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13.68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>.</w:t>
      </w:r>
    </w:p>
    <w:bookmarkEnd w:id="7"/>
    <w:p w14:paraId="10F901B6" w14:textId="075D684E" w:rsidR="005325FE" w:rsidRPr="009418AD" w:rsidRDefault="005325FE" w:rsidP="004626DF">
      <w:pPr>
        <w:pStyle w:val="ListParagraph"/>
        <w:numPr>
          <w:ilvl w:val="0"/>
          <w:numId w:val="30"/>
        </w:numPr>
        <w:spacing w:after="0"/>
        <w:ind w:left="450" w:hanging="450"/>
        <w:rPr>
          <w:rFonts w:ascii="Verdana" w:hAnsi="Verdana" w:cs="Arial"/>
          <w:sz w:val="20"/>
          <w:szCs w:val="20"/>
          <w:lang w:val="sr-Latn-CS"/>
        </w:rPr>
      </w:pPr>
      <w:r w:rsidRPr="009418AD">
        <w:rPr>
          <w:rFonts w:ascii="Verdana" w:hAnsi="Verdana" w:cs="Arial"/>
          <w:sz w:val="20"/>
          <w:szCs w:val="20"/>
          <w:lang w:val="sr-Latn-CS"/>
        </w:rPr>
        <w:t xml:space="preserve">Ostali lični rashodi,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2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0,18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% ukupnih rashoda. U odnosu na prethodnu poslovnu godinu ostvaren pad od  (-)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19.37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>.</w:t>
      </w:r>
    </w:p>
    <w:p w14:paraId="6EA8718A" w14:textId="01D668BE" w:rsidR="005325FE" w:rsidRPr="009418AD" w:rsidRDefault="005325FE" w:rsidP="004626DF">
      <w:pPr>
        <w:pStyle w:val="ListParagraph"/>
        <w:numPr>
          <w:ilvl w:val="0"/>
          <w:numId w:val="30"/>
        </w:numPr>
        <w:spacing w:after="0"/>
        <w:ind w:left="450" w:hanging="450"/>
        <w:rPr>
          <w:rFonts w:ascii="Verdana" w:hAnsi="Verdana" w:cs="Arial"/>
          <w:sz w:val="20"/>
          <w:szCs w:val="20"/>
          <w:lang w:val="sr-Latn-CS"/>
        </w:rPr>
      </w:pPr>
      <w:r w:rsidRPr="009418AD">
        <w:rPr>
          <w:rFonts w:ascii="Verdana" w:hAnsi="Verdana" w:cs="Arial"/>
          <w:sz w:val="20"/>
          <w:szCs w:val="20"/>
          <w:lang w:val="sr-Latn-CS"/>
        </w:rPr>
        <w:t xml:space="preserve">Rashodi materijala,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 xml:space="preserve">24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2,20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% ukupnih rashoda. U odnosu na prethodnu poslovnu godinu ostvaren je rast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 (+)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 xml:space="preserve"> 8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53.50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>.</w:t>
      </w:r>
    </w:p>
    <w:p w14:paraId="71B60D54" w14:textId="40AA7883" w:rsidR="00952360" w:rsidRPr="009418AD" w:rsidRDefault="005325FE" w:rsidP="004626DF">
      <w:pPr>
        <w:pStyle w:val="ListParagraph"/>
        <w:numPr>
          <w:ilvl w:val="0"/>
          <w:numId w:val="31"/>
        </w:numPr>
        <w:spacing w:before="240" w:after="0"/>
        <w:ind w:left="450" w:hanging="450"/>
        <w:rPr>
          <w:rFonts w:ascii="Verdana" w:hAnsi="Verdana" w:cs="Arial"/>
          <w:sz w:val="20"/>
          <w:szCs w:val="20"/>
          <w:lang w:val="sr-Latn-CS"/>
        </w:rPr>
      </w:pPr>
      <w:r w:rsidRPr="009418AD">
        <w:rPr>
          <w:rFonts w:ascii="Verdana" w:hAnsi="Verdana" w:cs="Arial"/>
          <w:sz w:val="20"/>
          <w:szCs w:val="20"/>
          <w:lang w:val="sr-Latn-CS"/>
        </w:rPr>
        <w:t xml:space="preserve">Rashodi proizvodnih usluga ,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93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8,53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% ukupnih rashoda. U odnosu na prethodnu poslovnu godinu ostvaren je rast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 (+)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 xml:space="preserve">29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2139A5" w:rsidRPr="009418AD">
        <w:rPr>
          <w:rFonts w:ascii="Verdana" w:hAnsi="Verdana" w:cs="Arial"/>
          <w:sz w:val="20"/>
          <w:szCs w:val="20"/>
          <w:lang w:val="sr-Latn-CS"/>
        </w:rPr>
        <w:t>45,56</w:t>
      </w:r>
      <w:r w:rsidR="00A81403"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A81403" w:rsidRPr="009418AD">
        <w:rPr>
          <w:rFonts w:ascii="Verdana" w:hAnsi="Verdana" w:cs="Arial"/>
          <w:sz w:val="20"/>
          <w:szCs w:val="20"/>
          <w:lang w:val="sr-Latn-CS"/>
        </w:rPr>
        <w:t>p.</w:t>
      </w:r>
      <w:r w:rsidRPr="009418AD">
        <w:rPr>
          <w:rFonts w:ascii="Verdana" w:hAnsi="Verdana" w:cs="Arial"/>
          <w:sz w:val="20"/>
          <w:szCs w:val="20"/>
          <w:lang w:val="sr-Latn-CS"/>
        </w:rPr>
        <w:t>p</w:t>
      </w:r>
      <w:proofErr w:type="spellEnd"/>
      <w:r w:rsidR="00A81403" w:rsidRPr="009418AD">
        <w:rPr>
          <w:rFonts w:ascii="Verdana" w:hAnsi="Verdana" w:cs="Arial"/>
          <w:sz w:val="20"/>
          <w:szCs w:val="20"/>
          <w:lang w:val="sr-Latn-CS"/>
        </w:rPr>
        <w:t>.</w:t>
      </w:r>
    </w:p>
    <w:p w14:paraId="38A00ADE" w14:textId="44C283EF" w:rsidR="00A81403" w:rsidRPr="009418AD" w:rsidRDefault="00A81403" w:rsidP="004626DF">
      <w:pPr>
        <w:pStyle w:val="ListParagraph"/>
        <w:numPr>
          <w:ilvl w:val="0"/>
          <w:numId w:val="31"/>
        </w:numPr>
        <w:spacing w:before="240" w:after="0"/>
        <w:ind w:left="450" w:hanging="450"/>
        <w:rPr>
          <w:rFonts w:ascii="Verdana" w:hAnsi="Verdana" w:cs="Arial"/>
          <w:sz w:val="20"/>
          <w:szCs w:val="20"/>
          <w:lang w:val="sr-Latn-CS"/>
        </w:rPr>
      </w:pPr>
      <w:r w:rsidRPr="009418AD">
        <w:rPr>
          <w:rFonts w:ascii="Verdana" w:hAnsi="Verdana" w:cs="Arial"/>
          <w:sz w:val="20"/>
          <w:szCs w:val="20"/>
          <w:lang w:val="sr-Latn-CS"/>
        </w:rPr>
        <w:t xml:space="preserve">Rashodi amortizacije,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1</w:t>
      </w:r>
      <w:r w:rsidR="00610AE1" w:rsidRPr="009418AD">
        <w:rPr>
          <w:rFonts w:ascii="Verdana" w:hAnsi="Verdana" w:cs="Arial"/>
          <w:sz w:val="20"/>
          <w:szCs w:val="20"/>
          <w:lang w:val="sr-Latn-CS"/>
        </w:rPr>
        <w:t>1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>. KM, predstavljaju 1,</w:t>
      </w:r>
      <w:r w:rsidR="00B91B80" w:rsidRPr="009418AD">
        <w:rPr>
          <w:rFonts w:ascii="Verdana" w:hAnsi="Verdana" w:cs="Arial"/>
          <w:sz w:val="20"/>
          <w:szCs w:val="20"/>
          <w:lang w:val="sr-Latn-CS"/>
        </w:rPr>
        <w:t>0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1% ukupnih rashoda. U odnosu na prethodnu poslovnu godinu ostvaren je rast od (+) </w:t>
      </w:r>
      <w:r w:rsidR="00BE52F6">
        <w:rPr>
          <w:rFonts w:ascii="Verdana" w:hAnsi="Verdana" w:cs="Arial"/>
          <w:sz w:val="20"/>
          <w:szCs w:val="20"/>
          <w:lang w:val="sr-Latn-CS"/>
        </w:rPr>
        <w:t>9.67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>.</w:t>
      </w:r>
    </w:p>
    <w:p w14:paraId="72F30AF8" w14:textId="1FCB5287" w:rsidR="00A81403" w:rsidRPr="009418AD" w:rsidRDefault="00A81403" w:rsidP="004626DF">
      <w:pPr>
        <w:pStyle w:val="ListParagraph"/>
        <w:numPr>
          <w:ilvl w:val="0"/>
          <w:numId w:val="31"/>
        </w:numPr>
        <w:spacing w:before="240" w:after="0"/>
        <w:ind w:left="450" w:hanging="450"/>
        <w:rPr>
          <w:rFonts w:ascii="Verdana" w:hAnsi="Verdana" w:cs="Arial"/>
          <w:sz w:val="20"/>
          <w:szCs w:val="20"/>
          <w:lang w:val="sr-Latn-CS"/>
        </w:rPr>
      </w:pPr>
      <w:r w:rsidRPr="009418AD">
        <w:rPr>
          <w:rFonts w:ascii="Verdana" w:hAnsi="Verdana" w:cs="Arial"/>
          <w:sz w:val="20"/>
          <w:szCs w:val="20"/>
          <w:lang w:val="sr-Latn-CS"/>
        </w:rPr>
        <w:t xml:space="preserve">Nematerijalni troškovi,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B91B80" w:rsidRPr="009418AD">
        <w:rPr>
          <w:rFonts w:ascii="Verdana" w:hAnsi="Verdana" w:cs="Arial"/>
          <w:sz w:val="20"/>
          <w:szCs w:val="20"/>
          <w:lang w:val="sr-Latn-CS"/>
        </w:rPr>
        <w:t>1</w:t>
      </w:r>
      <w:r w:rsidR="00610AE1" w:rsidRPr="009418AD">
        <w:rPr>
          <w:rFonts w:ascii="Verdana" w:hAnsi="Verdana" w:cs="Arial"/>
          <w:sz w:val="20"/>
          <w:szCs w:val="20"/>
          <w:lang w:val="sr-Latn-CS"/>
        </w:rPr>
        <w:t>4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B91B80" w:rsidRPr="009418AD">
        <w:rPr>
          <w:rFonts w:ascii="Verdana" w:hAnsi="Verdana" w:cs="Arial"/>
          <w:sz w:val="20"/>
          <w:szCs w:val="20"/>
          <w:lang w:val="sr-Latn-CS"/>
        </w:rPr>
        <w:t>1.</w:t>
      </w:r>
      <w:r w:rsidR="007B722C" w:rsidRPr="009418AD">
        <w:rPr>
          <w:rFonts w:ascii="Verdana" w:hAnsi="Verdana" w:cs="Arial"/>
          <w:sz w:val="20"/>
          <w:szCs w:val="20"/>
          <w:lang w:val="sr-Latn-CS"/>
        </w:rPr>
        <w:t>28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% ukupnih rashoda. U odnosu na prethodnu poslovnu godinu ostvaren je rast </w:t>
      </w:r>
      <w:r w:rsidR="00B91B80" w:rsidRPr="009418AD">
        <w:rPr>
          <w:rFonts w:ascii="Verdana" w:hAnsi="Verdana" w:cs="Arial"/>
          <w:sz w:val="20"/>
          <w:szCs w:val="20"/>
          <w:lang w:val="sr-Latn-CS"/>
        </w:rPr>
        <w:t xml:space="preserve">apsolutne </w:t>
      </w:r>
      <w:proofErr w:type="spellStart"/>
      <w:r w:rsidR="00B91B80"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="00B91B80" w:rsidRPr="009418AD">
        <w:rPr>
          <w:rFonts w:ascii="Verdana" w:hAnsi="Verdana" w:cs="Arial"/>
          <w:sz w:val="20"/>
          <w:szCs w:val="20"/>
          <w:lang w:val="sr-Latn-CS"/>
        </w:rPr>
        <w:t xml:space="preserve">  (+) </w:t>
      </w:r>
      <w:r w:rsidR="00610AE1" w:rsidRPr="009418AD">
        <w:rPr>
          <w:rFonts w:ascii="Verdana" w:hAnsi="Verdana" w:cs="Arial"/>
          <w:sz w:val="20"/>
          <w:szCs w:val="20"/>
          <w:lang w:val="sr-Latn-CS"/>
        </w:rPr>
        <w:t>4</w:t>
      </w:r>
      <w:r w:rsidR="00B91B80"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B91B80"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B91B80" w:rsidRPr="009418AD">
        <w:rPr>
          <w:rFonts w:ascii="Verdana" w:hAnsi="Verdana" w:cs="Arial"/>
          <w:sz w:val="20"/>
          <w:szCs w:val="20"/>
          <w:lang w:val="sr-Latn-CS"/>
        </w:rPr>
        <w:t xml:space="preserve">. KM ili 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od (+) </w:t>
      </w:r>
      <w:r w:rsidR="00B91B80" w:rsidRPr="009418AD">
        <w:rPr>
          <w:rFonts w:ascii="Verdana" w:hAnsi="Verdana" w:cs="Arial"/>
          <w:sz w:val="20"/>
          <w:szCs w:val="20"/>
          <w:lang w:val="sr-Latn-CS"/>
        </w:rPr>
        <w:t>31.18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>.</w:t>
      </w:r>
    </w:p>
    <w:p w14:paraId="354D0477" w14:textId="7074FE30" w:rsidR="00A81403" w:rsidRPr="009418AD" w:rsidRDefault="00A81403" w:rsidP="004626DF">
      <w:pPr>
        <w:pStyle w:val="ListParagraph"/>
        <w:numPr>
          <w:ilvl w:val="0"/>
          <w:numId w:val="31"/>
        </w:numPr>
        <w:spacing w:before="240" w:after="0"/>
        <w:ind w:left="450" w:hanging="450"/>
        <w:rPr>
          <w:rFonts w:ascii="Verdana" w:hAnsi="Verdana" w:cs="Arial"/>
          <w:sz w:val="20"/>
          <w:szCs w:val="20"/>
          <w:lang w:val="sr-Latn-CS"/>
        </w:rPr>
      </w:pPr>
      <w:r w:rsidRPr="009418AD">
        <w:rPr>
          <w:rFonts w:ascii="Verdana" w:hAnsi="Verdana" w:cs="Arial"/>
          <w:sz w:val="20"/>
          <w:szCs w:val="20"/>
          <w:lang w:val="sr-Latn-CS"/>
        </w:rPr>
        <w:t>Troškovi poreza i doprinosa, apsolutne vrijednosti 7 hilj. KM, predstavljaju 0,</w:t>
      </w:r>
      <w:r w:rsidR="00B91B80" w:rsidRPr="009418AD">
        <w:rPr>
          <w:rFonts w:ascii="Verdana" w:hAnsi="Verdana" w:cs="Arial"/>
          <w:sz w:val="20"/>
          <w:szCs w:val="20"/>
          <w:lang w:val="sr-Latn-CS"/>
        </w:rPr>
        <w:t>64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% ukupnih rashoda. U odnosu na prethodnu poslovnu godinu ostvaren je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padt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B91B80" w:rsidRPr="009418AD">
        <w:rPr>
          <w:rFonts w:ascii="Verdana" w:hAnsi="Verdana" w:cs="Arial"/>
          <w:sz w:val="20"/>
          <w:szCs w:val="20"/>
          <w:lang w:val="sr-Latn-CS"/>
        </w:rPr>
        <w:t>od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(-) </w:t>
      </w:r>
      <w:r w:rsidR="00B91B80" w:rsidRPr="009418AD">
        <w:rPr>
          <w:rFonts w:ascii="Verdana" w:hAnsi="Verdana" w:cs="Arial"/>
          <w:sz w:val="20"/>
          <w:szCs w:val="20"/>
          <w:lang w:val="sr-Latn-CS"/>
        </w:rPr>
        <w:t>2.93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>.</w:t>
      </w:r>
    </w:p>
    <w:p w14:paraId="110F1C60" w14:textId="2CDDD695" w:rsidR="00A9276C" w:rsidRDefault="00A81403" w:rsidP="004626DF">
      <w:pPr>
        <w:pStyle w:val="ListParagraph"/>
        <w:numPr>
          <w:ilvl w:val="0"/>
          <w:numId w:val="31"/>
        </w:numPr>
        <w:spacing w:before="240" w:after="0"/>
        <w:ind w:left="450" w:hanging="450"/>
        <w:rPr>
          <w:rFonts w:ascii="Verdana" w:hAnsi="Verdana" w:cs="Arial"/>
          <w:sz w:val="20"/>
          <w:szCs w:val="20"/>
          <w:lang w:val="sr-Latn-CS"/>
        </w:rPr>
      </w:pPr>
      <w:r w:rsidRPr="009418AD">
        <w:rPr>
          <w:rFonts w:ascii="Verdana" w:hAnsi="Verdana" w:cs="Arial"/>
          <w:sz w:val="20"/>
          <w:szCs w:val="20"/>
          <w:lang w:val="sr-Latn-CS"/>
        </w:rPr>
        <w:lastRenderedPageBreak/>
        <w:t xml:space="preserve">Ostali rashodi, apsolutne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B91B80" w:rsidRPr="009418AD">
        <w:rPr>
          <w:rFonts w:ascii="Verdana" w:hAnsi="Verdana" w:cs="Arial"/>
          <w:sz w:val="20"/>
          <w:szCs w:val="20"/>
          <w:lang w:val="sr-Latn-CS"/>
        </w:rPr>
        <w:t>6</w:t>
      </w:r>
      <w:r w:rsidRPr="009418AD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9418AD">
        <w:rPr>
          <w:rFonts w:ascii="Verdana" w:hAnsi="Verdana" w:cs="Arial"/>
          <w:sz w:val="20"/>
          <w:szCs w:val="20"/>
          <w:lang w:val="sr-Latn-CS"/>
        </w:rPr>
        <w:t>. KM, predstavljaju 0,</w:t>
      </w:r>
      <w:r w:rsidR="00B91B80" w:rsidRPr="009418AD">
        <w:rPr>
          <w:rFonts w:ascii="Verdana" w:hAnsi="Verdana" w:cs="Arial"/>
          <w:sz w:val="20"/>
          <w:szCs w:val="20"/>
          <w:lang w:val="sr-Latn-CS"/>
        </w:rPr>
        <w:t>55</w:t>
      </w:r>
      <w:r w:rsidRPr="009418AD">
        <w:rPr>
          <w:rFonts w:ascii="Verdana" w:hAnsi="Verdana" w:cs="Arial"/>
          <w:sz w:val="20"/>
          <w:szCs w:val="20"/>
          <w:lang w:val="sr-Latn-CS"/>
        </w:rPr>
        <w:t>% ukupnih rashoda</w:t>
      </w:r>
      <w:r w:rsidR="00B91B80" w:rsidRPr="009418AD">
        <w:rPr>
          <w:rFonts w:ascii="Verdana" w:hAnsi="Verdana" w:cs="Arial"/>
          <w:sz w:val="20"/>
          <w:szCs w:val="20"/>
          <w:lang w:val="sr-Latn-CS"/>
        </w:rPr>
        <w:t xml:space="preserve"> U odnosu na prethodnu poslovnu godinu ostvaren je rast apsolutne </w:t>
      </w:r>
      <w:proofErr w:type="spellStart"/>
      <w:r w:rsidR="00B91B80" w:rsidRPr="009418AD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="00B91B80" w:rsidRPr="009418AD">
        <w:rPr>
          <w:rFonts w:ascii="Verdana" w:hAnsi="Verdana" w:cs="Arial"/>
          <w:sz w:val="20"/>
          <w:szCs w:val="20"/>
          <w:lang w:val="sr-Latn-CS"/>
        </w:rPr>
        <w:t xml:space="preserve">  (+) 5 </w:t>
      </w:r>
      <w:proofErr w:type="spellStart"/>
      <w:r w:rsidR="00B91B80" w:rsidRPr="009418AD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B91B80" w:rsidRPr="009418AD">
        <w:rPr>
          <w:rFonts w:ascii="Verdana" w:hAnsi="Verdana" w:cs="Arial"/>
          <w:sz w:val="20"/>
          <w:szCs w:val="20"/>
          <w:lang w:val="sr-Latn-CS"/>
        </w:rPr>
        <w:t xml:space="preserve">. KM ili od (+) 252.10 </w:t>
      </w:r>
      <w:proofErr w:type="spellStart"/>
      <w:r w:rsidR="00B91B80" w:rsidRPr="009418AD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B91B80" w:rsidRPr="009418AD">
        <w:rPr>
          <w:rFonts w:ascii="Verdana" w:hAnsi="Verdana" w:cs="Arial"/>
          <w:sz w:val="20"/>
          <w:szCs w:val="20"/>
          <w:lang w:val="sr-Latn-CS"/>
        </w:rPr>
        <w:t>.</w:t>
      </w:r>
    </w:p>
    <w:p w14:paraId="48E208DA" w14:textId="2A6B563D" w:rsidR="00185020" w:rsidRPr="00185020" w:rsidRDefault="009555AD" w:rsidP="00185020">
      <w:pPr>
        <w:spacing w:before="240" w:after="0"/>
        <w:rPr>
          <w:rFonts w:ascii="Verdana" w:hAnsi="Verdana" w:cs="Arial"/>
          <w:sz w:val="20"/>
          <w:szCs w:val="20"/>
          <w:lang w:val="sr-Latn-CS"/>
        </w:rPr>
      </w:pPr>
      <w:r w:rsidRPr="009555AD">
        <w:rPr>
          <w:noProof/>
        </w:rPr>
        <w:drawing>
          <wp:inline distT="0" distB="0" distL="0" distR="0" wp14:anchorId="091B3492" wp14:editId="1BE72B08">
            <wp:extent cx="5760720" cy="2478405"/>
            <wp:effectExtent l="0" t="0" r="0" b="0"/>
            <wp:docPr id="18078470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02063" w14:textId="77777777" w:rsidR="00523F9E" w:rsidRPr="00425127" w:rsidRDefault="00523F9E" w:rsidP="00523F9E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</w:p>
    <w:p w14:paraId="60FA1E29" w14:textId="38AD69A0" w:rsidR="000E41A0" w:rsidRDefault="000E41A0" w:rsidP="00A93291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  <w:r w:rsidRPr="00425127">
        <w:rPr>
          <w:rFonts w:cs="Arial"/>
          <w:sz w:val="20"/>
          <w:szCs w:val="20"/>
          <w:lang w:val="sr-Latn-CS"/>
        </w:rPr>
        <w:t>→</w:t>
      </w:r>
      <w:r w:rsidRPr="00425127">
        <w:rPr>
          <w:rFonts w:ascii="Verdana" w:hAnsi="Verdana" w:cs="Arial"/>
          <w:sz w:val="20"/>
          <w:szCs w:val="20"/>
          <w:lang w:val="sr-Latn-CS"/>
        </w:rPr>
        <w:t xml:space="preserve"> </w:t>
      </w:r>
      <w:r w:rsidRPr="00425127">
        <w:rPr>
          <w:rFonts w:ascii="Verdana" w:hAnsi="Verdana" w:cs="Arial"/>
          <w:b/>
          <w:sz w:val="20"/>
          <w:szCs w:val="20"/>
          <w:lang w:val="sr-Latn-CS"/>
        </w:rPr>
        <w:t>Neto dobit</w:t>
      </w:r>
      <w:r w:rsidRPr="00425127">
        <w:rPr>
          <w:rFonts w:ascii="Verdana" w:hAnsi="Verdana" w:cs="Arial"/>
          <w:sz w:val="20"/>
          <w:szCs w:val="20"/>
          <w:lang w:val="sr-Latn-CS"/>
        </w:rPr>
        <w:t xml:space="preserve"> - </w:t>
      </w:r>
      <w:r w:rsidRPr="003C10E9">
        <w:rPr>
          <w:rFonts w:ascii="Verdana" w:hAnsi="Verdana" w:cs="Arial"/>
          <w:sz w:val="20"/>
          <w:szCs w:val="20"/>
          <w:lang w:val="sr-Latn-CS"/>
        </w:rPr>
        <w:t>Društvo je  sa 31.12.202</w:t>
      </w:r>
      <w:r w:rsidR="005B16A2">
        <w:rPr>
          <w:rFonts w:ascii="Verdana" w:hAnsi="Verdana" w:cs="Arial"/>
          <w:sz w:val="20"/>
          <w:szCs w:val="20"/>
          <w:lang w:val="sr-Latn-CS"/>
        </w:rPr>
        <w:t>4</w:t>
      </w:r>
      <w:r w:rsidRPr="003C10E9">
        <w:rPr>
          <w:rFonts w:ascii="Verdana" w:hAnsi="Verdana" w:cs="Arial"/>
          <w:sz w:val="20"/>
          <w:szCs w:val="20"/>
          <w:lang w:val="sr-Latn-CS"/>
        </w:rPr>
        <w:t xml:space="preserve">. godine iskazalo neto dobit u iznosu od </w:t>
      </w:r>
      <w:r w:rsidR="005B16A2">
        <w:rPr>
          <w:rFonts w:ascii="Verdana" w:hAnsi="Verdana" w:cs="Arial"/>
          <w:sz w:val="20"/>
          <w:szCs w:val="20"/>
          <w:lang w:val="sr-Latn-CS"/>
        </w:rPr>
        <w:t>514</w:t>
      </w:r>
      <w:r w:rsidR="00396518" w:rsidRPr="003C10E9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3C10E9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3C10E9">
        <w:rPr>
          <w:rFonts w:ascii="Verdana" w:hAnsi="Verdana" w:cs="Arial"/>
          <w:sz w:val="20"/>
          <w:szCs w:val="20"/>
          <w:lang w:val="sr-Latn-CS"/>
        </w:rPr>
        <w:t xml:space="preserve">. KM, </w:t>
      </w:r>
      <w:r w:rsidR="004F01F5" w:rsidRPr="003C10E9">
        <w:rPr>
          <w:rFonts w:ascii="Verdana" w:hAnsi="Verdana" w:cs="Arial"/>
          <w:sz w:val="20"/>
          <w:szCs w:val="20"/>
          <w:lang w:val="sr-Latn-CS"/>
        </w:rPr>
        <w:t xml:space="preserve">i rast </w:t>
      </w:r>
      <w:r w:rsidR="00396518" w:rsidRPr="003C10E9">
        <w:rPr>
          <w:rFonts w:ascii="Verdana" w:hAnsi="Verdana" w:cs="Arial"/>
          <w:sz w:val="20"/>
          <w:szCs w:val="20"/>
          <w:lang w:val="sr-Latn-CS"/>
        </w:rPr>
        <w:t xml:space="preserve">u apsolutnoj </w:t>
      </w:r>
      <w:proofErr w:type="spellStart"/>
      <w:r w:rsidR="00396518" w:rsidRPr="003C10E9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="00396518" w:rsidRPr="003C10E9">
        <w:rPr>
          <w:rFonts w:ascii="Verdana" w:hAnsi="Verdana" w:cs="Arial"/>
          <w:sz w:val="20"/>
          <w:szCs w:val="20"/>
          <w:lang w:val="sr-Latn-CS"/>
        </w:rPr>
        <w:t xml:space="preserve"> od (+) </w:t>
      </w:r>
      <w:r w:rsidR="005B16A2">
        <w:rPr>
          <w:rFonts w:ascii="Verdana" w:hAnsi="Verdana" w:cs="Arial"/>
          <w:sz w:val="20"/>
          <w:szCs w:val="20"/>
          <w:lang w:val="sr-Latn-CS"/>
        </w:rPr>
        <w:t>156</w:t>
      </w:r>
      <w:r w:rsidR="00396518" w:rsidRPr="003C10E9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="00396518" w:rsidRPr="003C10E9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396518" w:rsidRPr="003C10E9">
        <w:rPr>
          <w:rFonts w:ascii="Verdana" w:hAnsi="Verdana" w:cs="Arial"/>
          <w:sz w:val="20"/>
          <w:szCs w:val="20"/>
          <w:lang w:val="sr-Latn-CS"/>
        </w:rPr>
        <w:t xml:space="preserve">. KM ili </w:t>
      </w:r>
      <w:r w:rsidR="00576E3C" w:rsidRPr="003C10E9">
        <w:rPr>
          <w:rFonts w:ascii="Verdana" w:hAnsi="Verdana" w:cs="Arial"/>
          <w:sz w:val="20"/>
          <w:szCs w:val="20"/>
          <w:lang w:val="sr-Latn-CS"/>
        </w:rPr>
        <w:t xml:space="preserve">(+) </w:t>
      </w:r>
      <w:r w:rsidR="005B16A2">
        <w:rPr>
          <w:rFonts w:ascii="Verdana" w:hAnsi="Verdana" w:cs="Arial"/>
          <w:sz w:val="20"/>
          <w:szCs w:val="20"/>
          <w:lang w:val="sr-Latn-CS"/>
        </w:rPr>
        <w:t>43,45</w:t>
      </w:r>
      <w:r w:rsidR="00E9336C" w:rsidRPr="003C10E9">
        <w:rPr>
          <w:rFonts w:ascii="Verdana" w:hAnsi="Verdana" w:cs="Arial"/>
          <w:sz w:val="20"/>
          <w:szCs w:val="20"/>
          <w:lang w:val="sr-Latn-CS"/>
        </w:rPr>
        <w:t>%</w:t>
      </w:r>
      <w:r w:rsidR="004F01F5" w:rsidRPr="003C10E9">
        <w:rPr>
          <w:rFonts w:ascii="Verdana" w:hAnsi="Verdana" w:cs="Arial"/>
          <w:sz w:val="20"/>
          <w:szCs w:val="20"/>
          <w:lang w:val="sr-Latn-CS"/>
        </w:rPr>
        <w:t xml:space="preserve">. </w:t>
      </w:r>
    </w:p>
    <w:p w14:paraId="179F38D7" w14:textId="77777777" w:rsidR="00F83F3F" w:rsidRDefault="00F83F3F" w:rsidP="00A93291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</w:p>
    <w:p w14:paraId="771FAAEA" w14:textId="6E288B76" w:rsidR="00F83F3F" w:rsidRPr="003C10E9" w:rsidRDefault="00F83F3F" w:rsidP="00A93291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  <w:r w:rsidRPr="00F83F3F">
        <w:rPr>
          <w:noProof/>
        </w:rPr>
        <w:drawing>
          <wp:inline distT="0" distB="0" distL="0" distR="0" wp14:anchorId="5A93760C" wp14:editId="69B7036F">
            <wp:extent cx="5760720" cy="810260"/>
            <wp:effectExtent l="0" t="0" r="0" b="8890"/>
            <wp:docPr id="109105203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9E067" w14:textId="77777777" w:rsidR="00D80343" w:rsidRPr="009A293D" w:rsidRDefault="00D80343" w:rsidP="00A93291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  <w:lang w:val="sr-Latn-CS"/>
        </w:rPr>
      </w:pPr>
    </w:p>
    <w:p w14:paraId="7FC8CB62" w14:textId="0D5420E3" w:rsidR="00192A85" w:rsidRDefault="00192A85" w:rsidP="005B16A2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  <w:lang w:val="sr-Latn-RS"/>
        </w:rPr>
      </w:pPr>
      <w:r w:rsidRPr="00777200">
        <w:rPr>
          <w:rFonts w:ascii="Verdana" w:hAnsi="Verdana"/>
          <w:sz w:val="20"/>
          <w:szCs w:val="20"/>
          <w:lang w:val="it-IT"/>
        </w:rPr>
        <w:t xml:space="preserve">    </w:t>
      </w:r>
      <w:r w:rsidR="009B67FF" w:rsidRPr="00777200">
        <w:rPr>
          <w:rFonts w:cs="Arial"/>
          <w:sz w:val="20"/>
          <w:szCs w:val="20"/>
          <w:lang w:val="it-IT"/>
        </w:rPr>
        <w:t>→</w:t>
      </w:r>
      <w:r w:rsidR="009B67FF" w:rsidRPr="00425127">
        <w:rPr>
          <w:rFonts w:ascii="Verdana" w:hAnsi="Verdana"/>
          <w:sz w:val="20"/>
          <w:szCs w:val="20"/>
          <w:lang w:val="sr-Latn-RS"/>
        </w:rPr>
        <w:t xml:space="preserve">Tokovi gotovine – </w:t>
      </w:r>
      <w:r w:rsidR="00304C64">
        <w:rPr>
          <w:rFonts w:ascii="Verdana" w:hAnsi="Verdana"/>
          <w:sz w:val="20"/>
          <w:szCs w:val="20"/>
          <w:lang w:val="sr-Latn-RS"/>
        </w:rPr>
        <w:t xml:space="preserve">Gotovinska </w:t>
      </w:r>
      <w:r w:rsidR="009B67FF" w:rsidRPr="00425127">
        <w:rPr>
          <w:rFonts w:ascii="Verdana" w:hAnsi="Verdana"/>
          <w:sz w:val="20"/>
          <w:szCs w:val="20"/>
          <w:lang w:val="sr-Latn-RS"/>
        </w:rPr>
        <w:t xml:space="preserve">sredstva i </w:t>
      </w:r>
      <w:r w:rsidR="00304C64">
        <w:rPr>
          <w:rFonts w:ascii="Verdana" w:hAnsi="Verdana"/>
          <w:sz w:val="20"/>
          <w:szCs w:val="20"/>
          <w:lang w:val="sr-Latn-RS"/>
        </w:rPr>
        <w:t>gotovinski</w:t>
      </w:r>
      <w:r w:rsidR="009B67FF" w:rsidRPr="00425127">
        <w:rPr>
          <w:rFonts w:ascii="Verdana" w:hAnsi="Verdana"/>
          <w:sz w:val="20"/>
          <w:szCs w:val="20"/>
          <w:lang w:val="sr-Latn-RS"/>
        </w:rPr>
        <w:t xml:space="preserve"> ekvivalenti na 31.12.202</w:t>
      </w:r>
      <w:r w:rsidR="005B16A2">
        <w:rPr>
          <w:rFonts w:ascii="Verdana" w:hAnsi="Verdana"/>
          <w:sz w:val="20"/>
          <w:szCs w:val="20"/>
          <w:lang w:val="sr-Latn-RS"/>
        </w:rPr>
        <w:t>4</w:t>
      </w:r>
      <w:r w:rsidR="004F01F5" w:rsidRPr="00425127">
        <w:rPr>
          <w:rFonts w:ascii="Verdana" w:hAnsi="Verdana"/>
          <w:sz w:val="20"/>
          <w:szCs w:val="20"/>
          <w:lang w:val="sr-Latn-RS"/>
        </w:rPr>
        <w:t xml:space="preserve">. godine iznose  </w:t>
      </w:r>
      <w:r w:rsidR="005B16A2">
        <w:rPr>
          <w:rFonts w:ascii="Verdana" w:hAnsi="Verdana"/>
          <w:sz w:val="20"/>
          <w:szCs w:val="20"/>
          <w:lang w:val="sr-Latn-RS"/>
        </w:rPr>
        <w:t>899</w:t>
      </w:r>
      <w:r w:rsidR="00304C64">
        <w:rPr>
          <w:rFonts w:ascii="Verdana" w:hAnsi="Verdana"/>
          <w:sz w:val="20"/>
          <w:szCs w:val="20"/>
          <w:lang w:val="sr-Latn-RS"/>
        </w:rPr>
        <w:t xml:space="preserve"> </w:t>
      </w:r>
      <w:proofErr w:type="spellStart"/>
      <w:r w:rsidR="009B67FF" w:rsidRPr="00425127">
        <w:rPr>
          <w:rFonts w:ascii="Verdana" w:hAnsi="Verdana"/>
          <w:sz w:val="20"/>
          <w:szCs w:val="20"/>
          <w:lang w:val="sr-Latn-RS"/>
        </w:rPr>
        <w:t>hilj</w:t>
      </w:r>
      <w:proofErr w:type="spellEnd"/>
      <w:r w:rsidR="009B67FF" w:rsidRPr="00425127">
        <w:rPr>
          <w:rFonts w:ascii="Verdana" w:hAnsi="Verdana"/>
          <w:sz w:val="20"/>
          <w:szCs w:val="20"/>
          <w:lang w:val="sr-Latn-RS"/>
        </w:rPr>
        <w:t>. KM i u odnosu na prethodn</w:t>
      </w:r>
      <w:r w:rsidR="00304C64">
        <w:rPr>
          <w:rFonts w:ascii="Verdana" w:hAnsi="Verdana"/>
          <w:sz w:val="20"/>
          <w:szCs w:val="20"/>
          <w:lang w:val="sr-Latn-RS"/>
        </w:rPr>
        <w:t>u poslovnu godinu</w:t>
      </w:r>
      <w:r w:rsidR="00C23766" w:rsidRPr="00425127">
        <w:rPr>
          <w:rFonts w:ascii="Verdana" w:hAnsi="Verdana"/>
          <w:sz w:val="20"/>
          <w:szCs w:val="20"/>
          <w:lang w:val="sr-Latn-RS"/>
        </w:rPr>
        <w:t xml:space="preserve"> p</w:t>
      </w:r>
      <w:r w:rsidR="004F01F5" w:rsidRPr="00425127">
        <w:rPr>
          <w:rFonts w:ascii="Verdana" w:hAnsi="Verdana"/>
          <w:sz w:val="20"/>
          <w:szCs w:val="20"/>
          <w:lang w:val="sr-Latn-RS"/>
        </w:rPr>
        <w:t>orasli</w:t>
      </w:r>
      <w:r w:rsidR="00C23766" w:rsidRPr="00425127">
        <w:rPr>
          <w:rFonts w:ascii="Verdana" w:hAnsi="Verdana"/>
          <w:sz w:val="20"/>
          <w:szCs w:val="20"/>
          <w:lang w:val="sr-Latn-RS"/>
        </w:rPr>
        <w:t xml:space="preserve"> su za </w:t>
      </w:r>
      <w:r w:rsidR="00576E3C" w:rsidRPr="00425127">
        <w:rPr>
          <w:rFonts w:ascii="Verdana" w:hAnsi="Verdana"/>
          <w:sz w:val="20"/>
          <w:szCs w:val="20"/>
          <w:lang w:val="sr-Latn-RS"/>
        </w:rPr>
        <w:t>(+)</w:t>
      </w:r>
      <w:r w:rsidR="009B67FF" w:rsidRPr="00425127">
        <w:rPr>
          <w:rFonts w:ascii="Verdana" w:hAnsi="Verdana"/>
          <w:sz w:val="20"/>
          <w:szCs w:val="20"/>
          <w:lang w:val="sr-Latn-RS"/>
        </w:rPr>
        <w:t xml:space="preserve"> </w:t>
      </w:r>
      <w:r w:rsidR="005B16A2">
        <w:rPr>
          <w:rFonts w:ascii="Verdana" w:hAnsi="Verdana"/>
          <w:sz w:val="20"/>
          <w:szCs w:val="20"/>
          <w:lang w:val="sr-Latn-RS"/>
        </w:rPr>
        <w:t>562</w:t>
      </w:r>
      <w:r w:rsidR="004F01F5" w:rsidRPr="00425127">
        <w:rPr>
          <w:rFonts w:ascii="Verdana" w:hAnsi="Verdana"/>
          <w:sz w:val="20"/>
          <w:szCs w:val="20"/>
          <w:lang w:val="sr-Latn-RS"/>
        </w:rPr>
        <w:t xml:space="preserve"> </w:t>
      </w:r>
      <w:proofErr w:type="spellStart"/>
      <w:r w:rsidR="009B67FF" w:rsidRPr="00425127">
        <w:rPr>
          <w:rFonts w:ascii="Verdana" w:hAnsi="Verdana"/>
          <w:sz w:val="20"/>
          <w:szCs w:val="20"/>
          <w:lang w:val="sr-Latn-RS"/>
        </w:rPr>
        <w:t>hilj</w:t>
      </w:r>
      <w:proofErr w:type="spellEnd"/>
      <w:r w:rsidR="009B67FF" w:rsidRPr="00425127">
        <w:rPr>
          <w:rFonts w:ascii="Verdana" w:hAnsi="Verdana"/>
          <w:sz w:val="20"/>
          <w:szCs w:val="20"/>
          <w:lang w:val="sr-Latn-RS"/>
        </w:rPr>
        <w:t>. KM ili</w:t>
      </w:r>
      <w:r w:rsidR="00576E3C" w:rsidRPr="00425127">
        <w:rPr>
          <w:rFonts w:ascii="Verdana" w:hAnsi="Verdana"/>
          <w:sz w:val="20"/>
          <w:szCs w:val="20"/>
          <w:lang w:val="sr-Latn-RS"/>
        </w:rPr>
        <w:t xml:space="preserve"> (+) </w:t>
      </w:r>
      <w:r w:rsidR="009E5560">
        <w:rPr>
          <w:rFonts w:ascii="Verdana" w:hAnsi="Verdana"/>
          <w:sz w:val="20"/>
          <w:szCs w:val="20"/>
          <w:lang w:val="sr-Latn-RS"/>
        </w:rPr>
        <w:t xml:space="preserve">ili </w:t>
      </w:r>
      <w:r w:rsidR="009B67FF" w:rsidRPr="00425127">
        <w:rPr>
          <w:rFonts w:ascii="Verdana" w:hAnsi="Verdana"/>
          <w:sz w:val="20"/>
          <w:szCs w:val="20"/>
          <w:lang w:val="sr-Latn-RS"/>
        </w:rPr>
        <w:t xml:space="preserve"> </w:t>
      </w:r>
      <w:r w:rsidR="005B16A2">
        <w:rPr>
          <w:rFonts w:ascii="Verdana" w:hAnsi="Verdana"/>
          <w:sz w:val="20"/>
          <w:szCs w:val="20"/>
          <w:lang w:val="sr-Latn-RS"/>
        </w:rPr>
        <w:t>167,38</w:t>
      </w:r>
      <w:r w:rsidR="009E5560">
        <w:rPr>
          <w:rFonts w:ascii="Verdana" w:hAnsi="Verdana"/>
          <w:sz w:val="20"/>
          <w:szCs w:val="20"/>
          <w:lang w:val="sr-Latn-RS"/>
        </w:rPr>
        <w:t xml:space="preserve"> </w:t>
      </w:r>
      <w:proofErr w:type="spellStart"/>
      <w:r w:rsidR="009E5560">
        <w:rPr>
          <w:rFonts w:ascii="Verdana" w:hAnsi="Verdana"/>
          <w:sz w:val="20"/>
          <w:szCs w:val="20"/>
          <w:lang w:val="sr-Latn-RS"/>
        </w:rPr>
        <w:t>p.p</w:t>
      </w:r>
      <w:proofErr w:type="spellEnd"/>
      <w:r w:rsidR="009E5560">
        <w:rPr>
          <w:rFonts w:ascii="Verdana" w:hAnsi="Verdana"/>
          <w:sz w:val="20"/>
          <w:szCs w:val="20"/>
          <w:lang w:val="sr-Latn-RS"/>
        </w:rPr>
        <w:t xml:space="preserve">. </w:t>
      </w:r>
      <w:r w:rsidR="00C23766" w:rsidRPr="00425127">
        <w:rPr>
          <w:rFonts w:ascii="Verdana" w:hAnsi="Verdana"/>
          <w:sz w:val="20"/>
          <w:szCs w:val="20"/>
          <w:lang w:val="sr-Latn-RS"/>
        </w:rPr>
        <w:t>Ovo je rezultat</w:t>
      </w:r>
      <w:r w:rsidR="0086676B" w:rsidRPr="00425127">
        <w:rPr>
          <w:rFonts w:ascii="Verdana" w:hAnsi="Verdana"/>
          <w:sz w:val="20"/>
          <w:szCs w:val="20"/>
          <w:lang w:val="sr-Latn-RS"/>
        </w:rPr>
        <w:t xml:space="preserve"> </w:t>
      </w:r>
      <w:r w:rsidR="009E5560">
        <w:rPr>
          <w:rFonts w:ascii="Verdana" w:hAnsi="Verdana"/>
          <w:sz w:val="20"/>
          <w:szCs w:val="20"/>
          <w:lang w:val="sr-Latn-RS"/>
        </w:rPr>
        <w:t xml:space="preserve"> na jednoj strani negativnog </w:t>
      </w:r>
      <w:r w:rsidR="0086676B" w:rsidRPr="00425127">
        <w:rPr>
          <w:rFonts w:ascii="Verdana" w:hAnsi="Verdana"/>
          <w:sz w:val="20"/>
          <w:szCs w:val="20"/>
          <w:lang w:val="sr-Latn-RS"/>
        </w:rPr>
        <w:t xml:space="preserve"> </w:t>
      </w:r>
      <w:r w:rsidR="00304C64">
        <w:rPr>
          <w:rFonts w:ascii="Verdana" w:hAnsi="Verdana"/>
          <w:sz w:val="20"/>
          <w:szCs w:val="20"/>
          <w:lang w:val="sr-Latn-RS"/>
        </w:rPr>
        <w:t xml:space="preserve">neto tok gotovine iz poslovne aktivnosti </w:t>
      </w:r>
      <w:r w:rsidR="00C23766" w:rsidRPr="00425127">
        <w:rPr>
          <w:rFonts w:ascii="Verdana" w:hAnsi="Verdana"/>
          <w:sz w:val="20"/>
          <w:szCs w:val="20"/>
          <w:lang w:val="sr-Latn-RS"/>
        </w:rPr>
        <w:t xml:space="preserve">u </w:t>
      </w:r>
      <w:proofErr w:type="spellStart"/>
      <w:r w:rsidR="00304C64">
        <w:rPr>
          <w:rFonts w:ascii="Verdana" w:hAnsi="Verdana"/>
          <w:sz w:val="20"/>
          <w:szCs w:val="20"/>
          <w:lang w:val="sr-Latn-RS"/>
        </w:rPr>
        <w:t>vrijednosti</w:t>
      </w:r>
      <w:proofErr w:type="spellEnd"/>
      <w:r w:rsidR="00304C64">
        <w:rPr>
          <w:rFonts w:ascii="Verdana" w:hAnsi="Verdana"/>
          <w:sz w:val="20"/>
          <w:szCs w:val="20"/>
          <w:lang w:val="sr-Latn-RS"/>
        </w:rPr>
        <w:t xml:space="preserve"> </w:t>
      </w:r>
      <w:r w:rsidR="00C23766" w:rsidRPr="00425127">
        <w:rPr>
          <w:rFonts w:ascii="Verdana" w:hAnsi="Verdana"/>
          <w:sz w:val="20"/>
          <w:szCs w:val="20"/>
          <w:lang w:val="sr-Latn-RS"/>
        </w:rPr>
        <w:t>od</w:t>
      </w:r>
      <w:r w:rsidR="0086676B" w:rsidRPr="00425127">
        <w:rPr>
          <w:rFonts w:ascii="Verdana" w:hAnsi="Verdana"/>
          <w:sz w:val="20"/>
          <w:szCs w:val="20"/>
          <w:lang w:val="sr-Latn-RS"/>
        </w:rPr>
        <w:t xml:space="preserve"> (</w:t>
      </w:r>
      <w:r w:rsidR="00C23766" w:rsidRPr="00425127">
        <w:rPr>
          <w:rFonts w:ascii="Verdana" w:hAnsi="Verdana"/>
          <w:sz w:val="20"/>
          <w:szCs w:val="20"/>
          <w:lang w:val="sr-Latn-RS"/>
        </w:rPr>
        <w:t>-</w:t>
      </w:r>
      <w:r w:rsidR="0086676B" w:rsidRPr="00425127">
        <w:rPr>
          <w:rFonts w:ascii="Verdana" w:hAnsi="Verdana"/>
          <w:sz w:val="20"/>
          <w:szCs w:val="20"/>
          <w:lang w:val="sr-Latn-RS"/>
        </w:rPr>
        <w:t xml:space="preserve">) </w:t>
      </w:r>
      <w:r w:rsidR="00304C64">
        <w:rPr>
          <w:rFonts w:ascii="Verdana" w:hAnsi="Verdana"/>
          <w:sz w:val="20"/>
          <w:szCs w:val="20"/>
          <w:lang w:val="sr-Latn-RS"/>
        </w:rPr>
        <w:t>1.</w:t>
      </w:r>
      <w:r w:rsidR="005B16A2">
        <w:rPr>
          <w:rFonts w:ascii="Verdana" w:hAnsi="Verdana"/>
          <w:sz w:val="20"/>
          <w:szCs w:val="20"/>
          <w:lang w:val="sr-Latn-RS"/>
        </w:rPr>
        <w:t>534</w:t>
      </w:r>
      <w:r w:rsidR="00304C64">
        <w:rPr>
          <w:rFonts w:ascii="Verdana" w:hAnsi="Verdana"/>
          <w:sz w:val="20"/>
          <w:szCs w:val="20"/>
          <w:lang w:val="sr-Latn-RS"/>
        </w:rPr>
        <w:t xml:space="preserve"> </w:t>
      </w:r>
      <w:proofErr w:type="spellStart"/>
      <w:r w:rsidR="00C23766" w:rsidRPr="00425127">
        <w:rPr>
          <w:rFonts w:ascii="Verdana" w:hAnsi="Verdana"/>
          <w:sz w:val="20"/>
          <w:szCs w:val="20"/>
          <w:lang w:val="sr-Latn-RS"/>
        </w:rPr>
        <w:t>hilj</w:t>
      </w:r>
      <w:proofErr w:type="spellEnd"/>
      <w:r w:rsidR="00C23766" w:rsidRPr="00425127">
        <w:rPr>
          <w:rFonts w:ascii="Verdana" w:hAnsi="Verdana"/>
          <w:sz w:val="20"/>
          <w:szCs w:val="20"/>
          <w:lang w:val="sr-Latn-RS"/>
        </w:rPr>
        <w:t>.</w:t>
      </w:r>
      <w:r w:rsidR="0086676B" w:rsidRPr="00425127">
        <w:rPr>
          <w:rFonts w:ascii="Verdana" w:hAnsi="Verdana"/>
          <w:sz w:val="20"/>
          <w:szCs w:val="20"/>
          <w:lang w:val="sr-Latn-RS"/>
        </w:rPr>
        <w:t xml:space="preserve"> </w:t>
      </w:r>
      <w:r w:rsidR="00C23766" w:rsidRPr="00425127">
        <w:rPr>
          <w:rFonts w:ascii="Verdana" w:hAnsi="Verdana"/>
          <w:sz w:val="20"/>
          <w:szCs w:val="20"/>
          <w:lang w:val="sr-Latn-RS"/>
        </w:rPr>
        <w:t>KM</w:t>
      </w:r>
      <w:r w:rsidR="00304C64">
        <w:rPr>
          <w:rFonts w:ascii="Verdana" w:hAnsi="Verdana"/>
          <w:sz w:val="20"/>
          <w:szCs w:val="20"/>
          <w:lang w:val="sr-Latn-RS"/>
        </w:rPr>
        <w:t xml:space="preserve">, </w:t>
      </w:r>
      <w:r w:rsidR="009E5560">
        <w:rPr>
          <w:rFonts w:ascii="Verdana" w:hAnsi="Verdana"/>
          <w:sz w:val="20"/>
          <w:szCs w:val="20"/>
          <w:lang w:val="sr-Latn-RS"/>
        </w:rPr>
        <w:t xml:space="preserve">i negativnog </w:t>
      </w:r>
      <w:r w:rsidR="00304C64">
        <w:rPr>
          <w:rFonts w:ascii="Verdana" w:hAnsi="Verdana"/>
          <w:sz w:val="20"/>
          <w:szCs w:val="20"/>
          <w:lang w:val="sr-Latn-RS"/>
        </w:rPr>
        <w:t xml:space="preserve">neto novčani tok iz aktivnosti investiranja u </w:t>
      </w:r>
      <w:proofErr w:type="spellStart"/>
      <w:r w:rsidR="00304C64">
        <w:rPr>
          <w:rFonts w:ascii="Verdana" w:hAnsi="Verdana"/>
          <w:sz w:val="20"/>
          <w:szCs w:val="20"/>
          <w:lang w:val="sr-Latn-RS"/>
        </w:rPr>
        <w:t>vrijednosti</w:t>
      </w:r>
      <w:proofErr w:type="spellEnd"/>
      <w:r w:rsidR="00304C64">
        <w:rPr>
          <w:rFonts w:ascii="Verdana" w:hAnsi="Verdana"/>
          <w:sz w:val="20"/>
          <w:szCs w:val="20"/>
          <w:lang w:val="sr-Latn-RS"/>
        </w:rPr>
        <w:t xml:space="preserve"> od (-) </w:t>
      </w:r>
      <w:r w:rsidR="005B16A2">
        <w:rPr>
          <w:rFonts w:ascii="Verdana" w:hAnsi="Verdana"/>
          <w:sz w:val="20"/>
          <w:szCs w:val="20"/>
          <w:lang w:val="sr-Latn-RS"/>
        </w:rPr>
        <w:t>48</w:t>
      </w:r>
      <w:r w:rsidR="00304C64">
        <w:rPr>
          <w:rFonts w:ascii="Verdana" w:hAnsi="Verdana"/>
          <w:sz w:val="20"/>
          <w:szCs w:val="20"/>
          <w:lang w:val="sr-Latn-RS"/>
        </w:rPr>
        <w:t xml:space="preserve"> </w:t>
      </w:r>
      <w:proofErr w:type="spellStart"/>
      <w:r w:rsidR="00304C64">
        <w:rPr>
          <w:rFonts w:ascii="Verdana" w:hAnsi="Verdana"/>
          <w:sz w:val="20"/>
          <w:szCs w:val="20"/>
          <w:lang w:val="sr-Latn-RS"/>
        </w:rPr>
        <w:t>hilj</w:t>
      </w:r>
      <w:proofErr w:type="spellEnd"/>
      <w:r w:rsidR="00304C64">
        <w:rPr>
          <w:rFonts w:ascii="Verdana" w:hAnsi="Verdana"/>
          <w:sz w:val="20"/>
          <w:szCs w:val="20"/>
          <w:lang w:val="sr-Latn-RS"/>
        </w:rPr>
        <w:t>. KM</w:t>
      </w:r>
      <w:r w:rsidR="009E5560">
        <w:rPr>
          <w:rFonts w:ascii="Verdana" w:hAnsi="Verdana"/>
          <w:sz w:val="20"/>
          <w:szCs w:val="20"/>
          <w:lang w:val="sr-Latn-RS"/>
        </w:rPr>
        <w:t>,</w:t>
      </w:r>
      <w:r w:rsidR="00304C64">
        <w:rPr>
          <w:rFonts w:ascii="Verdana" w:hAnsi="Verdana"/>
          <w:sz w:val="20"/>
          <w:szCs w:val="20"/>
          <w:lang w:val="sr-Latn-RS"/>
        </w:rPr>
        <w:t xml:space="preserve">  te </w:t>
      </w:r>
      <w:r w:rsidR="0086676B" w:rsidRPr="00425127">
        <w:rPr>
          <w:rFonts w:ascii="Verdana" w:hAnsi="Verdana"/>
          <w:sz w:val="20"/>
          <w:szCs w:val="20"/>
          <w:lang w:val="sr-Latn-RS"/>
        </w:rPr>
        <w:t xml:space="preserve"> </w:t>
      </w:r>
      <w:r w:rsidR="005A25CC" w:rsidRPr="00425127">
        <w:rPr>
          <w:rFonts w:ascii="Verdana" w:hAnsi="Verdana"/>
          <w:sz w:val="20"/>
          <w:szCs w:val="20"/>
          <w:lang w:val="sr-Latn-RS"/>
        </w:rPr>
        <w:t xml:space="preserve">na drugoj strani </w:t>
      </w:r>
      <w:r w:rsidR="009E5560">
        <w:rPr>
          <w:rFonts w:ascii="Verdana" w:hAnsi="Verdana"/>
          <w:sz w:val="20"/>
          <w:szCs w:val="20"/>
          <w:lang w:val="sr-Latn-RS"/>
        </w:rPr>
        <w:t xml:space="preserve">pozitivnog </w:t>
      </w:r>
      <w:r w:rsidR="00304C64">
        <w:rPr>
          <w:rFonts w:ascii="Verdana" w:hAnsi="Verdana"/>
          <w:sz w:val="20"/>
          <w:szCs w:val="20"/>
          <w:lang w:val="sr-Latn-RS"/>
        </w:rPr>
        <w:t xml:space="preserve">neto </w:t>
      </w:r>
      <w:r w:rsidR="005A25CC" w:rsidRPr="00425127">
        <w:rPr>
          <w:rFonts w:ascii="Verdana" w:hAnsi="Verdana"/>
          <w:sz w:val="20"/>
          <w:szCs w:val="20"/>
          <w:lang w:val="sr-Latn-RS"/>
        </w:rPr>
        <w:t>novčan</w:t>
      </w:r>
      <w:r w:rsidR="009A293D">
        <w:rPr>
          <w:rFonts w:ascii="Verdana" w:hAnsi="Verdana"/>
          <w:sz w:val="20"/>
          <w:szCs w:val="20"/>
          <w:lang w:val="sr-Latn-RS"/>
        </w:rPr>
        <w:t>i</w:t>
      </w:r>
      <w:r w:rsidR="0086676B" w:rsidRPr="00425127">
        <w:rPr>
          <w:rFonts w:ascii="Verdana" w:hAnsi="Verdana"/>
          <w:sz w:val="20"/>
          <w:szCs w:val="20"/>
          <w:lang w:val="sr-Latn-RS"/>
        </w:rPr>
        <w:t xml:space="preserve"> tok</w:t>
      </w:r>
      <w:r w:rsidR="009E5560">
        <w:rPr>
          <w:rFonts w:ascii="Verdana" w:hAnsi="Verdana"/>
          <w:sz w:val="20"/>
          <w:szCs w:val="20"/>
          <w:lang w:val="sr-Latn-RS"/>
        </w:rPr>
        <w:t xml:space="preserve"> iz aktivnosti </w:t>
      </w:r>
      <w:r w:rsidR="0086676B" w:rsidRPr="00425127">
        <w:rPr>
          <w:rFonts w:ascii="Verdana" w:hAnsi="Verdana"/>
          <w:sz w:val="20"/>
          <w:szCs w:val="20"/>
          <w:lang w:val="sr-Latn-RS"/>
        </w:rPr>
        <w:t xml:space="preserve"> finansijske u visini od </w:t>
      </w:r>
      <w:r w:rsidR="003659CF" w:rsidRPr="00425127">
        <w:rPr>
          <w:rFonts w:ascii="Verdana" w:hAnsi="Verdana"/>
          <w:sz w:val="20"/>
          <w:szCs w:val="20"/>
          <w:lang w:val="sr-Latn-RS"/>
        </w:rPr>
        <w:t xml:space="preserve">(+) </w:t>
      </w:r>
      <w:r w:rsidR="005B16A2">
        <w:rPr>
          <w:rFonts w:ascii="Verdana" w:hAnsi="Verdana"/>
          <w:sz w:val="20"/>
          <w:szCs w:val="20"/>
          <w:lang w:val="sr-Latn-RS"/>
        </w:rPr>
        <w:t>2.144</w:t>
      </w:r>
      <w:r w:rsidR="00304C64">
        <w:rPr>
          <w:rFonts w:ascii="Verdana" w:hAnsi="Verdana"/>
          <w:sz w:val="20"/>
          <w:szCs w:val="20"/>
          <w:lang w:val="sr-Latn-RS"/>
        </w:rPr>
        <w:t xml:space="preserve"> </w:t>
      </w:r>
      <w:proofErr w:type="spellStart"/>
      <w:r w:rsidR="0086676B" w:rsidRPr="00425127">
        <w:rPr>
          <w:rFonts w:ascii="Verdana" w:hAnsi="Verdana"/>
          <w:sz w:val="20"/>
          <w:szCs w:val="20"/>
          <w:lang w:val="sr-Latn-RS"/>
        </w:rPr>
        <w:t>hilj</w:t>
      </w:r>
      <w:proofErr w:type="spellEnd"/>
      <w:r w:rsidR="0086676B" w:rsidRPr="00425127">
        <w:rPr>
          <w:rFonts w:ascii="Verdana" w:hAnsi="Verdana"/>
          <w:sz w:val="20"/>
          <w:szCs w:val="20"/>
          <w:lang w:val="sr-Latn-RS"/>
        </w:rPr>
        <w:t>. KM</w:t>
      </w:r>
      <w:r w:rsidR="009E5560">
        <w:rPr>
          <w:rFonts w:ascii="Verdana" w:hAnsi="Verdana"/>
          <w:sz w:val="20"/>
          <w:szCs w:val="20"/>
          <w:lang w:val="sr-Latn-RS"/>
        </w:rPr>
        <w:t xml:space="preserve">. </w:t>
      </w:r>
    </w:p>
    <w:p w14:paraId="72DC1AEA" w14:textId="77777777" w:rsidR="003C10E9" w:rsidRDefault="003C10E9" w:rsidP="001D6CD9">
      <w:pPr>
        <w:rPr>
          <w:lang w:val="sr-Latn-RS"/>
        </w:rPr>
      </w:pPr>
    </w:p>
    <w:p w14:paraId="31166305" w14:textId="7BF29D36" w:rsidR="00DD1E9F" w:rsidRDefault="00DD1E9F" w:rsidP="001D6CD9">
      <w:pPr>
        <w:rPr>
          <w:lang w:val="sr-Latn-RS"/>
        </w:rPr>
      </w:pPr>
      <w:r w:rsidRPr="00DD1E9F">
        <w:rPr>
          <w:noProof/>
        </w:rPr>
        <w:drawing>
          <wp:inline distT="0" distB="0" distL="0" distR="0" wp14:anchorId="392C3DDF" wp14:editId="4D469BFD">
            <wp:extent cx="5760720" cy="1899920"/>
            <wp:effectExtent l="0" t="0" r="0" b="5080"/>
            <wp:docPr id="47267500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936B2" w14:textId="77777777" w:rsidR="00523F9E" w:rsidRPr="00425127" w:rsidRDefault="00523F9E" w:rsidP="00523F9E">
      <w:pPr>
        <w:pStyle w:val="Heading1"/>
        <w:numPr>
          <w:ilvl w:val="0"/>
          <w:numId w:val="0"/>
        </w:numPr>
        <w:spacing w:before="0" w:line="240" w:lineRule="auto"/>
        <w:rPr>
          <w:rFonts w:ascii="Verdana" w:hAnsi="Verdana" w:cs="Times New Roman"/>
          <w:color w:val="auto"/>
          <w:sz w:val="20"/>
          <w:szCs w:val="20"/>
        </w:rPr>
      </w:pPr>
      <w:bookmarkStart w:id="8" w:name="_Toc72918245"/>
    </w:p>
    <w:p w14:paraId="0FEFB169" w14:textId="1966C0F4" w:rsidR="006857C5" w:rsidRPr="00302A0E" w:rsidRDefault="00C17E8C" w:rsidP="00523F9E">
      <w:pPr>
        <w:pStyle w:val="Heading1"/>
        <w:numPr>
          <w:ilvl w:val="0"/>
          <w:numId w:val="0"/>
        </w:numPr>
        <w:spacing w:before="0" w:line="240" w:lineRule="auto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 xml:space="preserve">c) </w:t>
      </w:r>
      <w:proofErr w:type="spellStart"/>
      <w:r w:rsidR="00455B5E" w:rsidRPr="00302A0E">
        <w:rPr>
          <w:rFonts w:ascii="Verdana" w:hAnsi="Verdana" w:cs="Times New Roman"/>
          <w:color w:val="auto"/>
          <w:sz w:val="20"/>
          <w:szCs w:val="20"/>
        </w:rPr>
        <w:t>Informacije</w:t>
      </w:r>
      <w:proofErr w:type="spellEnd"/>
      <w:r w:rsidR="00455B5E" w:rsidRPr="00302A0E">
        <w:rPr>
          <w:rFonts w:ascii="Verdana" w:hAnsi="Verdana" w:cs="Times New Roman"/>
          <w:color w:val="auto"/>
          <w:sz w:val="20"/>
          <w:szCs w:val="20"/>
        </w:rPr>
        <w:t xml:space="preserve"> o </w:t>
      </w:r>
      <w:proofErr w:type="spellStart"/>
      <w:r w:rsidR="00455B5E" w:rsidRPr="00302A0E">
        <w:rPr>
          <w:rFonts w:ascii="Verdana" w:hAnsi="Verdana" w:cs="Times New Roman"/>
          <w:color w:val="auto"/>
          <w:sz w:val="20"/>
          <w:szCs w:val="20"/>
        </w:rPr>
        <w:t>bonitetu</w:t>
      </w:r>
      <w:proofErr w:type="spellEnd"/>
      <w:r w:rsidR="00455B5E" w:rsidRPr="00302A0E">
        <w:rPr>
          <w:rFonts w:ascii="Verdana" w:hAnsi="Verdana" w:cs="Times New Roman"/>
          <w:color w:val="auto"/>
          <w:sz w:val="20"/>
          <w:szCs w:val="20"/>
        </w:rPr>
        <w:t xml:space="preserve"> </w:t>
      </w:r>
      <w:proofErr w:type="spellStart"/>
      <w:r w:rsidR="00455B5E" w:rsidRPr="00302A0E">
        <w:rPr>
          <w:rFonts w:ascii="Verdana" w:hAnsi="Verdana" w:cs="Times New Roman"/>
          <w:color w:val="auto"/>
          <w:sz w:val="20"/>
          <w:szCs w:val="20"/>
        </w:rPr>
        <w:t>Društva</w:t>
      </w:r>
      <w:bookmarkEnd w:id="8"/>
      <w:proofErr w:type="spellEnd"/>
    </w:p>
    <w:p w14:paraId="742CD43F" w14:textId="77777777" w:rsidR="0000035D" w:rsidRPr="00302A0E" w:rsidRDefault="0000035D" w:rsidP="00523F9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8C0ECE" w14:textId="1ECD3281" w:rsidR="008A6F53" w:rsidRPr="00425127" w:rsidRDefault="008A6F53" w:rsidP="00523F9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25127">
        <w:rPr>
          <w:rFonts w:ascii="Verdana" w:hAnsi="Verdana" w:cs="Arial"/>
          <w:sz w:val="20"/>
          <w:szCs w:val="20"/>
        </w:rPr>
        <w:t>U 202</w:t>
      </w:r>
      <w:r w:rsidR="002D7643">
        <w:rPr>
          <w:rFonts w:ascii="Verdana" w:hAnsi="Verdana" w:cs="Arial"/>
          <w:sz w:val="20"/>
          <w:szCs w:val="20"/>
        </w:rPr>
        <w:t>4</w:t>
      </w:r>
      <w:r w:rsidRPr="00425127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25127">
        <w:rPr>
          <w:rFonts w:ascii="Verdana" w:hAnsi="Verdana" w:cs="Arial"/>
          <w:sz w:val="20"/>
          <w:szCs w:val="20"/>
        </w:rPr>
        <w:t>godini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r w:rsidRPr="00425127">
        <w:rPr>
          <w:rFonts w:ascii="Verdana" w:hAnsi="Verdana" w:cs="Arial"/>
          <w:sz w:val="20"/>
          <w:szCs w:val="20"/>
          <w:lang w:val="sr-Latn-BA"/>
        </w:rPr>
        <w:t>Društvo</w:t>
      </w:r>
      <w:r w:rsidRPr="00425127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25127">
        <w:rPr>
          <w:rFonts w:ascii="Verdana" w:hAnsi="Verdana" w:cs="Arial"/>
          <w:sz w:val="20"/>
          <w:szCs w:val="20"/>
        </w:rPr>
        <w:t>poslovalo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ekonomično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</w:rPr>
        <w:t>rentabilno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i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solventno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25127">
        <w:rPr>
          <w:rFonts w:ascii="Verdana" w:hAnsi="Verdana" w:cs="Arial"/>
          <w:sz w:val="20"/>
          <w:szCs w:val="20"/>
        </w:rPr>
        <w:t>zaduženost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r w:rsidR="003D7014" w:rsidRPr="00425127">
        <w:rPr>
          <w:rFonts w:ascii="Verdana" w:hAnsi="Verdana" w:cs="Arial"/>
          <w:sz w:val="20"/>
          <w:szCs w:val="20"/>
        </w:rPr>
        <w:t xml:space="preserve">je </w:t>
      </w:r>
      <w:proofErr w:type="spellStart"/>
      <w:r w:rsidR="003D7014" w:rsidRPr="00425127">
        <w:rPr>
          <w:rFonts w:ascii="Verdana" w:hAnsi="Verdana" w:cs="Arial"/>
          <w:sz w:val="20"/>
          <w:szCs w:val="20"/>
        </w:rPr>
        <w:t>na</w:t>
      </w:r>
      <w:proofErr w:type="spellEnd"/>
      <w:r w:rsidR="003D7014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D7014" w:rsidRPr="00425127">
        <w:rPr>
          <w:rFonts w:ascii="Verdana" w:hAnsi="Verdana" w:cs="Arial"/>
          <w:sz w:val="20"/>
          <w:szCs w:val="20"/>
        </w:rPr>
        <w:t>nivou</w:t>
      </w:r>
      <w:proofErr w:type="spellEnd"/>
      <w:r w:rsidR="003D7014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D7014" w:rsidRPr="00425127">
        <w:rPr>
          <w:rFonts w:ascii="Verdana" w:hAnsi="Verdana" w:cs="Arial"/>
          <w:sz w:val="20"/>
          <w:szCs w:val="20"/>
        </w:rPr>
        <w:t>zaduženosti</w:t>
      </w:r>
      <w:proofErr w:type="spellEnd"/>
      <w:r w:rsidR="003D7014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D7014" w:rsidRPr="00425127">
        <w:rPr>
          <w:rFonts w:ascii="Verdana" w:hAnsi="Verdana" w:cs="Arial"/>
          <w:sz w:val="20"/>
          <w:szCs w:val="20"/>
        </w:rPr>
        <w:t>mikrokreditnog</w:t>
      </w:r>
      <w:proofErr w:type="spellEnd"/>
      <w:r w:rsidR="003D7014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D7014" w:rsidRPr="00425127">
        <w:rPr>
          <w:rFonts w:ascii="Verdana" w:hAnsi="Verdana" w:cs="Arial"/>
          <w:sz w:val="20"/>
          <w:szCs w:val="20"/>
        </w:rPr>
        <w:t>sektora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</w:rPr>
        <w:t>što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D7014" w:rsidRPr="00425127">
        <w:rPr>
          <w:rFonts w:ascii="Verdana" w:hAnsi="Verdana" w:cs="Arial"/>
          <w:sz w:val="20"/>
          <w:szCs w:val="20"/>
        </w:rPr>
        <w:t>potvrđuju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pokazatelji</w:t>
      </w:r>
      <w:proofErr w:type="spellEnd"/>
      <w:r w:rsidR="005D4549" w:rsidRPr="0042512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="005D4549" w:rsidRPr="00425127">
        <w:rPr>
          <w:rFonts w:ascii="Verdana" w:hAnsi="Verdana" w:cs="Arial"/>
          <w:sz w:val="20"/>
          <w:szCs w:val="20"/>
        </w:rPr>
        <w:t>nastavku</w:t>
      </w:r>
      <w:proofErr w:type="spellEnd"/>
      <w:r w:rsidRPr="00425127">
        <w:rPr>
          <w:rFonts w:ascii="Verdana" w:hAnsi="Verdana" w:cs="Arial"/>
          <w:sz w:val="20"/>
          <w:szCs w:val="20"/>
        </w:rPr>
        <w:t>.</w:t>
      </w:r>
    </w:p>
    <w:p w14:paraId="1C470BCB" w14:textId="77777777" w:rsidR="00523F9E" w:rsidRPr="00425127" w:rsidRDefault="00523F9E" w:rsidP="00523F9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E4C59B3" w14:textId="442C3C4B" w:rsidR="008A6F53" w:rsidRDefault="00DB354A" w:rsidP="00523F9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25127">
        <w:rPr>
          <w:rFonts w:cs="Arial"/>
          <w:sz w:val="20"/>
          <w:szCs w:val="20"/>
        </w:rPr>
        <w:lastRenderedPageBreak/>
        <w:t>→</w:t>
      </w:r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D7014" w:rsidRPr="00425127">
        <w:rPr>
          <w:rFonts w:ascii="Verdana" w:hAnsi="Verdana" w:cs="Arial"/>
          <w:b/>
          <w:sz w:val="20"/>
          <w:szCs w:val="20"/>
        </w:rPr>
        <w:t>Finansijska</w:t>
      </w:r>
      <w:proofErr w:type="spellEnd"/>
      <w:r w:rsidR="008A6F53" w:rsidRPr="0042512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b/>
          <w:sz w:val="20"/>
          <w:szCs w:val="20"/>
        </w:rPr>
        <w:t>moć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b/>
          <w:sz w:val="20"/>
          <w:szCs w:val="20"/>
        </w:rPr>
        <w:t>Društva</w:t>
      </w:r>
      <w:proofErr w:type="spellEnd"/>
      <w:r w:rsidRPr="00425127">
        <w:rPr>
          <w:rFonts w:ascii="Verdana" w:hAnsi="Verdana" w:cs="Arial"/>
          <w:b/>
          <w:sz w:val="20"/>
          <w:szCs w:val="20"/>
        </w:rPr>
        <w:t xml:space="preserve"> </w:t>
      </w:r>
      <w:r w:rsidR="00C130B3" w:rsidRPr="00425127">
        <w:rPr>
          <w:rFonts w:ascii="Verdana" w:hAnsi="Verdana" w:cs="Arial"/>
          <w:sz w:val="20"/>
          <w:szCs w:val="20"/>
        </w:rPr>
        <w:t xml:space="preserve">se </w:t>
      </w:r>
      <w:proofErr w:type="spellStart"/>
      <w:r w:rsidR="00C130B3" w:rsidRPr="00425127">
        <w:rPr>
          <w:rFonts w:ascii="Verdana" w:hAnsi="Verdana" w:cs="Arial"/>
          <w:sz w:val="20"/>
          <w:szCs w:val="20"/>
        </w:rPr>
        <w:t>mjeri</w:t>
      </w:r>
      <w:proofErr w:type="spellEnd"/>
      <w:r w:rsidR="00C130B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130B3" w:rsidRPr="00425127">
        <w:rPr>
          <w:rFonts w:ascii="Verdana" w:hAnsi="Verdana" w:cs="Arial"/>
          <w:sz w:val="20"/>
          <w:szCs w:val="20"/>
        </w:rPr>
        <w:t>njegovom</w:t>
      </w:r>
      <w:proofErr w:type="spellEnd"/>
      <w:r w:rsidR="00C130B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130B3" w:rsidRPr="00425127">
        <w:rPr>
          <w:rFonts w:ascii="Verdana" w:hAnsi="Verdana" w:cs="Arial"/>
          <w:sz w:val="20"/>
          <w:szCs w:val="20"/>
        </w:rPr>
        <w:t>sposobnošću</w:t>
      </w:r>
      <w:proofErr w:type="spellEnd"/>
      <w:r w:rsidR="00C130B3" w:rsidRPr="00425127">
        <w:rPr>
          <w:rFonts w:ascii="Verdana" w:hAnsi="Verdana" w:cs="Arial"/>
          <w:sz w:val="20"/>
          <w:szCs w:val="20"/>
        </w:rPr>
        <w:t xml:space="preserve"> da </w:t>
      </w:r>
      <w:proofErr w:type="spellStart"/>
      <w:r w:rsidR="00C130B3" w:rsidRPr="00425127">
        <w:rPr>
          <w:rFonts w:ascii="Verdana" w:hAnsi="Verdana" w:cs="Arial"/>
          <w:sz w:val="20"/>
          <w:szCs w:val="20"/>
        </w:rPr>
        <w:t>ostvarenim</w:t>
      </w:r>
      <w:proofErr w:type="spellEnd"/>
      <w:r w:rsidR="00C130B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130B3" w:rsidRPr="00425127">
        <w:rPr>
          <w:rFonts w:ascii="Verdana" w:hAnsi="Verdana" w:cs="Arial"/>
          <w:sz w:val="20"/>
          <w:szCs w:val="20"/>
        </w:rPr>
        <w:t>prihodima</w:t>
      </w:r>
      <w:proofErr w:type="spellEnd"/>
      <w:r w:rsidR="003D7014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D7014" w:rsidRPr="00425127">
        <w:rPr>
          <w:rFonts w:ascii="Verdana" w:hAnsi="Verdana" w:cs="Arial"/>
          <w:sz w:val="20"/>
          <w:szCs w:val="20"/>
        </w:rPr>
        <w:t>pokrije</w:t>
      </w:r>
      <w:proofErr w:type="spellEnd"/>
      <w:r w:rsidR="00C130B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130B3" w:rsidRPr="00425127">
        <w:rPr>
          <w:rFonts w:ascii="Verdana" w:hAnsi="Verdana" w:cs="Arial"/>
          <w:sz w:val="20"/>
          <w:szCs w:val="20"/>
        </w:rPr>
        <w:t>razne</w:t>
      </w:r>
      <w:proofErr w:type="spellEnd"/>
      <w:r w:rsidR="00C130B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130B3" w:rsidRPr="00425127">
        <w:rPr>
          <w:rFonts w:ascii="Verdana" w:hAnsi="Verdana" w:cs="Arial"/>
          <w:sz w:val="20"/>
          <w:szCs w:val="20"/>
        </w:rPr>
        <w:t>kategorije</w:t>
      </w:r>
      <w:proofErr w:type="spellEnd"/>
      <w:r w:rsidR="00C130B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46F68" w:rsidRPr="00425127">
        <w:rPr>
          <w:rFonts w:ascii="Verdana" w:hAnsi="Verdana" w:cs="Arial"/>
          <w:sz w:val="20"/>
          <w:szCs w:val="20"/>
        </w:rPr>
        <w:t>obaveza</w:t>
      </w:r>
      <w:proofErr w:type="spellEnd"/>
      <w:r w:rsidR="00746F68" w:rsidRPr="00425127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25127">
        <w:rPr>
          <w:rFonts w:ascii="Verdana" w:hAnsi="Verdana" w:cs="Arial"/>
          <w:sz w:val="20"/>
          <w:szCs w:val="20"/>
        </w:rPr>
        <w:t>N</w:t>
      </w:r>
      <w:r w:rsidR="008A6F53" w:rsidRPr="00425127">
        <w:rPr>
          <w:rFonts w:ascii="Verdana" w:hAnsi="Verdana" w:cs="Arial"/>
          <w:sz w:val="20"/>
          <w:szCs w:val="20"/>
        </w:rPr>
        <w:t>ajvažnije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je</w:t>
      </w:r>
      <w:r w:rsidR="00263AE2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63AE2" w:rsidRPr="00425127">
        <w:rPr>
          <w:rFonts w:ascii="Verdana" w:hAnsi="Verdana" w:cs="Arial"/>
          <w:sz w:val="20"/>
          <w:szCs w:val="20"/>
        </w:rPr>
        <w:t>obezbijediti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D7014" w:rsidRPr="00425127">
        <w:rPr>
          <w:rFonts w:ascii="Verdana" w:hAnsi="Verdana" w:cs="Arial"/>
          <w:sz w:val="20"/>
          <w:szCs w:val="20"/>
        </w:rPr>
        <w:t>srazmjeran</w:t>
      </w:r>
      <w:proofErr w:type="spellEnd"/>
      <w:r w:rsidR="003D7014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D7014" w:rsidRPr="00425127">
        <w:rPr>
          <w:rFonts w:ascii="Verdana" w:hAnsi="Verdana" w:cs="Arial"/>
          <w:sz w:val="20"/>
          <w:szCs w:val="20"/>
        </w:rPr>
        <w:t>odnos</w:t>
      </w:r>
      <w:proofErr w:type="spellEnd"/>
      <w:r w:rsidR="00746F68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D7014" w:rsidRPr="00425127">
        <w:rPr>
          <w:rFonts w:ascii="Verdana" w:hAnsi="Verdana" w:cs="Arial"/>
          <w:sz w:val="20"/>
          <w:szCs w:val="20"/>
        </w:rPr>
        <w:t>poslovne</w:t>
      </w:r>
      <w:proofErr w:type="spellEnd"/>
      <w:r w:rsidR="003D7014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D7014" w:rsidRPr="00425127">
        <w:rPr>
          <w:rFonts w:ascii="Verdana" w:hAnsi="Verdana" w:cs="Arial"/>
          <w:sz w:val="20"/>
          <w:szCs w:val="20"/>
        </w:rPr>
        <w:t>dobiti</w:t>
      </w:r>
      <w:proofErr w:type="spellEnd"/>
      <w:r w:rsidR="003D7014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D7014" w:rsidRPr="00425127">
        <w:rPr>
          <w:rFonts w:ascii="Verdana" w:hAnsi="Verdana" w:cs="Arial"/>
          <w:sz w:val="20"/>
          <w:szCs w:val="20"/>
        </w:rPr>
        <w:t>i</w:t>
      </w:r>
      <w:proofErr w:type="spellEnd"/>
      <w:r w:rsidR="003D7014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obaveza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83D00" w:rsidRPr="00425127">
        <w:rPr>
          <w:rFonts w:ascii="Verdana" w:hAnsi="Verdana" w:cs="Arial"/>
          <w:sz w:val="20"/>
          <w:szCs w:val="20"/>
        </w:rPr>
        <w:t>odnosno</w:t>
      </w:r>
      <w:proofErr w:type="spellEnd"/>
      <w:r w:rsidR="00983D00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83D00" w:rsidRPr="00425127">
        <w:rPr>
          <w:rFonts w:ascii="Verdana" w:hAnsi="Verdana" w:cs="Arial"/>
          <w:sz w:val="20"/>
          <w:szCs w:val="20"/>
        </w:rPr>
        <w:t>troškova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46F68" w:rsidRPr="00425127">
        <w:rPr>
          <w:rFonts w:ascii="Verdana" w:hAnsi="Verdana" w:cs="Arial"/>
          <w:sz w:val="20"/>
          <w:szCs w:val="20"/>
        </w:rPr>
        <w:t>pasivnih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kamata</w:t>
      </w:r>
      <w:proofErr w:type="spellEnd"/>
      <w:r w:rsidR="00983D00" w:rsidRPr="00425127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Što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veći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dobijeni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035D" w:rsidRPr="00425127">
        <w:rPr>
          <w:rFonts w:ascii="Verdana" w:hAnsi="Verdana" w:cs="Arial"/>
          <w:sz w:val="20"/>
          <w:szCs w:val="20"/>
        </w:rPr>
        <w:t>raspon</w:t>
      </w:r>
      <w:proofErr w:type="spellEnd"/>
      <w:r w:rsidR="00746F68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između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ova </w:t>
      </w:r>
      <w:proofErr w:type="spellStart"/>
      <w:r w:rsidRPr="00425127">
        <w:rPr>
          <w:rFonts w:ascii="Verdana" w:hAnsi="Verdana" w:cs="Arial"/>
          <w:sz w:val="20"/>
          <w:szCs w:val="20"/>
        </w:rPr>
        <w:t>dva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pokazatelja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veća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finansijska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moć</w:t>
      </w:r>
      <w:proofErr w:type="spellEnd"/>
      <w:r w:rsidR="0000035D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035D" w:rsidRPr="00425127">
        <w:rPr>
          <w:rFonts w:ascii="Verdana" w:hAnsi="Verdana" w:cs="Arial"/>
          <w:sz w:val="20"/>
          <w:szCs w:val="20"/>
        </w:rPr>
        <w:t>Društva</w:t>
      </w:r>
      <w:proofErr w:type="spellEnd"/>
      <w:r w:rsidR="00424F8B">
        <w:rPr>
          <w:rFonts w:ascii="Verdana" w:hAnsi="Verdana" w:cs="Arial"/>
          <w:sz w:val="20"/>
          <w:szCs w:val="20"/>
        </w:rPr>
        <w:t>.</w:t>
      </w:r>
      <w:r w:rsidR="0000035D" w:rsidRPr="00425127">
        <w:rPr>
          <w:rFonts w:ascii="Verdana" w:hAnsi="Verdana" w:cs="Arial"/>
          <w:sz w:val="20"/>
          <w:szCs w:val="20"/>
        </w:rPr>
        <w:t xml:space="preserve"> </w:t>
      </w:r>
    </w:p>
    <w:p w14:paraId="4B571C91" w14:textId="77777777" w:rsidR="00A32A50" w:rsidRDefault="00A32A50" w:rsidP="00523F9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74A52605" w14:textId="52EAF3AB" w:rsidR="00A32A50" w:rsidRDefault="00A32A50" w:rsidP="00523F9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32A50">
        <w:rPr>
          <w:noProof/>
        </w:rPr>
        <w:drawing>
          <wp:inline distT="0" distB="0" distL="0" distR="0" wp14:anchorId="11ED48BB" wp14:editId="59045417">
            <wp:extent cx="5760720" cy="544195"/>
            <wp:effectExtent l="0" t="0" r="0" b="8255"/>
            <wp:docPr id="712133108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C1BB5" w14:textId="182991C8" w:rsidR="008A6F53" w:rsidRPr="00425127" w:rsidRDefault="00182FC0" w:rsidP="0085691E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Društvo ostvaruje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operativni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rezultat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koji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veći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od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troškova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kamata</w:t>
      </w:r>
      <w:proofErr w:type="spellEnd"/>
      <w:r w:rsidR="00426B33"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="00426B33" w:rsidRPr="00425127">
        <w:rPr>
          <w:rFonts w:ascii="Verdana" w:hAnsi="Verdana" w:cs="Arial"/>
          <w:sz w:val="20"/>
          <w:szCs w:val="20"/>
          <w:lang w:val="es-AR"/>
        </w:rPr>
        <w:t>odnosno</w:t>
      </w:r>
      <w:proofErr w:type="spellEnd"/>
      <w:r w:rsidR="00426B33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426B33" w:rsidRPr="00425127">
        <w:rPr>
          <w:rFonts w:ascii="Verdana" w:hAnsi="Verdana" w:cs="Arial"/>
          <w:sz w:val="20"/>
          <w:szCs w:val="20"/>
          <w:lang w:val="es-AR"/>
        </w:rPr>
        <w:t>troškovi</w:t>
      </w:r>
      <w:proofErr w:type="spellEnd"/>
      <w:r w:rsidR="00426B33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426B33" w:rsidRPr="00425127">
        <w:rPr>
          <w:rFonts w:ascii="Verdana" w:hAnsi="Verdana" w:cs="Arial"/>
          <w:sz w:val="20"/>
          <w:szCs w:val="20"/>
          <w:lang w:val="es-AR"/>
        </w:rPr>
        <w:t>kamata</w:t>
      </w:r>
      <w:proofErr w:type="spellEnd"/>
      <w:r w:rsidR="00426B33" w:rsidRPr="00425127">
        <w:rPr>
          <w:rFonts w:ascii="Verdana" w:hAnsi="Verdana" w:cs="Arial"/>
          <w:sz w:val="20"/>
          <w:szCs w:val="20"/>
          <w:lang w:val="es-AR"/>
        </w:rPr>
        <w:t xml:space="preserve"> su 1,</w:t>
      </w:r>
      <w:r w:rsidR="00424F8B">
        <w:rPr>
          <w:rFonts w:ascii="Verdana" w:hAnsi="Verdana" w:cs="Arial"/>
          <w:sz w:val="20"/>
          <w:szCs w:val="20"/>
          <w:lang w:val="es-AR"/>
        </w:rPr>
        <w:t>37</w:t>
      </w:r>
      <w:r w:rsidR="00B4322B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r w:rsidRPr="00425127">
        <w:rPr>
          <w:rFonts w:ascii="Verdana" w:hAnsi="Verdana" w:cs="Arial"/>
          <w:sz w:val="20"/>
          <w:szCs w:val="20"/>
        </w:rPr>
        <w:t>put</w:t>
      </w:r>
      <w:r w:rsidR="00426B33" w:rsidRPr="00425127">
        <w:rPr>
          <w:rFonts w:ascii="Verdana" w:hAnsi="Verdana" w:cs="Arial"/>
          <w:sz w:val="20"/>
          <w:szCs w:val="20"/>
        </w:rPr>
        <w:t>a</w:t>
      </w:r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pokriveni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operativnim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rezultatom</w:t>
      </w:r>
      <w:proofErr w:type="spellEnd"/>
      <w:r w:rsidRPr="00425127">
        <w:rPr>
          <w:rFonts w:ascii="Verdana" w:hAnsi="Verdana" w:cs="Arial"/>
          <w:sz w:val="20"/>
          <w:szCs w:val="20"/>
        </w:rPr>
        <w:t>.</w:t>
      </w:r>
    </w:p>
    <w:p w14:paraId="77639779" w14:textId="2D1A54CA" w:rsidR="000D477C" w:rsidRDefault="00182FC0" w:rsidP="0085691E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</w:rPr>
      </w:pPr>
      <w:r w:rsidRPr="00425127">
        <w:rPr>
          <w:rFonts w:cs="Arial"/>
          <w:sz w:val="20"/>
          <w:szCs w:val="20"/>
        </w:rPr>
        <w:t>→</w:t>
      </w:r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b/>
          <w:sz w:val="20"/>
          <w:szCs w:val="20"/>
        </w:rPr>
        <w:t>Moć</w:t>
      </w:r>
      <w:proofErr w:type="spellEnd"/>
      <w:r w:rsidR="008A6F53" w:rsidRPr="0042512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b/>
          <w:sz w:val="20"/>
          <w:szCs w:val="20"/>
        </w:rPr>
        <w:t>zarađivanja</w:t>
      </w:r>
      <w:proofErr w:type="spellEnd"/>
      <w:r w:rsidRPr="0042512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b/>
          <w:sz w:val="20"/>
          <w:szCs w:val="20"/>
        </w:rPr>
        <w:t>Društva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najbolji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indikator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rentabilnosti</w:t>
      </w:r>
      <w:proofErr w:type="spellEnd"/>
      <w:r w:rsidR="003578AB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578AB" w:rsidRPr="00425127">
        <w:rPr>
          <w:rFonts w:ascii="Verdana" w:hAnsi="Verdana" w:cs="Arial"/>
          <w:sz w:val="20"/>
          <w:szCs w:val="20"/>
        </w:rPr>
        <w:t>k</w:t>
      </w:r>
      <w:r w:rsidRPr="00425127">
        <w:rPr>
          <w:rFonts w:ascii="Verdana" w:hAnsi="Verdana" w:cs="Arial"/>
          <w:sz w:val="20"/>
          <w:szCs w:val="20"/>
        </w:rPr>
        <w:t>oja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25127">
        <w:rPr>
          <w:rFonts w:ascii="Verdana" w:hAnsi="Verdana" w:cs="Arial"/>
          <w:sz w:val="20"/>
          <w:szCs w:val="20"/>
        </w:rPr>
        <w:t>ispoljava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kroz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rentabilnost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20A82" w:rsidRPr="00425127">
        <w:rPr>
          <w:rFonts w:ascii="Verdana" w:hAnsi="Verdana" w:cs="Arial"/>
          <w:sz w:val="20"/>
          <w:szCs w:val="20"/>
        </w:rPr>
        <w:t>investiranog</w:t>
      </w:r>
      <w:proofErr w:type="spellEnd"/>
      <w:r w:rsidR="00C20A82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20A82" w:rsidRPr="00425127">
        <w:rPr>
          <w:rFonts w:ascii="Verdana" w:hAnsi="Verdana" w:cs="Arial"/>
          <w:sz w:val="20"/>
          <w:szCs w:val="20"/>
        </w:rPr>
        <w:t>kapitala</w:t>
      </w:r>
      <w:proofErr w:type="spellEnd"/>
      <w:r w:rsidR="00C20A82" w:rsidRPr="0042512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C20A82" w:rsidRPr="00425127">
        <w:rPr>
          <w:rFonts w:ascii="Verdana" w:hAnsi="Verdana" w:cs="Arial"/>
          <w:sz w:val="20"/>
          <w:szCs w:val="20"/>
        </w:rPr>
        <w:t>stopu</w:t>
      </w:r>
      <w:proofErr w:type="spellEnd"/>
      <w:r w:rsidR="00C20A82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20A82" w:rsidRPr="00425127">
        <w:rPr>
          <w:rFonts w:ascii="Verdana" w:hAnsi="Verdana" w:cs="Arial"/>
          <w:sz w:val="20"/>
          <w:szCs w:val="20"/>
        </w:rPr>
        <w:t>rentabilnosti</w:t>
      </w:r>
      <w:proofErr w:type="spellEnd"/>
      <w:r w:rsidR="00C20A82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20A82" w:rsidRPr="00425127">
        <w:rPr>
          <w:rFonts w:ascii="Verdana" w:hAnsi="Verdana" w:cs="Arial"/>
          <w:sz w:val="20"/>
          <w:szCs w:val="20"/>
        </w:rPr>
        <w:t>sopstvenog</w:t>
      </w:r>
      <w:proofErr w:type="spellEnd"/>
      <w:r w:rsidR="00C20A82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20A82" w:rsidRPr="00425127">
        <w:rPr>
          <w:rFonts w:ascii="Verdana" w:hAnsi="Verdana" w:cs="Arial"/>
          <w:sz w:val="20"/>
          <w:szCs w:val="20"/>
        </w:rPr>
        <w:t>kapitala</w:t>
      </w:r>
      <w:proofErr w:type="spellEnd"/>
      <w:r w:rsidR="00C20A82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20A82" w:rsidRPr="00425127">
        <w:rPr>
          <w:rFonts w:ascii="Verdana" w:hAnsi="Verdana" w:cs="Arial"/>
          <w:sz w:val="20"/>
          <w:szCs w:val="20"/>
        </w:rPr>
        <w:t>i</w:t>
      </w:r>
      <w:proofErr w:type="spellEnd"/>
      <w:r w:rsidR="0024567D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20A82" w:rsidRPr="00425127">
        <w:rPr>
          <w:rFonts w:ascii="Verdana" w:hAnsi="Verdana" w:cs="Arial"/>
          <w:sz w:val="20"/>
          <w:szCs w:val="20"/>
        </w:rPr>
        <w:t>stopu</w:t>
      </w:r>
      <w:proofErr w:type="spellEnd"/>
      <w:r w:rsidR="00C20A82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20A82" w:rsidRPr="00425127">
        <w:rPr>
          <w:rFonts w:ascii="Verdana" w:hAnsi="Verdana" w:cs="Arial"/>
          <w:sz w:val="20"/>
          <w:szCs w:val="20"/>
        </w:rPr>
        <w:t>rentabilnosti</w:t>
      </w:r>
      <w:proofErr w:type="spellEnd"/>
      <w:r w:rsidR="00C20A82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366E4" w:rsidRPr="00425127">
        <w:rPr>
          <w:rFonts w:ascii="Verdana" w:hAnsi="Verdana" w:cs="Arial"/>
          <w:sz w:val="20"/>
          <w:szCs w:val="20"/>
        </w:rPr>
        <w:t>osnivačkog</w:t>
      </w:r>
      <w:proofErr w:type="spellEnd"/>
      <w:r w:rsidR="005366E4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20A82" w:rsidRPr="00425127">
        <w:rPr>
          <w:rFonts w:ascii="Verdana" w:hAnsi="Verdana" w:cs="Arial"/>
          <w:sz w:val="20"/>
          <w:szCs w:val="20"/>
        </w:rPr>
        <w:t>kapitala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. </w:t>
      </w:r>
      <w:r w:rsidR="008A6F53" w:rsidRPr="00425127">
        <w:rPr>
          <w:rFonts w:ascii="Verdana" w:hAnsi="Verdana" w:cs="Arial"/>
          <w:sz w:val="20"/>
          <w:szCs w:val="20"/>
          <w:lang w:val="sr-Latn-BA"/>
        </w:rPr>
        <w:t>Društvo</w:t>
      </w:r>
      <w:r w:rsidR="008A6F53" w:rsidRPr="00425127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tokom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analizirane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dvije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godine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poslovanja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ostvarilo</w:t>
      </w:r>
      <w:proofErr w:type="spellEnd"/>
      <w:r w:rsidR="00E37FD2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37FD2" w:rsidRPr="00425127">
        <w:rPr>
          <w:rFonts w:ascii="Verdana" w:hAnsi="Verdana" w:cs="Arial"/>
          <w:sz w:val="20"/>
          <w:szCs w:val="20"/>
        </w:rPr>
        <w:t>sledeći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37FD2" w:rsidRPr="00425127">
        <w:rPr>
          <w:rFonts w:ascii="Verdana" w:hAnsi="Verdana" w:cs="Arial"/>
          <w:sz w:val="20"/>
          <w:szCs w:val="20"/>
        </w:rPr>
        <w:t>položaj</w:t>
      </w:r>
      <w:proofErr w:type="spellEnd"/>
      <w:r w:rsidR="00E37FD2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pokazatelja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rentabilnost</w:t>
      </w:r>
      <w:proofErr w:type="spellEnd"/>
      <w:r w:rsidR="00E37FD2" w:rsidRPr="00425127">
        <w:rPr>
          <w:rFonts w:ascii="Verdana" w:hAnsi="Verdana" w:cs="Arial"/>
          <w:sz w:val="20"/>
          <w:szCs w:val="20"/>
        </w:rPr>
        <w:t>:</w:t>
      </w:r>
      <w:r w:rsidR="008A6F53" w:rsidRPr="00425127">
        <w:rPr>
          <w:rFonts w:ascii="Verdana" w:hAnsi="Verdana" w:cs="Arial"/>
          <w:sz w:val="20"/>
          <w:szCs w:val="20"/>
        </w:rPr>
        <w:t xml:space="preserve"> </w:t>
      </w:r>
    </w:p>
    <w:p w14:paraId="7D00E99C" w14:textId="7537C0A9" w:rsidR="00FE3621" w:rsidRDefault="00FE3621" w:rsidP="0085691E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</w:rPr>
      </w:pPr>
      <w:r w:rsidRPr="00FE3621">
        <w:rPr>
          <w:noProof/>
        </w:rPr>
        <w:drawing>
          <wp:inline distT="0" distB="0" distL="0" distR="0" wp14:anchorId="50D7C099" wp14:editId="3A22F732">
            <wp:extent cx="5760720" cy="660400"/>
            <wp:effectExtent l="0" t="0" r="0" b="6350"/>
            <wp:docPr id="157101652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2A6B4" w14:textId="77777777" w:rsidR="00A93291" w:rsidRPr="00425127" w:rsidRDefault="00A93291" w:rsidP="00523F9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E604230" w14:textId="6D1A3DB4" w:rsidR="00330C23" w:rsidRDefault="00C20A82" w:rsidP="00381DB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25127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425127">
        <w:rPr>
          <w:rFonts w:ascii="Verdana" w:hAnsi="Verdana" w:cs="Arial"/>
          <w:sz w:val="20"/>
          <w:szCs w:val="20"/>
        </w:rPr>
        <w:t>ukupnu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vrijednost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investicionog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kapitala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Društvo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generi</w:t>
      </w:r>
      <w:r w:rsidR="00263AE2" w:rsidRPr="00425127">
        <w:rPr>
          <w:rFonts w:ascii="Verdana" w:hAnsi="Verdana" w:cs="Arial"/>
          <w:sz w:val="20"/>
          <w:szCs w:val="20"/>
        </w:rPr>
        <w:t>š</w:t>
      </w:r>
      <w:r w:rsidRPr="00425127">
        <w:rPr>
          <w:rFonts w:ascii="Verdana" w:hAnsi="Verdana" w:cs="Arial"/>
          <w:sz w:val="20"/>
          <w:szCs w:val="20"/>
        </w:rPr>
        <w:t>e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r w:rsidR="002E3312" w:rsidRPr="00425127">
        <w:rPr>
          <w:rFonts w:ascii="Verdana" w:hAnsi="Verdana" w:cs="Arial"/>
          <w:sz w:val="20"/>
          <w:szCs w:val="20"/>
        </w:rPr>
        <w:t>13,</w:t>
      </w:r>
      <w:r w:rsidR="00B36D0A">
        <w:rPr>
          <w:rFonts w:ascii="Verdana" w:hAnsi="Verdana" w:cs="Arial"/>
          <w:sz w:val="20"/>
          <w:szCs w:val="20"/>
        </w:rPr>
        <w:t>06</w:t>
      </w:r>
      <w:r w:rsidRPr="00425127">
        <w:rPr>
          <w:rFonts w:ascii="Verdana" w:hAnsi="Verdana" w:cs="Arial"/>
          <w:sz w:val="20"/>
          <w:szCs w:val="20"/>
        </w:rPr>
        <w:t xml:space="preserve">% </w:t>
      </w:r>
      <w:proofErr w:type="spellStart"/>
      <w:r w:rsidRPr="00425127">
        <w:rPr>
          <w:rFonts w:ascii="Verdana" w:hAnsi="Verdana" w:cs="Arial"/>
          <w:sz w:val="20"/>
          <w:szCs w:val="20"/>
        </w:rPr>
        <w:t>neto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dobiti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uvećane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25127">
        <w:rPr>
          <w:rFonts w:ascii="Verdana" w:hAnsi="Verdana" w:cs="Arial"/>
          <w:sz w:val="20"/>
          <w:szCs w:val="20"/>
        </w:rPr>
        <w:t>troškove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kamata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. </w:t>
      </w:r>
      <w:r w:rsidR="008A6F53" w:rsidRPr="00B14C45">
        <w:rPr>
          <w:rFonts w:ascii="Verdana" w:hAnsi="Verdana" w:cs="Arial"/>
          <w:sz w:val="20"/>
          <w:szCs w:val="20"/>
        </w:rPr>
        <w:t xml:space="preserve">Stopa </w:t>
      </w:r>
      <w:proofErr w:type="spellStart"/>
      <w:r w:rsidR="0024567D" w:rsidRPr="00B14C45">
        <w:rPr>
          <w:rFonts w:ascii="Verdana" w:hAnsi="Verdana" w:cs="Arial"/>
          <w:sz w:val="20"/>
          <w:szCs w:val="20"/>
        </w:rPr>
        <w:t>rentabilnosti</w:t>
      </w:r>
      <w:proofErr w:type="spellEnd"/>
      <w:r w:rsidR="0024567D" w:rsidRPr="00B14C4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4567D" w:rsidRPr="00B14C45">
        <w:rPr>
          <w:rFonts w:ascii="Verdana" w:hAnsi="Verdana" w:cs="Arial"/>
          <w:sz w:val="20"/>
          <w:szCs w:val="20"/>
        </w:rPr>
        <w:t>investicionog</w:t>
      </w:r>
      <w:proofErr w:type="spellEnd"/>
      <w:r w:rsidR="0024567D" w:rsidRPr="00B14C4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B14C45">
        <w:rPr>
          <w:rFonts w:ascii="Verdana" w:hAnsi="Verdana" w:cs="Arial"/>
          <w:sz w:val="20"/>
          <w:szCs w:val="20"/>
        </w:rPr>
        <w:t>kapital</w:t>
      </w:r>
      <w:proofErr w:type="spellEnd"/>
      <w:r w:rsidR="008A6F53" w:rsidRPr="00B14C45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="00B14C45" w:rsidRPr="00B14C45">
        <w:rPr>
          <w:rFonts w:ascii="Verdana" w:hAnsi="Verdana" w:cs="Arial"/>
          <w:sz w:val="20"/>
          <w:szCs w:val="20"/>
        </w:rPr>
        <w:t>manj</w:t>
      </w:r>
      <w:r w:rsidR="00B14C45">
        <w:rPr>
          <w:rFonts w:ascii="Verdana" w:hAnsi="Verdana" w:cs="Arial"/>
          <w:sz w:val="20"/>
          <w:szCs w:val="20"/>
        </w:rPr>
        <w:t>a</w:t>
      </w:r>
      <w:proofErr w:type="spellEnd"/>
      <w:r w:rsidR="008A6F53" w:rsidRPr="00B14C45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="008A6F53" w:rsidRPr="00B14C45">
        <w:rPr>
          <w:rFonts w:ascii="Verdana" w:hAnsi="Verdana" w:cs="Arial"/>
          <w:sz w:val="20"/>
          <w:szCs w:val="20"/>
        </w:rPr>
        <w:t>tekućoj</w:t>
      </w:r>
      <w:proofErr w:type="spellEnd"/>
      <w:r w:rsidR="008A6F53" w:rsidRPr="00B14C4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B14C45">
        <w:rPr>
          <w:rFonts w:ascii="Verdana" w:hAnsi="Verdana" w:cs="Arial"/>
          <w:sz w:val="20"/>
          <w:szCs w:val="20"/>
        </w:rPr>
        <w:t>godini</w:t>
      </w:r>
      <w:proofErr w:type="spellEnd"/>
      <w:r w:rsidR="00F65B8E" w:rsidRPr="00B14C45">
        <w:rPr>
          <w:rFonts w:ascii="Verdana" w:hAnsi="Verdana" w:cs="Arial"/>
          <w:sz w:val="20"/>
          <w:szCs w:val="20"/>
        </w:rPr>
        <w:t>,</w:t>
      </w:r>
      <w:r w:rsidR="008A6F53" w:rsidRPr="00B14C45">
        <w:rPr>
          <w:rFonts w:ascii="Verdana" w:hAnsi="Verdana" w:cs="Arial"/>
          <w:sz w:val="20"/>
          <w:szCs w:val="20"/>
        </w:rPr>
        <w:t xml:space="preserve"> </w:t>
      </w:r>
      <w:r w:rsidRPr="00B14C45">
        <w:rPr>
          <w:rFonts w:ascii="Verdana" w:hAnsi="Verdana" w:cs="Arial"/>
          <w:sz w:val="20"/>
          <w:szCs w:val="20"/>
        </w:rPr>
        <w:t xml:space="preserve">za </w:t>
      </w:r>
      <w:r w:rsidR="003A3455">
        <w:rPr>
          <w:rFonts w:ascii="Verdana" w:hAnsi="Verdana" w:cs="Arial"/>
          <w:sz w:val="20"/>
          <w:szCs w:val="20"/>
        </w:rPr>
        <w:t xml:space="preserve">(-) </w:t>
      </w:r>
      <w:r w:rsidR="00B14C45">
        <w:rPr>
          <w:rFonts w:ascii="Verdana" w:hAnsi="Verdana" w:cs="Arial"/>
          <w:sz w:val="20"/>
          <w:szCs w:val="20"/>
        </w:rPr>
        <w:t>0,</w:t>
      </w:r>
      <w:r w:rsidR="00B36D0A">
        <w:rPr>
          <w:rFonts w:ascii="Verdana" w:hAnsi="Verdana" w:cs="Arial"/>
          <w:sz w:val="20"/>
          <w:szCs w:val="20"/>
        </w:rPr>
        <w:t>09</w:t>
      </w:r>
      <w:r w:rsidRPr="00B14C45">
        <w:rPr>
          <w:rFonts w:ascii="Verdana" w:hAnsi="Verdana" w:cs="Arial"/>
          <w:sz w:val="20"/>
          <w:szCs w:val="20"/>
        </w:rPr>
        <w:t xml:space="preserve"> p.p.</w:t>
      </w:r>
      <w:r w:rsidR="00F65B8E" w:rsidRPr="00B14C45">
        <w:rPr>
          <w:rFonts w:ascii="Verdana" w:hAnsi="Verdana" w:cs="Arial"/>
          <w:sz w:val="20"/>
          <w:szCs w:val="20"/>
        </w:rPr>
        <w:t>,</w:t>
      </w:r>
      <w:r w:rsidRPr="00B14C45">
        <w:rPr>
          <w:rFonts w:ascii="Verdana" w:hAnsi="Verdana" w:cs="Arial"/>
          <w:sz w:val="20"/>
          <w:szCs w:val="20"/>
        </w:rPr>
        <w:t xml:space="preserve"> </w:t>
      </w:r>
      <w:r w:rsidR="0024567D" w:rsidRPr="00B14C45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="0024567D" w:rsidRPr="00B14C45">
        <w:rPr>
          <w:rFonts w:ascii="Verdana" w:hAnsi="Verdana" w:cs="Arial"/>
          <w:sz w:val="20"/>
          <w:szCs w:val="20"/>
        </w:rPr>
        <w:t>odnosu</w:t>
      </w:r>
      <w:proofErr w:type="spellEnd"/>
      <w:r w:rsidR="0024567D" w:rsidRPr="00B14C4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4567D" w:rsidRPr="00B14C45">
        <w:rPr>
          <w:rFonts w:ascii="Verdana" w:hAnsi="Verdana" w:cs="Arial"/>
          <w:sz w:val="20"/>
          <w:szCs w:val="20"/>
        </w:rPr>
        <w:t>na</w:t>
      </w:r>
      <w:proofErr w:type="spellEnd"/>
      <w:r w:rsidR="0024567D" w:rsidRPr="00B14C4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4567D" w:rsidRPr="00B14C45">
        <w:rPr>
          <w:rFonts w:ascii="Verdana" w:hAnsi="Verdana" w:cs="Arial"/>
          <w:sz w:val="20"/>
          <w:szCs w:val="20"/>
        </w:rPr>
        <w:t>prethodnu</w:t>
      </w:r>
      <w:proofErr w:type="spellEnd"/>
      <w:r w:rsidR="003A345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3455">
        <w:rPr>
          <w:rFonts w:ascii="Verdana" w:hAnsi="Verdana" w:cs="Arial"/>
          <w:sz w:val="20"/>
          <w:szCs w:val="20"/>
        </w:rPr>
        <w:t>poslovnu</w:t>
      </w:r>
      <w:proofErr w:type="spellEnd"/>
      <w:r w:rsidR="0024567D" w:rsidRPr="00B14C4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14C45">
        <w:rPr>
          <w:rFonts w:ascii="Verdana" w:hAnsi="Verdana" w:cs="Arial"/>
          <w:sz w:val="20"/>
          <w:szCs w:val="20"/>
        </w:rPr>
        <w:t>godinu</w:t>
      </w:r>
      <w:proofErr w:type="spellEnd"/>
      <w:r w:rsidRPr="00B14C45">
        <w:rPr>
          <w:rFonts w:ascii="Verdana" w:hAnsi="Verdana" w:cs="Arial"/>
          <w:sz w:val="20"/>
          <w:szCs w:val="20"/>
        </w:rPr>
        <w:t xml:space="preserve">. </w:t>
      </w:r>
    </w:p>
    <w:p w14:paraId="26334AE9" w14:textId="77777777" w:rsidR="00FE3621" w:rsidRDefault="00FE3621" w:rsidP="00381DB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295CA73" w14:textId="13623689" w:rsidR="00FE3621" w:rsidRPr="00B14C45" w:rsidRDefault="00FE3621" w:rsidP="00381DB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E3621">
        <w:rPr>
          <w:noProof/>
        </w:rPr>
        <w:drawing>
          <wp:inline distT="0" distB="0" distL="0" distR="0" wp14:anchorId="009875EC" wp14:editId="3506E90F">
            <wp:extent cx="5760720" cy="458470"/>
            <wp:effectExtent l="0" t="0" r="0" b="0"/>
            <wp:docPr id="194212812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17DF5" w14:textId="77777777" w:rsidR="001E2D80" w:rsidRPr="00425127" w:rsidRDefault="001E2D80" w:rsidP="00381DB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7D34DEB" w14:textId="4DF867C8" w:rsidR="00D05EB1" w:rsidRDefault="00F65B8E" w:rsidP="007771D2">
      <w:pPr>
        <w:tabs>
          <w:tab w:val="left" w:pos="8931"/>
        </w:tabs>
        <w:spacing w:after="0" w:line="240" w:lineRule="auto"/>
        <w:ind w:right="141"/>
        <w:jc w:val="both"/>
        <w:rPr>
          <w:rFonts w:ascii="Verdana" w:hAnsi="Verdana" w:cs="Arial"/>
          <w:sz w:val="20"/>
          <w:szCs w:val="20"/>
        </w:rPr>
      </w:pPr>
      <w:r w:rsidRPr="00425127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425127">
        <w:rPr>
          <w:rFonts w:ascii="Verdana" w:hAnsi="Verdana" w:cs="Arial"/>
          <w:sz w:val="20"/>
          <w:szCs w:val="20"/>
        </w:rPr>
        <w:t>ukupnu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vrijednost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sopstvenog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kapitala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Društvo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generiše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r w:rsidR="00B36D0A">
        <w:rPr>
          <w:rFonts w:ascii="Verdana" w:hAnsi="Verdana" w:cs="Arial"/>
          <w:sz w:val="20"/>
          <w:szCs w:val="20"/>
        </w:rPr>
        <w:t>32.84</w:t>
      </w:r>
      <w:r w:rsidRPr="00425127">
        <w:rPr>
          <w:rFonts w:ascii="Verdana" w:hAnsi="Verdana" w:cs="Arial"/>
          <w:sz w:val="20"/>
          <w:szCs w:val="20"/>
        </w:rPr>
        <w:t xml:space="preserve">% </w:t>
      </w:r>
      <w:proofErr w:type="spellStart"/>
      <w:r w:rsidRPr="00425127">
        <w:rPr>
          <w:rFonts w:ascii="Verdana" w:hAnsi="Verdana" w:cs="Arial"/>
          <w:sz w:val="20"/>
          <w:szCs w:val="20"/>
        </w:rPr>
        <w:t>neto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dobiti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. </w:t>
      </w:r>
      <w:r w:rsidR="008A6F53" w:rsidRPr="00425127">
        <w:rPr>
          <w:rFonts w:ascii="Verdana" w:hAnsi="Verdana" w:cs="Arial"/>
          <w:sz w:val="20"/>
          <w:szCs w:val="20"/>
        </w:rPr>
        <w:t xml:space="preserve">Stopa </w:t>
      </w:r>
      <w:proofErr w:type="spellStart"/>
      <w:r w:rsidRPr="00425127">
        <w:rPr>
          <w:rFonts w:ascii="Verdana" w:hAnsi="Verdana" w:cs="Arial"/>
          <w:sz w:val="20"/>
          <w:szCs w:val="20"/>
        </w:rPr>
        <w:t>rentabilnosti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odnosno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neto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prinosa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na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sopstveni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kapital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(ROE)</w:t>
      </w:r>
      <w:r w:rsidR="00D05EB1" w:rsidRPr="00425127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="00756BB6" w:rsidRPr="00425127">
        <w:rPr>
          <w:rFonts w:ascii="Verdana" w:hAnsi="Verdana" w:cs="Arial"/>
          <w:sz w:val="20"/>
          <w:szCs w:val="20"/>
        </w:rPr>
        <w:t>veća</w:t>
      </w:r>
      <w:proofErr w:type="spellEnd"/>
      <w:r w:rsidRPr="00425127">
        <w:rPr>
          <w:rFonts w:ascii="Verdana" w:hAnsi="Verdana" w:cs="Arial"/>
          <w:sz w:val="20"/>
          <w:szCs w:val="20"/>
        </w:rPr>
        <w:t>,</w:t>
      </w:r>
      <w:r w:rsidR="00756BB6" w:rsidRPr="00425127">
        <w:rPr>
          <w:rFonts w:ascii="Verdana" w:hAnsi="Verdana" w:cs="Arial"/>
          <w:sz w:val="20"/>
          <w:szCs w:val="20"/>
        </w:rPr>
        <w:t xml:space="preserve"> </w:t>
      </w:r>
      <w:r w:rsidR="008A6F53" w:rsidRPr="00425127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tekućoj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godini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r w:rsidR="00756BB6" w:rsidRPr="00425127">
        <w:rPr>
          <w:rFonts w:ascii="Verdana" w:hAnsi="Verdana" w:cs="Arial"/>
          <w:sz w:val="20"/>
          <w:szCs w:val="20"/>
        </w:rPr>
        <w:t>za</w:t>
      </w:r>
      <w:r w:rsidRPr="00425127">
        <w:rPr>
          <w:rFonts w:ascii="Verdana" w:hAnsi="Verdana" w:cs="Arial"/>
          <w:sz w:val="20"/>
          <w:szCs w:val="20"/>
        </w:rPr>
        <w:t xml:space="preserve"> </w:t>
      </w:r>
      <w:r w:rsidR="003A3455">
        <w:rPr>
          <w:rFonts w:ascii="Verdana" w:hAnsi="Verdana" w:cs="Arial"/>
          <w:sz w:val="20"/>
          <w:szCs w:val="20"/>
        </w:rPr>
        <w:t>7,</w:t>
      </w:r>
      <w:r w:rsidR="00B36D0A">
        <w:rPr>
          <w:rFonts w:ascii="Verdana" w:hAnsi="Verdana" w:cs="Arial"/>
          <w:sz w:val="20"/>
          <w:szCs w:val="20"/>
        </w:rPr>
        <w:t>09</w:t>
      </w:r>
      <w:r w:rsidRPr="00425127">
        <w:rPr>
          <w:rFonts w:ascii="Verdana" w:hAnsi="Verdana" w:cs="Arial"/>
          <w:sz w:val="20"/>
          <w:szCs w:val="20"/>
        </w:rPr>
        <w:t xml:space="preserve"> p.p.,</w:t>
      </w:r>
      <w:r w:rsidR="00756BB6" w:rsidRPr="00425127">
        <w:rPr>
          <w:rFonts w:ascii="Verdana" w:hAnsi="Verdana" w:cs="Arial"/>
          <w:sz w:val="20"/>
          <w:szCs w:val="20"/>
        </w:rPr>
        <w:t xml:space="preserve"> </w:t>
      </w:r>
      <w:r w:rsidR="008A6F53" w:rsidRPr="00425127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odnosu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na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prethodnu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3455">
        <w:rPr>
          <w:rFonts w:ascii="Verdana" w:hAnsi="Verdana" w:cs="Arial"/>
          <w:sz w:val="20"/>
          <w:szCs w:val="20"/>
        </w:rPr>
        <w:t>poslovnu</w:t>
      </w:r>
      <w:proofErr w:type="spellEnd"/>
      <w:r w:rsidR="003A345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godinu</w:t>
      </w:r>
      <w:proofErr w:type="spellEnd"/>
      <w:r w:rsidRPr="00425127">
        <w:rPr>
          <w:rFonts w:ascii="Verdana" w:hAnsi="Verdana" w:cs="Arial"/>
          <w:sz w:val="20"/>
          <w:szCs w:val="20"/>
        </w:rPr>
        <w:t>.</w:t>
      </w:r>
    </w:p>
    <w:p w14:paraId="10F08ED6" w14:textId="77777777" w:rsidR="00865DCD" w:rsidRDefault="00865DCD" w:rsidP="007771D2">
      <w:pPr>
        <w:tabs>
          <w:tab w:val="left" w:pos="8931"/>
        </w:tabs>
        <w:spacing w:after="0" w:line="240" w:lineRule="auto"/>
        <w:ind w:right="141"/>
        <w:jc w:val="both"/>
        <w:rPr>
          <w:rFonts w:ascii="Verdana" w:hAnsi="Verdana" w:cs="Arial"/>
          <w:sz w:val="20"/>
          <w:szCs w:val="20"/>
        </w:rPr>
      </w:pPr>
    </w:p>
    <w:p w14:paraId="35593744" w14:textId="534220EE" w:rsidR="00865DCD" w:rsidRDefault="00865DCD" w:rsidP="007771D2">
      <w:pPr>
        <w:tabs>
          <w:tab w:val="left" w:pos="8931"/>
        </w:tabs>
        <w:spacing w:after="0" w:line="240" w:lineRule="auto"/>
        <w:ind w:right="141"/>
        <w:jc w:val="both"/>
        <w:rPr>
          <w:rFonts w:ascii="Verdana" w:hAnsi="Verdana" w:cs="Arial"/>
          <w:sz w:val="20"/>
          <w:szCs w:val="20"/>
        </w:rPr>
      </w:pPr>
      <w:r w:rsidRPr="00865DCD">
        <w:rPr>
          <w:noProof/>
        </w:rPr>
        <w:drawing>
          <wp:inline distT="0" distB="0" distL="0" distR="0" wp14:anchorId="46B3D4C3" wp14:editId="6A591F97">
            <wp:extent cx="5760720" cy="458470"/>
            <wp:effectExtent l="0" t="0" r="0" b="0"/>
            <wp:docPr id="131624368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482CC" w14:textId="5B9F7E89" w:rsidR="008A6F53" w:rsidRPr="00425127" w:rsidRDefault="00890471" w:rsidP="007771D2">
      <w:pPr>
        <w:spacing w:before="24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</w:t>
      </w:r>
      <w:r w:rsidR="00F65B8E" w:rsidRPr="00425127">
        <w:rPr>
          <w:rFonts w:ascii="Verdana" w:hAnsi="Verdana" w:cs="Arial"/>
          <w:sz w:val="20"/>
          <w:szCs w:val="20"/>
        </w:rPr>
        <w:t xml:space="preserve">a </w:t>
      </w:r>
      <w:proofErr w:type="spellStart"/>
      <w:r w:rsidR="00F65B8E" w:rsidRPr="00425127">
        <w:rPr>
          <w:rFonts w:ascii="Verdana" w:hAnsi="Verdana" w:cs="Arial"/>
          <w:sz w:val="20"/>
          <w:szCs w:val="20"/>
        </w:rPr>
        <w:t>ukupnu</w:t>
      </w:r>
      <w:proofErr w:type="spellEnd"/>
      <w:r w:rsidR="00F65B8E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65B8E" w:rsidRPr="00425127">
        <w:rPr>
          <w:rFonts w:ascii="Verdana" w:hAnsi="Verdana" w:cs="Arial"/>
          <w:sz w:val="20"/>
          <w:szCs w:val="20"/>
        </w:rPr>
        <w:t>vrijednost</w:t>
      </w:r>
      <w:proofErr w:type="spellEnd"/>
      <w:r w:rsidR="00F65B8E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366E4" w:rsidRPr="00425127">
        <w:rPr>
          <w:rFonts w:ascii="Verdana" w:hAnsi="Verdana" w:cs="Arial"/>
          <w:sz w:val="20"/>
          <w:szCs w:val="20"/>
        </w:rPr>
        <w:t>osnivač</w:t>
      </w:r>
      <w:r w:rsidR="00F65B8E" w:rsidRPr="00425127">
        <w:rPr>
          <w:rFonts w:ascii="Verdana" w:hAnsi="Verdana" w:cs="Arial"/>
          <w:sz w:val="20"/>
          <w:szCs w:val="20"/>
        </w:rPr>
        <w:t>kog</w:t>
      </w:r>
      <w:proofErr w:type="spellEnd"/>
      <w:r w:rsidR="00F65B8E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65B8E" w:rsidRPr="00425127">
        <w:rPr>
          <w:rFonts w:ascii="Verdana" w:hAnsi="Verdana" w:cs="Arial"/>
          <w:sz w:val="20"/>
          <w:szCs w:val="20"/>
        </w:rPr>
        <w:t>kapitala</w:t>
      </w:r>
      <w:proofErr w:type="spellEnd"/>
      <w:r w:rsidR="00F65B8E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65B8E" w:rsidRPr="00425127">
        <w:rPr>
          <w:rFonts w:ascii="Verdana" w:hAnsi="Verdana" w:cs="Arial"/>
          <w:sz w:val="20"/>
          <w:szCs w:val="20"/>
        </w:rPr>
        <w:t>Društvo</w:t>
      </w:r>
      <w:proofErr w:type="spellEnd"/>
      <w:r w:rsidR="00F65B8E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65B8E" w:rsidRPr="00425127">
        <w:rPr>
          <w:rFonts w:ascii="Verdana" w:hAnsi="Verdana" w:cs="Arial"/>
          <w:sz w:val="20"/>
          <w:szCs w:val="20"/>
        </w:rPr>
        <w:t>generiše</w:t>
      </w:r>
      <w:proofErr w:type="spellEnd"/>
      <w:r w:rsidR="00F65B8E" w:rsidRPr="00425127">
        <w:rPr>
          <w:rFonts w:ascii="Verdana" w:hAnsi="Verdana" w:cs="Arial"/>
          <w:sz w:val="20"/>
          <w:szCs w:val="20"/>
        </w:rPr>
        <w:t xml:space="preserve"> </w:t>
      </w:r>
      <w:r w:rsidR="00B36D0A">
        <w:rPr>
          <w:rFonts w:ascii="Verdana" w:hAnsi="Verdana" w:cs="Arial"/>
          <w:sz w:val="20"/>
          <w:szCs w:val="20"/>
        </w:rPr>
        <w:t>51.45</w:t>
      </w:r>
      <w:r w:rsidR="003A3455">
        <w:rPr>
          <w:rFonts w:ascii="Verdana" w:hAnsi="Verdana" w:cs="Arial"/>
          <w:sz w:val="20"/>
          <w:szCs w:val="20"/>
        </w:rPr>
        <w:t xml:space="preserve"> </w:t>
      </w:r>
      <w:r w:rsidR="00F65B8E" w:rsidRPr="00425127">
        <w:rPr>
          <w:rFonts w:ascii="Verdana" w:hAnsi="Verdana" w:cs="Arial"/>
          <w:sz w:val="20"/>
          <w:szCs w:val="20"/>
        </w:rPr>
        <w:t xml:space="preserve">% </w:t>
      </w:r>
      <w:proofErr w:type="spellStart"/>
      <w:r w:rsidR="00F65B8E" w:rsidRPr="00425127">
        <w:rPr>
          <w:rFonts w:ascii="Verdana" w:hAnsi="Verdana" w:cs="Arial"/>
          <w:sz w:val="20"/>
          <w:szCs w:val="20"/>
        </w:rPr>
        <w:t>neto</w:t>
      </w:r>
      <w:proofErr w:type="spellEnd"/>
      <w:r w:rsidR="00F65B8E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65B8E" w:rsidRPr="00425127">
        <w:rPr>
          <w:rFonts w:ascii="Verdana" w:hAnsi="Verdana" w:cs="Arial"/>
          <w:sz w:val="20"/>
          <w:szCs w:val="20"/>
        </w:rPr>
        <w:t>dobiti</w:t>
      </w:r>
      <w:proofErr w:type="spellEnd"/>
      <w:r w:rsidR="00F65B8E" w:rsidRPr="00425127">
        <w:rPr>
          <w:rFonts w:ascii="Verdana" w:hAnsi="Verdana" w:cs="Arial"/>
          <w:sz w:val="20"/>
          <w:szCs w:val="20"/>
        </w:rPr>
        <w:t xml:space="preserve">. </w:t>
      </w:r>
      <w:r w:rsidR="008A6F53" w:rsidRPr="00425127">
        <w:rPr>
          <w:rFonts w:ascii="Verdana" w:hAnsi="Verdana" w:cs="Arial"/>
          <w:sz w:val="20"/>
          <w:szCs w:val="20"/>
        </w:rPr>
        <w:t xml:space="preserve">Stopa </w:t>
      </w:r>
      <w:proofErr w:type="spellStart"/>
      <w:r w:rsidR="00F65B8E" w:rsidRPr="00425127">
        <w:rPr>
          <w:rFonts w:ascii="Verdana" w:hAnsi="Verdana" w:cs="Arial"/>
          <w:sz w:val="20"/>
          <w:szCs w:val="20"/>
        </w:rPr>
        <w:t>rentabilnosti</w:t>
      </w:r>
      <w:proofErr w:type="spellEnd"/>
      <w:r w:rsidR="00F65B8E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65B8E" w:rsidRPr="00425127">
        <w:rPr>
          <w:rFonts w:ascii="Verdana" w:hAnsi="Verdana" w:cs="Arial"/>
          <w:sz w:val="20"/>
          <w:szCs w:val="20"/>
        </w:rPr>
        <w:t>odnosno</w:t>
      </w:r>
      <w:proofErr w:type="spellEnd"/>
      <w:r w:rsidR="00F65B8E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65B8E" w:rsidRPr="00425127">
        <w:rPr>
          <w:rFonts w:ascii="Verdana" w:hAnsi="Verdana" w:cs="Arial"/>
          <w:sz w:val="20"/>
          <w:szCs w:val="20"/>
        </w:rPr>
        <w:t>prinosa</w:t>
      </w:r>
      <w:proofErr w:type="spellEnd"/>
      <w:r w:rsidR="00F65B8E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na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366E4" w:rsidRPr="00425127">
        <w:rPr>
          <w:rFonts w:ascii="Verdana" w:hAnsi="Verdana" w:cs="Arial"/>
          <w:sz w:val="20"/>
          <w:szCs w:val="20"/>
        </w:rPr>
        <w:t>osnivač</w:t>
      </w:r>
      <w:r w:rsidR="008A6F53" w:rsidRPr="00425127">
        <w:rPr>
          <w:rFonts w:ascii="Verdana" w:hAnsi="Verdana" w:cs="Arial"/>
          <w:sz w:val="20"/>
          <w:szCs w:val="20"/>
        </w:rPr>
        <w:t>ki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kapital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r w:rsidR="00F65B8E" w:rsidRPr="00425127">
        <w:rPr>
          <w:rFonts w:ascii="Verdana" w:hAnsi="Verdana" w:cs="Arial"/>
          <w:sz w:val="20"/>
          <w:szCs w:val="20"/>
        </w:rPr>
        <w:t xml:space="preserve">je </w:t>
      </w:r>
      <w:proofErr w:type="spellStart"/>
      <w:r w:rsidR="00DF1264" w:rsidRPr="00425127">
        <w:rPr>
          <w:rFonts w:ascii="Verdana" w:hAnsi="Verdana" w:cs="Arial"/>
          <w:sz w:val="20"/>
          <w:szCs w:val="20"/>
        </w:rPr>
        <w:t>porasla</w:t>
      </w:r>
      <w:proofErr w:type="spellEnd"/>
      <w:r w:rsidR="00F65B8E" w:rsidRPr="00425127">
        <w:rPr>
          <w:rFonts w:ascii="Verdana" w:hAnsi="Verdana" w:cs="Arial"/>
          <w:sz w:val="20"/>
          <w:szCs w:val="20"/>
        </w:rPr>
        <w:t>,</w:t>
      </w:r>
      <w:r w:rsidR="008A6F53" w:rsidRPr="0042512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tekućoj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godini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r w:rsidR="00F65B8E" w:rsidRPr="00425127">
        <w:rPr>
          <w:rFonts w:ascii="Verdana" w:hAnsi="Verdana" w:cs="Arial"/>
          <w:sz w:val="20"/>
          <w:szCs w:val="20"/>
        </w:rPr>
        <w:t xml:space="preserve">za </w:t>
      </w:r>
      <w:r w:rsidR="00B36D0A">
        <w:rPr>
          <w:rFonts w:ascii="Verdana" w:hAnsi="Verdana" w:cs="Arial"/>
          <w:sz w:val="20"/>
          <w:szCs w:val="20"/>
        </w:rPr>
        <w:t>15,58</w:t>
      </w:r>
      <w:r w:rsidR="00F65B8E" w:rsidRPr="00425127">
        <w:rPr>
          <w:rFonts w:ascii="Verdana" w:hAnsi="Verdana" w:cs="Arial"/>
          <w:sz w:val="20"/>
          <w:szCs w:val="20"/>
        </w:rPr>
        <w:t xml:space="preserve"> p.p., u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odnosu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na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prethodnu</w:t>
      </w:r>
      <w:proofErr w:type="spellEnd"/>
      <w:r w:rsidR="008A6F53"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3455">
        <w:rPr>
          <w:rFonts w:ascii="Verdana" w:hAnsi="Verdana" w:cs="Arial"/>
          <w:sz w:val="20"/>
          <w:szCs w:val="20"/>
        </w:rPr>
        <w:t>poslovnu</w:t>
      </w:r>
      <w:proofErr w:type="spellEnd"/>
      <w:r w:rsidR="003A345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A6F53" w:rsidRPr="00425127">
        <w:rPr>
          <w:rFonts w:ascii="Verdana" w:hAnsi="Verdana" w:cs="Arial"/>
          <w:sz w:val="20"/>
          <w:szCs w:val="20"/>
        </w:rPr>
        <w:t>godinu</w:t>
      </w:r>
      <w:proofErr w:type="spellEnd"/>
      <w:r w:rsidR="00F65B8E" w:rsidRPr="00425127">
        <w:rPr>
          <w:rFonts w:ascii="Verdana" w:hAnsi="Verdana" w:cs="Arial"/>
          <w:sz w:val="20"/>
          <w:szCs w:val="20"/>
        </w:rPr>
        <w:t>.</w:t>
      </w:r>
      <w:r w:rsidR="008A6F53" w:rsidRPr="00425127">
        <w:rPr>
          <w:rFonts w:ascii="Verdana" w:hAnsi="Verdana" w:cs="Arial"/>
          <w:sz w:val="20"/>
          <w:szCs w:val="20"/>
        </w:rPr>
        <w:t xml:space="preserve"> </w:t>
      </w:r>
    </w:p>
    <w:p w14:paraId="22D179F5" w14:textId="186A0E9C" w:rsidR="001B2F1C" w:rsidRDefault="00330C23" w:rsidP="0085691E">
      <w:pPr>
        <w:spacing w:before="240" w:line="240" w:lineRule="auto"/>
        <w:jc w:val="both"/>
        <w:rPr>
          <w:rFonts w:ascii="Verdana" w:hAnsi="Verdana" w:cs="Arial"/>
          <w:spacing w:val="4"/>
          <w:sz w:val="20"/>
          <w:szCs w:val="20"/>
          <w:shd w:val="clear" w:color="auto" w:fill="FFFFFF"/>
        </w:rPr>
      </w:pPr>
      <w:r w:rsidRPr="00425127">
        <w:rPr>
          <w:rFonts w:cs="Arial"/>
          <w:sz w:val="20"/>
          <w:szCs w:val="20"/>
        </w:rPr>
        <w:t>→</w:t>
      </w:r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b/>
          <w:sz w:val="20"/>
          <w:szCs w:val="20"/>
        </w:rPr>
        <w:t>Solventnost</w:t>
      </w:r>
      <w:proofErr w:type="spellEnd"/>
      <w:r w:rsidRPr="0042512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b/>
          <w:sz w:val="20"/>
          <w:szCs w:val="20"/>
        </w:rPr>
        <w:t>Društva</w:t>
      </w:r>
      <w:proofErr w:type="spellEnd"/>
      <w:r w:rsidRPr="00425127">
        <w:rPr>
          <w:rFonts w:ascii="Verdana" w:hAnsi="Verdana" w:cs="Arial"/>
          <w:b/>
          <w:sz w:val="20"/>
          <w:szCs w:val="20"/>
        </w:rPr>
        <w:t xml:space="preserve"> </w:t>
      </w:r>
      <w:r w:rsidRPr="00425127">
        <w:rPr>
          <w:rFonts w:ascii="Verdana" w:hAnsi="Verdana" w:cs="Arial"/>
          <w:sz w:val="20"/>
          <w:szCs w:val="20"/>
        </w:rPr>
        <w:t xml:space="preserve">je </w:t>
      </w:r>
      <w:proofErr w:type="spellStart"/>
      <w:r w:rsidRPr="00425127">
        <w:rPr>
          <w:rFonts w:ascii="Verdana" w:hAnsi="Verdana" w:cs="Arial"/>
          <w:sz w:val="20"/>
          <w:szCs w:val="20"/>
        </w:rPr>
        <w:t>sposobnost</w:t>
      </w:r>
      <w:proofErr w:type="spellEnd"/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</w:rPr>
        <w:t>plaćanja</w:t>
      </w:r>
      <w:proofErr w:type="spellEnd"/>
      <w:r w:rsidR="00194DE1" w:rsidRPr="00425127">
        <w:rPr>
          <w:rFonts w:ascii="Verdana" w:hAnsi="Verdana" w:cs="Arial"/>
          <w:sz w:val="20"/>
          <w:szCs w:val="20"/>
        </w:rPr>
        <w:t>.</w:t>
      </w:r>
      <w:r w:rsidRPr="004251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F2AFB" w:rsidRPr="00425127">
        <w:rPr>
          <w:rFonts w:ascii="Verdana" w:hAnsi="Verdana" w:cs="Arial"/>
          <w:sz w:val="20"/>
          <w:szCs w:val="20"/>
        </w:rPr>
        <w:t>Društvo</w:t>
      </w:r>
      <w:proofErr w:type="spellEnd"/>
      <w:r w:rsidR="00EF2AFB" w:rsidRPr="00425127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="00EF2AFB" w:rsidRPr="00425127">
        <w:rPr>
          <w:rFonts w:ascii="Verdana" w:hAnsi="Verdana" w:cs="Arial"/>
          <w:sz w:val="20"/>
          <w:szCs w:val="20"/>
        </w:rPr>
        <w:t>solventno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kad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je u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stanju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dospjele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obveze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r w:rsidR="007036B7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za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plaćanj</w:t>
      </w:r>
      <w:r w:rsidR="007036B7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e</w:t>
      </w:r>
      <w:proofErr w:type="spellEnd"/>
      <w:r w:rsidR="007036B7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="007036B7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podmiriti</w:t>
      </w:r>
      <w:proofErr w:type="spellEnd"/>
      <w:r w:rsidR="007036B7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o</w:t>
      </w:r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roku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dospijeća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. </w:t>
      </w:r>
      <w:proofErr w:type="spellStart"/>
      <w:r w:rsidR="00194DE1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Solventnost</w:t>
      </w:r>
      <w:proofErr w:type="spellEnd"/>
      <w:r w:rsidR="00194DE1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se </w:t>
      </w:r>
      <w:proofErr w:type="spellStart"/>
      <w:r w:rsidR="00194DE1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m</w:t>
      </w:r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jeri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odnosom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raspoloživih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novčanih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sredstava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i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dospjelih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ob</w:t>
      </w:r>
      <w:r w:rsidR="00394FA2">
        <w:rPr>
          <w:rFonts w:ascii="Verdana" w:hAnsi="Verdana" w:cs="Arial"/>
          <w:spacing w:val="4"/>
          <w:sz w:val="20"/>
          <w:szCs w:val="20"/>
          <w:shd w:val="clear" w:color="auto" w:fill="FFFFFF"/>
        </w:rPr>
        <w:t>a</w:t>
      </w:r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veza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r w:rsidR="007036B7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za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plaćanj</w:t>
      </w:r>
      <w:r w:rsidR="007036B7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e</w:t>
      </w:r>
      <w:proofErr w:type="spellEnd"/>
      <w:r w:rsidR="00EF2AFB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.</w:t>
      </w:r>
    </w:p>
    <w:p w14:paraId="476C74A8" w14:textId="61A075C2" w:rsidR="00865DCD" w:rsidRDefault="00865DCD" w:rsidP="0085691E">
      <w:pPr>
        <w:spacing w:before="240" w:line="240" w:lineRule="auto"/>
        <w:jc w:val="both"/>
        <w:rPr>
          <w:rFonts w:ascii="Verdana" w:hAnsi="Verdana" w:cs="Arial"/>
          <w:spacing w:val="4"/>
          <w:sz w:val="20"/>
          <w:szCs w:val="20"/>
          <w:shd w:val="clear" w:color="auto" w:fill="FFFFFF"/>
        </w:rPr>
      </w:pPr>
      <w:r w:rsidRPr="00865DCD">
        <w:rPr>
          <w:noProof/>
        </w:rPr>
        <w:drawing>
          <wp:inline distT="0" distB="0" distL="0" distR="0" wp14:anchorId="3F0FCBFF" wp14:editId="39A516E7">
            <wp:extent cx="5760720" cy="860425"/>
            <wp:effectExtent l="0" t="0" r="0" b="0"/>
            <wp:docPr id="189215846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D0B09" w14:textId="585F823A" w:rsidR="00330C23" w:rsidRPr="00425127" w:rsidRDefault="00EF2AFB" w:rsidP="0087531F">
      <w:pPr>
        <w:spacing w:after="0" w:line="240" w:lineRule="auto"/>
        <w:jc w:val="both"/>
        <w:rPr>
          <w:rFonts w:ascii="Verdana" w:hAnsi="Verdana" w:cs="Arial"/>
          <w:spacing w:val="4"/>
          <w:sz w:val="20"/>
          <w:szCs w:val="20"/>
          <w:shd w:val="clear" w:color="auto" w:fill="FFFFFF"/>
        </w:rPr>
      </w:pP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Druš</w:t>
      </w:r>
      <w:r w:rsidR="00394FA2">
        <w:rPr>
          <w:rFonts w:ascii="Verdana" w:hAnsi="Verdana" w:cs="Arial"/>
          <w:spacing w:val="4"/>
          <w:sz w:val="20"/>
          <w:szCs w:val="20"/>
          <w:shd w:val="clear" w:color="auto" w:fill="FFFFFF"/>
        </w:rPr>
        <w:t>t</w:t>
      </w:r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vo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je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opti</w:t>
      </w:r>
      <w:r w:rsidR="00B11F9A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m</w:t>
      </w:r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alno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solventno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,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sve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dospjele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ob</w:t>
      </w:r>
      <w:r w:rsidR="00394FA2">
        <w:rPr>
          <w:rFonts w:ascii="Verdana" w:hAnsi="Verdana" w:cs="Arial"/>
          <w:spacing w:val="4"/>
          <w:sz w:val="20"/>
          <w:szCs w:val="20"/>
          <w:shd w:val="clear" w:color="auto" w:fill="FFFFFF"/>
        </w:rPr>
        <w:t>a</w:t>
      </w:r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veze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plaćanja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su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pokrivene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raspoloživim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novčanim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sredstvima</w:t>
      </w:r>
      <w:proofErr w:type="spellEnd"/>
      <w:r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.</w:t>
      </w:r>
    </w:p>
    <w:p w14:paraId="3520E428" w14:textId="77777777" w:rsidR="0087531F" w:rsidRPr="00425127" w:rsidRDefault="0087531F" w:rsidP="0087531F">
      <w:pPr>
        <w:spacing w:after="0" w:line="240" w:lineRule="auto"/>
        <w:jc w:val="both"/>
        <w:rPr>
          <w:rFonts w:ascii="Verdana" w:hAnsi="Verdana" w:cs="Arial"/>
          <w:color w:val="FF0000"/>
          <w:sz w:val="20"/>
          <w:szCs w:val="20"/>
        </w:rPr>
      </w:pPr>
    </w:p>
    <w:p w14:paraId="150CC30D" w14:textId="6CAA0411" w:rsidR="0087531F" w:rsidRDefault="001A0748" w:rsidP="0087531F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425127">
        <w:rPr>
          <w:rFonts w:cs="Arial"/>
          <w:b/>
          <w:sz w:val="20"/>
          <w:szCs w:val="20"/>
          <w:lang w:val="es-AR"/>
        </w:rPr>
        <w:t>→</w:t>
      </w:r>
      <w:r w:rsidRPr="00425127">
        <w:rPr>
          <w:rFonts w:ascii="Verdana" w:hAnsi="Verdana"/>
          <w:b/>
          <w:sz w:val="20"/>
          <w:szCs w:val="20"/>
          <w:lang w:val="es-AR"/>
        </w:rPr>
        <w:t xml:space="preserve"> </w:t>
      </w:r>
      <w:r w:rsidR="00565222" w:rsidRPr="00777200">
        <w:rPr>
          <w:rFonts w:ascii="Verdana" w:hAnsi="Verdana"/>
          <w:b/>
          <w:sz w:val="20"/>
          <w:szCs w:val="20"/>
          <w:lang w:val="it-IT"/>
        </w:rPr>
        <w:t>Pokazatelji zaduženosti</w:t>
      </w:r>
      <w:r w:rsidRPr="00777200">
        <w:rPr>
          <w:rFonts w:ascii="Verdana" w:hAnsi="Verdana"/>
          <w:sz w:val="20"/>
          <w:szCs w:val="20"/>
          <w:lang w:val="it-IT"/>
        </w:rPr>
        <w:t xml:space="preserve"> Društva se temelje na struktur</w:t>
      </w:r>
      <w:r w:rsidR="007036B7" w:rsidRPr="00777200">
        <w:rPr>
          <w:rFonts w:ascii="Verdana" w:hAnsi="Verdana"/>
          <w:sz w:val="20"/>
          <w:szCs w:val="20"/>
          <w:lang w:val="it-IT"/>
        </w:rPr>
        <w:t>i</w:t>
      </w:r>
      <w:r w:rsidRPr="00777200">
        <w:rPr>
          <w:rFonts w:ascii="Verdana" w:hAnsi="Verdana"/>
          <w:sz w:val="20"/>
          <w:szCs w:val="20"/>
          <w:lang w:val="it-IT"/>
        </w:rPr>
        <w:t xml:space="preserve"> kapitala i izvor</w:t>
      </w:r>
      <w:r w:rsidR="007036B7" w:rsidRPr="00777200">
        <w:rPr>
          <w:rFonts w:ascii="Verdana" w:hAnsi="Verdana"/>
          <w:sz w:val="20"/>
          <w:szCs w:val="20"/>
          <w:lang w:val="it-IT"/>
        </w:rPr>
        <w:t>a</w:t>
      </w:r>
      <w:r w:rsidRPr="00777200">
        <w:rPr>
          <w:rFonts w:ascii="Verdana" w:hAnsi="Verdana"/>
          <w:sz w:val="20"/>
          <w:szCs w:val="20"/>
          <w:lang w:val="it-IT"/>
        </w:rPr>
        <w:t xml:space="preserve"> finan</w:t>
      </w:r>
      <w:r w:rsidR="0079488E" w:rsidRPr="00777200">
        <w:rPr>
          <w:rFonts w:ascii="Verdana" w:hAnsi="Verdana"/>
          <w:sz w:val="20"/>
          <w:szCs w:val="20"/>
          <w:lang w:val="it-IT"/>
        </w:rPr>
        <w:t>s</w:t>
      </w:r>
      <w:r w:rsidRPr="00777200">
        <w:rPr>
          <w:rFonts w:ascii="Verdana" w:hAnsi="Verdana"/>
          <w:sz w:val="20"/>
          <w:szCs w:val="20"/>
          <w:lang w:val="it-IT"/>
        </w:rPr>
        <w:t>iranja. Pokazuje koliko je imovine finansirano iz vla</w:t>
      </w:r>
      <w:r w:rsidR="00AF5142" w:rsidRPr="00777200">
        <w:rPr>
          <w:rFonts w:ascii="Verdana" w:hAnsi="Verdana"/>
          <w:sz w:val="20"/>
          <w:szCs w:val="20"/>
          <w:lang w:val="it-IT"/>
        </w:rPr>
        <w:t>stitih</w:t>
      </w:r>
      <w:r w:rsidR="00394FA2" w:rsidRPr="00777200">
        <w:rPr>
          <w:rFonts w:ascii="Verdana" w:hAnsi="Verdana"/>
          <w:sz w:val="20"/>
          <w:szCs w:val="20"/>
          <w:lang w:val="it-IT"/>
        </w:rPr>
        <w:t>,</w:t>
      </w:r>
      <w:r w:rsidR="00AF5142" w:rsidRPr="00777200">
        <w:rPr>
          <w:rFonts w:ascii="Verdana" w:hAnsi="Verdana"/>
          <w:sz w:val="20"/>
          <w:szCs w:val="20"/>
          <w:lang w:val="it-IT"/>
        </w:rPr>
        <w:t xml:space="preserve"> a koliko iz tuđih izvora.</w:t>
      </w:r>
    </w:p>
    <w:p w14:paraId="666A25DC" w14:textId="77777777" w:rsidR="00502A1B" w:rsidRDefault="00502A1B" w:rsidP="0087531F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0D8417B7" w14:textId="04621AD3" w:rsidR="00865DCD" w:rsidRDefault="00865DCD" w:rsidP="0087531F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865DCD">
        <w:rPr>
          <w:noProof/>
        </w:rPr>
        <w:drawing>
          <wp:inline distT="0" distB="0" distL="0" distR="0" wp14:anchorId="350A825B" wp14:editId="2116EA0E">
            <wp:extent cx="5760720" cy="1205865"/>
            <wp:effectExtent l="0" t="0" r="0" b="0"/>
            <wp:docPr id="177542733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536A" w14:textId="2E5221D8" w:rsidR="00B11F9A" w:rsidRPr="00425127" w:rsidRDefault="00B11F9A" w:rsidP="008569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F11B14" w14:textId="524E190C" w:rsidR="00AF5142" w:rsidRPr="00425127" w:rsidRDefault="00396CD7" w:rsidP="008569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25127">
        <w:rPr>
          <w:rFonts w:ascii="Verdana" w:hAnsi="Verdana" w:cs="Arial"/>
          <w:sz w:val="20"/>
          <w:szCs w:val="20"/>
          <w:lang w:val="es-AR"/>
        </w:rPr>
        <w:t xml:space="preserve">Kapital u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izvorima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finansiranja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neto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aktive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učestvuje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r w:rsidR="00B36D0A">
        <w:rPr>
          <w:rFonts w:ascii="Verdana" w:hAnsi="Verdana" w:cs="Arial"/>
          <w:sz w:val="20"/>
          <w:szCs w:val="20"/>
          <w:lang w:val="es-AR"/>
        </w:rPr>
        <w:t>13,96</w:t>
      </w:r>
      <w:r w:rsidRPr="00425127">
        <w:rPr>
          <w:rFonts w:ascii="Verdana" w:hAnsi="Verdana" w:cs="Arial"/>
          <w:sz w:val="20"/>
          <w:szCs w:val="20"/>
          <w:lang w:val="es-AR"/>
        </w:rPr>
        <w:t>%</w:t>
      </w:r>
      <w:r w:rsidR="00B11F9A"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dok</w:t>
      </w:r>
      <w:proofErr w:type="spellEnd"/>
      <w:r w:rsidR="007D25D5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7D25D5" w:rsidRPr="00425127">
        <w:rPr>
          <w:rFonts w:ascii="Verdana" w:hAnsi="Verdana" w:cs="Arial"/>
          <w:sz w:val="20"/>
          <w:szCs w:val="20"/>
          <w:lang w:val="es-AR"/>
        </w:rPr>
        <w:t>ukupne</w:t>
      </w:r>
      <w:proofErr w:type="spellEnd"/>
      <w:r w:rsidR="007D25D5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7D25D5" w:rsidRPr="00425127">
        <w:rPr>
          <w:rFonts w:ascii="Verdana" w:hAnsi="Verdana" w:cs="Arial"/>
          <w:sz w:val="20"/>
          <w:szCs w:val="20"/>
          <w:lang w:val="es-AR"/>
        </w:rPr>
        <w:t>bilansne</w:t>
      </w:r>
      <w:proofErr w:type="spellEnd"/>
      <w:r w:rsidR="007D25D5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obaveze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r w:rsidR="007D25D5" w:rsidRPr="00425127">
        <w:rPr>
          <w:rFonts w:ascii="Verdana" w:hAnsi="Verdana" w:cs="Arial"/>
          <w:sz w:val="20"/>
          <w:szCs w:val="20"/>
          <w:lang w:val="es-AR"/>
        </w:rPr>
        <w:t xml:space="preserve">u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izvorima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finansiranja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neto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aktive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učestvuju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r w:rsidR="00B36D0A">
        <w:rPr>
          <w:rFonts w:ascii="Verdana" w:hAnsi="Verdana" w:cs="Arial"/>
          <w:sz w:val="20"/>
          <w:szCs w:val="20"/>
          <w:lang w:val="es-AR"/>
        </w:rPr>
        <w:t>86.04</w:t>
      </w:r>
      <w:r w:rsidRPr="00425127">
        <w:rPr>
          <w:rFonts w:ascii="Verdana" w:hAnsi="Verdana" w:cs="Arial"/>
          <w:sz w:val="20"/>
          <w:szCs w:val="20"/>
          <w:lang w:val="es-AR"/>
        </w:rPr>
        <w:t>%.</w:t>
      </w:r>
    </w:p>
    <w:p w14:paraId="795F6430" w14:textId="77777777" w:rsidR="0087531F" w:rsidRPr="00425127" w:rsidRDefault="0087531F" w:rsidP="0085691E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s-AR"/>
        </w:rPr>
      </w:pPr>
    </w:p>
    <w:p w14:paraId="143E205A" w14:textId="6C580295" w:rsidR="00565222" w:rsidRPr="00425127" w:rsidRDefault="00AF5142" w:rsidP="0085691E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  <w:r w:rsidRPr="00425127">
        <w:rPr>
          <w:rFonts w:cs="Arial"/>
          <w:sz w:val="20"/>
          <w:szCs w:val="20"/>
          <w:lang w:val="es-AR"/>
        </w:rPr>
        <w:t>→</w:t>
      </w:r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565222" w:rsidRPr="00425127">
        <w:rPr>
          <w:rFonts w:ascii="Verdana" w:hAnsi="Verdana" w:cs="Arial"/>
          <w:b/>
          <w:sz w:val="20"/>
          <w:szCs w:val="20"/>
          <w:lang w:val="es-AR"/>
        </w:rPr>
        <w:t>Finansijski</w:t>
      </w:r>
      <w:proofErr w:type="spellEnd"/>
      <w:r w:rsidR="00565222" w:rsidRPr="00425127">
        <w:rPr>
          <w:rFonts w:ascii="Verdana" w:hAnsi="Verdana" w:cs="Arial"/>
          <w:b/>
          <w:sz w:val="20"/>
          <w:szCs w:val="20"/>
          <w:lang w:val="es-AR"/>
        </w:rPr>
        <w:t xml:space="preserve"> </w:t>
      </w:r>
      <w:proofErr w:type="spellStart"/>
      <w:r w:rsidR="00565222" w:rsidRPr="00425127">
        <w:rPr>
          <w:rFonts w:ascii="Verdana" w:hAnsi="Verdana" w:cs="Arial"/>
          <w:b/>
          <w:sz w:val="20"/>
          <w:szCs w:val="20"/>
          <w:lang w:val="es-AR"/>
        </w:rPr>
        <w:t>položaj</w:t>
      </w:r>
      <w:proofErr w:type="spellEnd"/>
      <w:r w:rsidR="00565222" w:rsidRPr="00425127">
        <w:rPr>
          <w:rFonts w:ascii="Verdana" w:hAnsi="Verdana" w:cs="Arial"/>
          <w:b/>
          <w:sz w:val="20"/>
          <w:szCs w:val="20"/>
          <w:lang w:val="es-AR"/>
        </w:rPr>
        <w:t xml:space="preserve"> </w:t>
      </w:r>
      <w:proofErr w:type="spellStart"/>
      <w:r w:rsidR="00565222" w:rsidRPr="00425127">
        <w:rPr>
          <w:rFonts w:ascii="Verdana" w:hAnsi="Verdana" w:cs="Arial"/>
          <w:b/>
          <w:sz w:val="20"/>
          <w:szCs w:val="20"/>
          <w:lang w:val="es-AR"/>
        </w:rPr>
        <w:t>Društva</w:t>
      </w:r>
      <w:proofErr w:type="spellEnd"/>
      <w:r w:rsidR="00565222" w:rsidRPr="00425127">
        <w:rPr>
          <w:rFonts w:ascii="Verdana" w:hAnsi="Verdana" w:cs="Arial"/>
          <w:sz w:val="20"/>
          <w:szCs w:val="20"/>
          <w:lang w:val="es-AR"/>
        </w:rPr>
        <w:t xml:space="preserve"> je </w:t>
      </w:r>
      <w:r w:rsidR="00C603EC">
        <w:rPr>
          <w:rFonts w:ascii="Verdana" w:hAnsi="Verdana" w:cs="Arial"/>
          <w:sz w:val="20"/>
          <w:szCs w:val="20"/>
          <w:lang w:val="es-AR"/>
        </w:rPr>
        <w:t>solidan</w:t>
      </w:r>
      <w:r w:rsidR="00565222"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="00565222" w:rsidRPr="00425127">
        <w:rPr>
          <w:rFonts w:ascii="Verdana" w:hAnsi="Verdana" w:cs="Arial"/>
          <w:sz w:val="20"/>
          <w:szCs w:val="20"/>
          <w:lang w:val="es-AR"/>
        </w:rPr>
        <w:t>po</w:t>
      </w:r>
      <w:proofErr w:type="spellEnd"/>
      <w:r w:rsidR="00565222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565222" w:rsidRPr="00425127">
        <w:rPr>
          <w:rFonts w:ascii="Verdana" w:hAnsi="Verdana" w:cs="Arial"/>
          <w:sz w:val="20"/>
          <w:szCs w:val="20"/>
          <w:lang w:val="es-AR"/>
        </w:rPr>
        <w:t>svim</w:t>
      </w:r>
      <w:proofErr w:type="spellEnd"/>
      <w:r w:rsidR="00565222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565222" w:rsidRPr="00425127">
        <w:rPr>
          <w:rFonts w:ascii="Verdana" w:hAnsi="Verdana" w:cs="Arial"/>
          <w:sz w:val="20"/>
          <w:szCs w:val="20"/>
          <w:lang w:val="es-AR"/>
        </w:rPr>
        <w:t>aspektima</w:t>
      </w:r>
      <w:proofErr w:type="spellEnd"/>
      <w:r w:rsidR="00565222" w:rsidRPr="00425127">
        <w:rPr>
          <w:rFonts w:ascii="Verdana" w:hAnsi="Verdana" w:cs="Arial"/>
          <w:sz w:val="20"/>
          <w:szCs w:val="20"/>
          <w:lang w:val="es-AR"/>
        </w:rPr>
        <w:t>/</w:t>
      </w:r>
      <w:proofErr w:type="spellStart"/>
      <w:r w:rsidR="00565222" w:rsidRPr="00425127">
        <w:rPr>
          <w:rFonts w:ascii="Verdana" w:hAnsi="Verdana" w:cs="Arial"/>
          <w:sz w:val="20"/>
          <w:szCs w:val="20"/>
          <w:lang w:val="es-AR"/>
        </w:rPr>
        <w:t>faktorima</w:t>
      </w:r>
      <w:proofErr w:type="spellEnd"/>
      <w:r w:rsidR="00565222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mjerenja</w:t>
      </w:r>
      <w:proofErr w:type="spellEnd"/>
      <w:r w:rsidR="00565222" w:rsidRPr="00425127">
        <w:rPr>
          <w:rFonts w:ascii="Verdana" w:hAnsi="Verdana" w:cs="Arial"/>
          <w:sz w:val="20"/>
          <w:szCs w:val="20"/>
          <w:lang w:val="es-AR"/>
        </w:rPr>
        <w:t>:</w:t>
      </w:r>
    </w:p>
    <w:p w14:paraId="5B938052" w14:textId="77777777" w:rsidR="0087531F" w:rsidRPr="00425127" w:rsidRDefault="0087531F" w:rsidP="0087531F">
      <w:pPr>
        <w:spacing w:after="0" w:line="240" w:lineRule="auto"/>
        <w:rPr>
          <w:rFonts w:ascii="Verdana" w:hAnsi="Verdana" w:cs="Arial"/>
          <w:sz w:val="20"/>
          <w:szCs w:val="20"/>
          <w:lang w:val="es-AR"/>
        </w:rPr>
      </w:pPr>
    </w:p>
    <w:p w14:paraId="2E6BE53A" w14:textId="4FCB0860" w:rsidR="00565222" w:rsidRPr="00425127" w:rsidRDefault="00B70893" w:rsidP="00BC7083">
      <w:pPr>
        <w:pStyle w:val="ListParagraph"/>
        <w:numPr>
          <w:ilvl w:val="0"/>
          <w:numId w:val="4"/>
        </w:numPr>
        <w:spacing w:after="0"/>
        <w:ind w:left="270" w:hanging="27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Finansijska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zara</w:t>
      </w:r>
      <w:r w:rsidR="00F17653" w:rsidRPr="00425127">
        <w:rPr>
          <w:rFonts w:ascii="Verdana" w:hAnsi="Verdana" w:cs="Arial"/>
          <w:sz w:val="20"/>
          <w:szCs w:val="20"/>
          <w:lang w:val="es-AR"/>
        </w:rPr>
        <w:t>đ</w:t>
      </w:r>
      <w:r w:rsidRPr="00425127">
        <w:rPr>
          <w:rFonts w:ascii="Verdana" w:hAnsi="Verdana" w:cs="Arial"/>
          <w:sz w:val="20"/>
          <w:szCs w:val="20"/>
          <w:lang w:val="es-AR"/>
        </w:rPr>
        <w:t>ivačka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moć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su u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odnosu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specifičnost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755E31" w:rsidRPr="00425127">
        <w:rPr>
          <w:rFonts w:ascii="Verdana" w:hAnsi="Verdana" w:cs="Arial"/>
          <w:sz w:val="20"/>
          <w:szCs w:val="20"/>
          <w:lang w:val="es-AR"/>
        </w:rPr>
        <w:t>djelatnosti</w:t>
      </w:r>
      <w:proofErr w:type="spellEnd"/>
      <w:r w:rsidR="00755E31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755E31" w:rsidRPr="00425127">
        <w:rPr>
          <w:rFonts w:ascii="Verdana" w:hAnsi="Verdana" w:cs="Arial"/>
          <w:sz w:val="20"/>
          <w:szCs w:val="20"/>
          <w:lang w:val="es-AR"/>
        </w:rPr>
        <w:t>koju</w:t>
      </w:r>
      <w:proofErr w:type="spellEnd"/>
      <w:r w:rsidR="00755E31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755E31" w:rsidRPr="00425127">
        <w:rPr>
          <w:rFonts w:ascii="Verdana" w:hAnsi="Verdana" w:cs="Arial"/>
          <w:sz w:val="20"/>
          <w:szCs w:val="20"/>
          <w:lang w:val="es-AR"/>
        </w:rPr>
        <w:t>Društvo</w:t>
      </w:r>
      <w:proofErr w:type="spellEnd"/>
      <w:r w:rsidR="00755E31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755E31" w:rsidRPr="00425127">
        <w:rPr>
          <w:rFonts w:ascii="Verdana" w:hAnsi="Verdana" w:cs="Arial"/>
          <w:sz w:val="20"/>
          <w:szCs w:val="20"/>
          <w:lang w:val="es-AR"/>
        </w:rPr>
        <w:t>obavlj</w:t>
      </w:r>
      <w:r w:rsidR="00E56D84">
        <w:rPr>
          <w:rFonts w:ascii="Verdana" w:hAnsi="Verdana" w:cs="Arial"/>
          <w:sz w:val="20"/>
          <w:szCs w:val="20"/>
          <w:lang w:val="es-AR"/>
        </w:rPr>
        <w:t>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zadovoljavajućem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nivou</w:t>
      </w:r>
      <w:proofErr w:type="spellEnd"/>
      <w:r w:rsidR="00565222" w:rsidRPr="00425127">
        <w:rPr>
          <w:rFonts w:ascii="Verdana" w:hAnsi="Verdana" w:cs="Arial"/>
          <w:sz w:val="20"/>
          <w:szCs w:val="20"/>
          <w:lang w:val="es-AR"/>
        </w:rPr>
        <w:t>;</w:t>
      </w:r>
    </w:p>
    <w:p w14:paraId="3CE5D53E" w14:textId="361C4E8C" w:rsidR="009768B5" w:rsidRPr="00425127" w:rsidRDefault="009768B5" w:rsidP="00BC7083">
      <w:pPr>
        <w:pStyle w:val="ListParagraph"/>
        <w:numPr>
          <w:ilvl w:val="0"/>
          <w:numId w:val="4"/>
        </w:numPr>
        <w:spacing w:after="0"/>
        <w:ind w:left="270" w:hanging="27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Rentabilnost</w:t>
      </w:r>
      <w:proofErr w:type="spellEnd"/>
      <w:r w:rsidR="008B1417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8B1417" w:rsidRPr="00425127">
        <w:rPr>
          <w:rFonts w:ascii="Verdana" w:hAnsi="Verdana" w:cs="Arial"/>
          <w:sz w:val="20"/>
          <w:szCs w:val="20"/>
          <w:lang w:val="es-AR"/>
        </w:rPr>
        <w:t>investicionog</w:t>
      </w:r>
      <w:proofErr w:type="spellEnd"/>
      <w:r w:rsidR="008B1417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8B1417" w:rsidRPr="00425127">
        <w:rPr>
          <w:rFonts w:ascii="Verdana" w:hAnsi="Verdana" w:cs="Arial"/>
          <w:sz w:val="20"/>
          <w:szCs w:val="20"/>
          <w:lang w:val="es-AR"/>
        </w:rPr>
        <w:t>kapitala</w:t>
      </w:r>
      <w:proofErr w:type="spellEnd"/>
      <w:r w:rsidR="008B1417"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sopstvenog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kapitala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akcijskog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kapitala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nivou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koji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svojstven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djelatnosti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koju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Društvo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obavlja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>;</w:t>
      </w:r>
    </w:p>
    <w:p w14:paraId="1949B6B3" w14:textId="67E38063" w:rsidR="00565222" w:rsidRPr="00777200" w:rsidRDefault="00565222" w:rsidP="00BC7083">
      <w:pPr>
        <w:pStyle w:val="ListParagraph"/>
        <w:numPr>
          <w:ilvl w:val="0"/>
          <w:numId w:val="4"/>
        </w:numPr>
        <w:spacing w:after="0"/>
        <w:ind w:left="270" w:hanging="27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777200">
        <w:rPr>
          <w:rFonts w:ascii="Verdana" w:hAnsi="Verdana" w:cs="Arial"/>
          <w:sz w:val="20"/>
          <w:szCs w:val="20"/>
          <w:lang w:val="es-AR"/>
        </w:rPr>
        <w:t>Društvo</w:t>
      </w:r>
      <w:proofErr w:type="spellEnd"/>
      <w:r w:rsidRPr="00777200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="00B70893" w:rsidRPr="00777200">
        <w:rPr>
          <w:rFonts w:ascii="Verdana" w:hAnsi="Verdana" w:cs="Arial"/>
          <w:sz w:val="20"/>
          <w:szCs w:val="20"/>
          <w:lang w:val="es-AR"/>
        </w:rPr>
        <w:t>optimalno</w:t>
      </w:r>
      <w:proofErr w:type="spellEnd"/>
      <w:r w:rsidR="00B70893" w:rsidRPr="0077720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5606D0" w:rsidRPr="00777200">
        <w:rPr>
          <w:rFonts w:ascii="Verdana" w:hAnsi="Verdana" w:cs="Arial"/>
          <w:sz w:val="20"/>
          <w:szCs w:val="20"/>
          <w:lang w:val="es-AR"/>
        </w:rPr>
        <w:t>solventno</w:t>
      </w:r>
      <w:proofErr w:type="spellEnd"/>
      <w:r w:rsidR="005606D0" w:rsidRPr="00777200">
        <w:rPr>
          <w:rFonts w:ascii="Verdana" w:hAnsi="Verdana" w:cs="Arial"/>
          <w:sz w:val="20"/>
          <w:szCs w:val="20"/>
          <w:lang w:val="es-AR"/>
        </w:rPr>
        <w:t xml:space="preserve"> – </w:t>
      </w:r>
      <w:proofErr w:type="spellStart"/>
      <w:r w:rsidR="0079488E" w:rsidRPr="00777200">
        <w:rPr>
          <w:rFonts w:ascii="Verdana" w:hAnsi="Verdana" w:cs="Arial"/>
          <w:sz w:val="20"/>
          <w:szCs w:val="20"/>
          <w:lang w:val="es-AR"/>
        </w:rPr>
        <w:t>racio</w:t>
      </w:r>
      <w:proofErr w:type="spellEnd"/>
      <w:r w:rsidR="0079488E" w:rsidRPr="0077720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79488E" w:rsidRPr="00777200">
        <w:rPr>
          <w:rFonts w:ascii="Verdana" w:hAnsi="Verdana" w:cs="Arial"/>
          <w:sz w:val="20"/>
          <w:szCs w:val="20"/>
          <w:lang w:val="es-AR"/>
        </w:rPr>
        <w:t>od</w:t>
      </w:r>
      <w:proofErr w:type="spellEnd"/>
      <w:r w:rsidR="0079488E" w:rsidRPr="00777200">
        <w:rPr>
          <w:rFonts w:ascii="Verdana" w:hAnsi="Verdana" w:cs="Arial"/>
          <w:sz w:val="20"/>
          <w:szCs w:val="20"/>
          <w:lang w:val="es-AR"/>
        </w:rPr>
        <w:t xml:space="preserve"> 1,</w:t>
      </w:r>
      <w:r w:rsidR="00B36D0A">
        <w:rPr>
          <w:rFonts w:ascii="Verdana" w:hAnsi="Verdana" w:cs="Arial"/>
          <w:sz w:val="20"/>
          <w:szCs w:val="20"/>
          <w:lang w:val="es-AR"/>
        </w:rPr>
        <w:t>16</w:t>
      </w:r>
      <w:r w:rsidR="009408FC" w:rsidRPr="0077720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408FC" w:rsidRPr="00777200">
        <w:rPr>
          <w:rFonts w:ascii="Verdana" w:hAnsi="Verdana" w:cs="Arial"/>
          <w:sz w:val="20"/>
          <w:szCs w:val="20"/>
          <w:lang w:val="es-AR"/>
        </w:rPr>
        <w:t>potvrđuje</w:t>
      </w:r>
      <w:proofErr w:type="spellEnd"/>
      <w:r w:rsidR="009408FC" w:rsidRPr="00777200">
        <w:rPr>
          <w:rFonts w:ascii="Verdana" w:hAnsi="Verdana" w:cs="Arial"/>
          <w:sz w:val="20"/>
          <w:szCs w:val="20"/>
          <w:lang w:val="es-AR"/>
        </w:rPr>
        <w:t xml:space="preserve"> da su </w:t>
      </w:r>
      <w:proofErr w:type="spellStart"/>
      <w:r w:rsidR="009408FC" w:rsidRPr="00777200">
        <w:rPr>
          <w:rFonts w:ascii="Verdana" w:hAnsi="Verdana" w:cs="Arial"/>
          <w:sz w:val="20"/>
          <w:szCs w:val="20"/>
          <w:lang w:val="es-AR"/>
        </w:rPr>
        <w:t>obaveze</w:t>
      </w:r>
      <w:proofErr w:type="spellEnd"/>
      <w:r w:rsidR="009408FC" w:rsidRPr="0077720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408FC" w:rsidRPr="00777200">
        <w:rPr>
          <w:rFonts w:ascii="Verdana" w:hAnsi="Verdana" w:cs="Arial"/>
          <w:sz w:val="20"/>
          <w:szCs w:val="20"/>
          <w:lang w:val="es-AR"/>
        </w:rPr>
        <w:t>pokrivene</w:t>
      </w:r>
      <w:proofErr w:type="spellEnd"/>
      <w:r w:rsidR="009408FC" w:rsidRPr="00777200">
        <w:rPr>
          <w:rFonts w:ascii="Verdana" w:hAnsi="Verdana" w:cs="Arial"/>
          <w:sz w:val="20"/>
          <w:szCs w:val="20"/>
          <w:lang w:val="es-AR"/>
        </w:rPr>
        <w:t xml:space="preserve"> o </w:t>
      </w:r>
      <w:proofErr w:type="spellStart"/>
      <w:r w:rsidR="009408FC" w:rsidRPr="00777200">
        <w:rPr>
          <w:rFonts w:ascii="Verdana" w:hAnsi="Verdana" w:cs="Arial"/>
          <w:sz w:val="20"/>
          <w:szCs w:val="20"/>
          <w:lang w:val="es-AR"/>
        </w:rPr>
        <w:t>roku</w:t>
      </w:r>
      <w:proofErr w:type="spellEnd"/>
      <w:r w:rsidR="009408FC" w:rsidRPr="0077720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408FC" w:rsidRPr="00777200">
        <w:rPr>
          <w:rFonts w:ascii="Verdana" w:hAnsi="Verdana" w:cs="Arial"/>
          <w:sz w:val="20"/>
          <w:szCs w:val="20"/>
          <w:lang w:val="es-AR"/>
        </w:rPr>
        <w:t>dospijeća</w:t>
      </w:r>
      <w:proofErr w:type="spellEnd"/>
      <w:r w:rsidR="009408FC" w:rsidRPr="0077720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408FC" w:rsidRPr="00777200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="009408FC" w:rsidRPr="00777200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9408FC" w:rsidRPr="00777200">
        <w:rPr>
          <w:rFonts w:ascii="Verdana" w:hAnsi="Verdana" w:cs="Arial"/>
          <w:sz w:val="20"/>
          <w:szCs w:val="20"/>
          <w:lang w:val="es-AR"/>
        </w:rPr>
        <w:t>plaćanje</w:t>
      </w:r>
      <w:proofErr w:type="spellEnd"/>
      <w:r w:rsidR="005606D0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es-AR"/>
        </w:rPr>
        <w:t>;</w:t>
      </w:r>
    </w:p>
    <w:p w14:paraId="17F7BB4B" w14:textId="15D8FCA6" w:rsidR="00427A33" w:rsidRDefault="00427A33" w:rsidP="00427A33">
      <w:pPr>
        <w:pStyle w:val="ListParagraph"/>
        <w:spacing w:after="0"/>
        <w:ind w:left="270" w:firstLine="0"/>
        <w:rPr>
          <w:rFonts w:ascii="Verdana" w:hAnsi="Verdana" w:cs="Arial"/>
          <w:sz w:val="20"/>
          <w:szCs w:val="20"/>
          <w:lang w:val="sr-Latn-RS"/>
        </w:rPr>
      </w:pPr>
    </w:p>
    <w:p w14:paraId="274F8CEA" w14:textId="08C4D708" w:rsidR="00565222" w:rsidRPr="00425127" w:rsidRDefault="003715CE" w:rsidP="003715CE">
      <w:pPr>
        <w:pStyle w:val="Heading1"/>
        <w:numPr>
          <w:ilvl w:val="0"/>
          <w:numId w:val="39"/>
        </w:numPr>
        <w:spacing w:before="0" w:line="240" w:lineRule="auto"/>
        <w:rPr>
          <w:rFonts w:ascii="Verdana" w:hAnsi="Verdana" w:cs="Times New Roman"/>
          <w:color w:val="auto"/>
          <w:sz w:val="20"/>
          <w:szCs w:val="20"/>
        </w:rPr>
      </w:pPr>
      <w:bookmarkStart w:id="9" w:name="_Toc72918246"/>
      <w:proofErr w:type="spellStart"/>
      <w:r>
        <w:rPr>
          <w:rFonts w:ascii="Verdana" w:hAnsi="Verdana" w:cs="Times New Roman"/>
          <w:color w:val="auto"/>
          <w:sz w:val="20"/>
          <w:szCs w:val="20"/>
        </w:rPr>
        <w:t>Po</w:t>
      </w:r>
      <w:r w:rsidR="00565222" w:rsidRPr="00425127">
        <w:rPr>
          <w:rFonts w:ascii="Verdana" w:hAnsi="Verdana" w:cs="Times New Roman"/>
          <w:color w:val="auto"/>
          <w:sz w:val="20"/>
          <w:szCs w:val="20"/>
        </w:rPr>
        <w:t>slovanje</w:t>
      </w:r>
      <w:proofErr w:type="spellEnd"/>
      <w:r w:rsidR="00565222" w:rsidRPr="00425127">
        <w:rPr>
          <w:rFonts w:ascii="Verdana" w:hAnsi="Verdana" w:cs="Times New Roman"/>
          <w:color w:val="auto"/>
          <w:sz w:val="20"/>
          <w:szCs w:val="20"/>
        </w:rPr>
        <w:t xml:space="preserve"> </w:t>
      </w:r>
      <w:proofErr w:type="spellStart"/>
      <w:r w:rsidR="00565222" w:rsidRPr="00425127">
        <w:rPr>
          <w:rFonts w:ascii="Verdana" w:hAnsi="Verdana" w:cs="Times New Roman"/>
          <w:color w:val="auto"/>
          <w:sz w:val="20"/>
          <w:szCs w:val="20"/>
        </w:rPr>
        <w:t>Društva</w:t>
      </w:r>
      <w:bookmarkEnd w:id="9"/>
      <w:proofErr w:type="spellEnd"/>
    </w:p>
    <w:p w14:paraId="3D26B7EC" w14:textId="77777777" w:rsidR="0087531F" w:rsidRPr="00425127" w:rsidRDefault="0087531F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</w:p>
    <w:p w14:paraId="0DDBDCFD" w14:textId="430F322F" w:rsidR="00565222" w:rsidRPr="00425127" w:rsidRDefault="00565222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r w:rsidRPr="00425127">
        <w:rPr>
          <w:rFonts w:ascii="Verdana" w:hAnsi="Verdana" w:cstheme="minorHAnsi"/>
          <w:sz w:val="20"/>
          <w:szCs w:val="20"/>
          <w:lang w:val="es-AR"/>
        </w:rPr>
        <w:t>U 20</w:t>
      </w:r>
      <w:r w:rsidR="00281FA0" w:rsidRPr="00425127">
        <w:rPr>
          <w:rFonts w:ascii="Verdana" w:hAnsi="Verdana" w:cstheme="minorHAnsi"/>
          <w:sz w:val="20"/>
          <w:szCs w:val="20"/>
          <w:lang w:val="es-AR"/>
        </w:rPr>
        <w:t>2</w:t>
      </w:r>
      <w:r w:rsidR="00B36D0A">
        <w:rPr>
          <w:rFonts w:ascii="Verdana" w:hAnsi="Verdana" w:cstheme="minorHAnsi"/>
          <w:sz w:val="20"/>
          <w:szCs w:val="20"/>
          <w:lang w:val="es-AR"/>
        </w:rPr>
        <w:t>4</w:t>
      </w:r>
      <w:r w:rsidRPr="00425127">
        <w:rPr>
          <w:rFonts w:ascii="Verdana" w:hAnsi="Verdana" w:cstheme="minorHAnsi"/>
          <w:sz w:val="20"/>
          <w:szCs w:val="20"/>
          <w:lang w:val="es-AR"/>
        </w:rPr>
        <w:t xml:space="preserve">.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godini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B11039" w:rsidRPr="00425127">
        <w:rPr>
          <w:rFonts w:ascii="Verdana" w:hAnsi="Verdana" w:cstheme="minorHAnsi"/>
          <w:sz w:val="20"/>
          <w:szCs w:val="20"/>
          <w:lang w:val="es-AR"/>
        </w:rPr>
        <w:t>D</w:t>
      </w:r>
      <w:r w:rsidRPr="00425127">
        <w:rPr>
          <w:rFonts w:ascii="Verdana" w:hAnsi="Verdana" w:cstheme="minorHAnsi"/>
          <w:sz w:val="20"/>
          <w:szCs w:val="20"/>
          <w:lang w:val="es-AR"/>
        </w:rPr>
        <w:t>ruštvo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je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poslovalo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skladu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postavljenim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ciljevima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i u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skladu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raspoloživim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izvorima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finansiranja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mikrokredita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>.</w:t>
      </w:r>
    </w:p>
    <w:p w14:paraId="116AAC48" w14:textId="77777777" w:rsidR="0087531F" w:rsidRPr="00425127" w:rsidRDefault="0087531F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</w:p>
    <w:p w14:paraId="392B2F4A" w14:textId="0C4F0E05" w:rsidR="00173DA6" w:rsidRPr="00425127" w:rsidRDefault="00C13FD0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r w:rsidRPr="00425127">
        <w:rPr>
          <w:rFonts w:cs="Arial"/>
          <w:sz w:val="20"/>
          <w:szCs w:val="20"/>
          <w:lang w:val="es-AR"/>
        </w:rPr>
        <w:t>→</w:t>
      </w:r>
      <w:r w:rsidR="00173DA6" w:rsidRPr="00425127">
        <w:rPr>
          <w:rFonts w:ascii="Verdana" w:hAnsi="Verdana" w:cs="Arial"/>
          <w:sz w:val="20"/>
          <w:szCs w:val="20"/>
          <w:lang w:val="sr-Cyrl-BA"/>
        </w:rPr>
        <w:t xml:space="preserve"> </w:t>
      </w:r>
      <w:proofErr w:type="spellStart"/>
      <w:r w:rsidR="00173DA6" w:rsidRPr="00425127">
        <w:rPr>
          <w:rFonts w:ascii="Verdana" w:hAnsi="Verdana" w:cstheme="minorHAnsi"/>
          <w:b/>
          <w:color w:val="000000" w:themeColor="text1"/>
          <w:sz w:val="20"/>
          <w:szCs w:val="20"/>
          <w:lang w:val="es-AR"/>
        </w:rPr>
        <w:t>Izvori</w:t>
      </w:r>
      <w:proofErr w:type="spellEnd"/>
      <w:r w:rsidR="00173DA6" w:rsidRPr="00425127">
        <w:rPr>
          <w:rFonts w:ascii="Verdana" w:hAnsi="Verdana" w:cstheme="minorHAnsi"/>
          <w:b/>
          <w:color w:val="000000" w:themeColor="text1"/>
          <w:sz w:val="20"/>
          <w:szCs w:val="20"/>
          <w:lang w:val="es-AR"/>
        </w:rPr>
        <w:t xml:space="preserve"> </w:t>
      </w:r>
      <w:proofErr w:type="spellStart"/>
      <w:r w:rsidR="00173DA6" w:rsidRPr="00425127">
        <w:rPr>
          <w:rFonts w:ascii="Verdana" w:hAnsi="Verdana" w:cstheme="minorHAnsi"/>
          <w:b/>
          <w:color w:val="000000" w:themeColor="text1"/>
          <w:sz w:val="20"/>
          <w:szCs w:val="20"/>
          <w:lang w:val="es-AR"/>
        </w:rPr>
        <w:t>sredstava</w:t>
      </w:r>
      <w:proofErr w:type="spellEnd"/>
      <w:r w:rsidR="00173DA6" w:rsidRPr="00425127">
        <w:rPr>
          <w:rFonts w:ascii="Verdana" w:hAnsi="Verdana" w:cstheme="minorHAnsi"/>
          <w:b/>
          <w:color w:val="000000" w:themeColor="text1"/>
          <w:sz w:val="20"/>
          <w:szCs w:val="20"/>
          <w:lang w:val="es-AR"/>
        </w:rPr>
        <w:t xml:space="preserve"> </w:t>
      </w:r>
      <w:proofErr w:type="spellStart"/>
      <w:r w:rsidR="00173DA6" w:rsidRPr="00425127">
        <w:rPr>
          <w:rFonts w:ascii="Verdana" w:hAnsi="Verdana" w:cstheme="minorHAnsi"/>
          <w:sz w:val="20"/>
          <w:szCs w:val="20"/>
          <w:lang w:val="es-AR"/>
        </w:rPr>
        <w:t>predstavljaju</w:t>
      </w:r>
      <w:proofErr w:type="spellEnd"/>
      <w:r w:rsidR="00173DA6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173DA6" w:rsidRPr="00425127">
        <w:rPr>
          <w:rFonts w:ascii="Verdana" w:hAnsi="Verdana" w:cstheme="minorHAnsi"/>
          <w:sz w:val="20"/>
          <w:szCs w:val="20"/>
          <w:lang w:val="es-AR"/>
        </w:rPr>
        <w:t>potencijal</w:t>
      </w:r>
      <w:proofErr w:type="spellEnd"/>
      <w:r w:rsidR="00173DA6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173DA6" w:rsidRPr="00425127">
        <w:rPr>
          <w:rFonts w:ascii="Verdana" w:hAnsi="Verdana" w:cstheme="minorHAnsi"/>
          <w:sz w:val="20"/>
          <w:szCs w:val="20"/>
          <w:lang w:val="es-AR"/>
        </w:rPr>
        <w:t>za</w:t>
      </w:r>
      <w:proofErr w:type="spellEnd"/>
      <w:r w:rsidR="00173DA6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173DA6" w:rsidRPr="00425127">
        <w:rPr>
          <w:rFonts w:ascii="Verdana" w:hAnsi="Verdana" w:cstheme="minorHAnsi"/>
          <w:sz w:val="20"/>
          <w:szCs w:val="20"/>
          <w:lang w:val="es-AR"/>
        </w:rPr>
        <w:t>kreditno</w:t>
      </w:r>
      <w:proofErr w:type="spellEnd"/>
      <w:r w:rsidR="00173DA6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173DA6" w:rsidRPr="00425127">
        <w:rPr>
          <w:rFonts w:ascii="Verdana" w:hAnsi="Verdana" w:cstheme="minorHAnsi"/>
          <w:sz w:val="20"/>
          <w:szCs w:val="20"/>
          <w:lang w:val="es-AR"/>
        </w:rPr>
        <w:t>poslovanje</w:t>
      </w:r>
      <w:proofErr w:type="spellEnd"/>
      <w:r w:rsidR="00173DA6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173DA6" w:rsidRPr="00425127">
        <w:rPr>
          <w:rFonts w:ascii="Verdana" w:hAnsi="Verdana" w:cstheme="minorHAnsi"/>
          <w:sz w:val="20"/>
          <w:szCs w:val="20"/>
          <w:lang w:val="es-AR"/>
        </w:rPr>
        <w:t>Društva</w:t>
      </w:r>
      <w:proofErr w:type="spellEnd"/>
      <w:r w:rsidR="00173DA6" w:rsidRPr="00425127">
        <w:rPr>
          <w:rFonts w:ascii="Verdana" w:hAnsi="Verdana" w:cstheme="minorHAnsi"/>
          <w:sz w:val="20"/>
          <w:szCs w:val="20"/>
          <w:lang w:val="es-AR"/>
        </w:rPr>
        <w:t>.</w:t>
      </w:r>
    </w:p>
    <w:p w14:paraId="44600DF0" w14:textId="77777777" w:rsidR="0087531F" w:rsidRPr="00425127" w:rsidRDefault="0087531F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</w:p>
    <w:p w14:paraId="13B42614" w14:textId="5B050A64" w:rsidR="00281FA0" w:rsidRDefault="00173DA6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bookmarkStart w:id="10" w:name="_Hlk161650428"/>
      <w:proofErr w:type="spellStart"/>
      <w:r w:rsidRPr="00425127">
        <w:rPr>
          <w:rFonts w:ascii="Verdana" w:hAnsi="Verdana" w:cs="Arial"/>
          <w:sz w:val="20"/>
          <w:szCs w:val="20"/>
          <w:lang w:val="sr-Latn-RS"/>
        </w:rPr>
        <w:t>Ročna</w:t>
      </w:r>
      <w:proofErr w:type="spellEnd"/>
      <w:r w:rsidRPr="00425127">
        <w:rPr>
          <w:rFonts w:ascii="Verdana" w:hAnsi="Verdana" w:cs="Arial"/>
          <w:sz w:val="20"/>
          <w:szCs w:val="20"/>
          <w:lang w:val="sr-Latn-RS"/>
        </w:rPr>
        <w:t xml:space="preserve"> s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truktura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izvora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sredstava</w:t>
      </w:r>
      <w:proofErr w:type="spellEnd"/>
      <w:r w:rsidR="00502A1B">
        <w:rPr>
          <w:rFonts w:ascii="Verdana" w:hAnsi="Verdana" w:cstheme="minorHAnsi"/>
          <w:sz w:val="20"/>
          <w:szCs w:val="20"/>
          <w:lang w:val="es-AR"/>
        </w:rPr>
        <w:t>,</w:t>
      </w:r>
      <w:r w:rsidRPr="00425127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B36D0A">
        <w:rPr>
          <w:rFonts w:ascii="Verdana" w:hAnsi="Verdana" w:cstheme="minorHAnsi"/>
          <w:sz w:val="20"/>
          <w:szCs w:val="20"/>
          <w:lang w:val="es-AR"/>
        </w:rPr>
        <w:t>9.017</w:t>
      </w:r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hilj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>. KM</w:t>
      </w:r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,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prikazana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narednoj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tabeli</w:t>
      </w:r>
      <w:proofErr w:type="spellEnd"/>
      <w:r w:rsidR="00502A1B">
        <w:rPr>
          <w:rFonts w:ascii="Verdana" w:hAnsi="Verdana" w:cstheme="minorHAnsi"/>
          <w:sz w:val="20"/>
          <w:szCs w:val="20"/>
          <w:lang w:val="es-AR"/>
        </w:rPr>
        <w:t xml:space="preserve"> i</w:t>
      </w:r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sastoji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se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kratkoročnih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izvora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C13FD0" w:rsidRPr="00425127">
        <w:rPr>
          <w:rFonts w:ascii="Verdana" w:hAnsi="Verdana" w:cstheme="minorHAnsi"/>
          <w:sz w:val="20"/>
          <w:szCs w:val="20"/>
          <w:lang w:val="es-AR"/>
        </w:rPr>
        <w:t>(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pozajmice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fizičkih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i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pravnih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lica i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kredita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finansijskim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institucijama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) </w:t>
      </w:r>
      <w:r w:rsidRPr="00425127">
        <w:rPr>
          <w:rFonts w:ascii="Verdana" w:hAnsi="Verdana" w:cstheme="minorHAnsi"/>
          <w:sz w:val="20"/>
          <w:szCs w:val="20"/>
          <w:lang w:val="es-AR"/>
        </w:rPr>
        <w:t xml:space="preserve">u </w:t>
      </w:r>
      <w:proofErr w:type="spellStart"/>
      <w:r w:rsidR="004625A2">
        <w:rPr>
          <w:rFonts w:ascii="Verdana" w:hAnsi="Verdana" w:cstheme="minorHAnsi"/>
          <w:sz w:val="20"/>
          <w:szCs w:val="20"/>
          <w:lang w:val="es-AR"/>
        </w:rPr>
        <w:t>apsolutnoj</w:t>
      </w:r>
      <w:proofErr w:type="spellEnd"/>
      <w:r w:rsidR="004625A2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C603EC">
        <w:rPr>
          <w:rFonts w:ascii="Verdana" w:hAnsi="Verdana" w:cstheme="minorHAnsi"/>
          <w:sz w:val="20"/>
          <w:szCs w:val="20"/>
          <w:lang w:val="es-AR"/>
        </w:rPr>
        <w:t>3.</w:t>
      </w:r>
      <w:r w:rsidR="00B36D0A">
        <w:rPr>
          <w:rFonts w:ascii="Verdana" w:hAnsi="Verdana" w:cstheme="minorHAnsi"/>
          <w:sz w:val="20"/>
          <w:szCs w:val="20"/>
          <w:lang w:val="es-AR"/>
        </w:rPr>
        <w:t xml:space="preserve">771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hilj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. KM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odnosno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B36D0A">
        <w:rPr>
          <w:rFonts w:ascii="Verdana" w:hAnsi="Verdana" w:cstheme="minorHAnsi"/>
          <w:sz w:val="20"/>
          <w:szCs w:val="20"/>
          <w:lang w:val="es-AR"/>
        </w:rPr>
        <w:t>41,82</w:t>
      </w:r>
      <w:r w:rsidRPr="00425127">
        <w:rPr>
          <w:rFonts w:ascii="Verdana" w:hAnsi="Verdana" w:cstheme="minorHAnsi"/>
          <w:sz w:val="20"/>
          <w:szCs w:val="20"/>
          <w:lang w:val="es-AR"/>
        </w:rPr>
        <w:t>%</w:t>
      </w:r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i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dugoročnih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obaveza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(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kredita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4625A2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="004625A2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finasijski</w:t>
      </w:r>
      <w:r w:rsidR="004625A2">
        <w:rPr>
          <w:rFonts w:ascii="Verdana" w:hAnsi="Verdana" w:cstheme="minorHAnsi"/>
          <w:sz w:val="20"/>
          <w:szCs w:val="20"/>
          <w:lang w:val="es-AR"/>
        </w:rPr>
        <w:t>h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institucija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 xml:space="preserve">–IRB i 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emitovanih</w:t>
      </w:r>
      <w:proofErr w:type="spellEnd"/>
      <w:r w:rsidR="004625A2">
        <w:rPr>
          <w:rFonts w:ascii="Verdana" w:hAnsi="Verdana" w:cstheme="minorHAnsi"/>
          <w:sz w:val="20"/>
          <w:szCs w:val="20"/>
          <w:lang w:val="es-AR"/>
        </w:rPr>
        <w:t xml:space="preserve"> HOV-</w:t>
      </w:r>
      <w:proofErr w:type="spellStart"/>
      <w:r w:rsidR="00C13FD0" w:rsidRPr="00425127">
        <w:rPr>
          <w:rFonts w:ascii="Verdana" w:hAnsi="Verdana" w:cstheme="minorHAnsi"/>
          <w:sz w:val="20"/>
          <w:szCs w:val="20"/>
          <w:lang w:val="es-AR"/>
        </w:rPr>
        <w:t>obveznic</w:t>
      </w:r>
      <w:r w:rsidR="004625A2">
        <w:rPr>
          <w:rFonts w:ascii="Verdana" w:hAnsi="Verdana" w:cstheme="minorHAnsi"/>
          <w:sz w:val="20"/>
          <w:szCs w:val="20"/>
          <w:lang w:val="es-AR"/>
        </w:rPr>
        <w:t>e</w:t>
      </w:r>
      <w:proofErr w:type="spellEnd"/>
      <w:r w:rsidR="00C13FD0" w:rsidRPr="00425127">
        <w:rPr>
          <w:rFonts w:ascii="Verdana" w:hAnsi="Verdana" w:cstheme="minorHAnsi"/>
          <w:sz w:val="20"/>
          <w:szCs w:val="20"/>
          <w:lang w:val="es-AR"/>
        </w:rPr>
        <w:t>)</w:t>
      </w:r>
      <w:r w:rsidRPr="00425127">
        <w:rPr>
          <w:rFonts w:ascii="Verdana" w:hAnsi="Verdana" w:cstheme="minorHAnsi"/>
          <w:sz w:val="20"/>
          <w:szCs w:val="20"/>
          <w:lang w:val="es-AR"/>
        </w:rPr>
        <w:t xml:space="preserve"> u</w:t>
      </w:r>
      <w:r w:rsidR="004625A2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4625A2">
        <w:rPr>
          <w:rFonts w:ascii="Verdana" w:hAnsi="Verdana" w:cstheme="minorHAnsi"/>
          <w:sz w:val="20"/>
          <w:szCs w:val="20"/>
          <w:lang w:val="es-AR"/>
        </w:rPr>
        <w:t>apsolutnoj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B36D0A">
        <w:rPr>
          <w:rFonts w:ascii="Verdana" w:hAnsi="Verdana" w:cstheme="minorHAnsi"/>
          <w:sz w:val="20"/>
          <w:szCs w:val="20"/>
          <w:lang w:val="es-AR"/>
        </w:rPr>
        <w:t>5.246</w:t>
      </w:r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hilj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. KM </w:t>
      </w:r>
      <w:proofErr w:type="spellStart"/>
      <w:r w:rsidRPr="00425127">
        <w:rPr>
          <w:rFonts w:ascii="Verdana" w:hAnsi="Verdana" w:cstheme="minorHAnsi"/>
          <w:sz w:val="20"/>
          <w:szCs w:val="20"/>
          <w:lang w:val="es-AR"/>
        </w:rPr>
        <w:t>odnosno</w:t>
      </w:r>
      <w:proofErr w:type="spellEnd"/>
      <w:r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B36D0A">
        <w:rPr>
          <w:rFonts w:ascii="Verdana" w:hAnsi="Verdana" w:cstheme="minorHAnsi"/>
          <w:sz w:val="20"/>
          <w:szCs w:val="20"/>
          <w:lang w:val="es-AR"/>
        </w:rPr>
        <w:t>58,18</w:t>
      </w:r>
      <w:r w:rsidRPr="00425127">
        <w:rPr>
          <w:rFonts w:ascii="Verdana" w:hAnsi="Verdana" w:cstheme="minorHAnsi"/>
          <w:sz w:val="20"/>
          <w:szCs w:val="20"/>
          <w:lang w:val="es-AR"/>
        </w:rPr>
        <w:t>%.</w:t>
      </w:r>
      <w:r w:rsidR="000454CB" w:rsidRPr="00425127">
        <w:rPr>
          <w:rFonts w:ascii="Verdana" w:hAnsi="Verdana" w:cstheme="minorHAnsi"/>
          <w:sz w:val="20"/>
          <w:szCs w:val="20"/>
          <w:lang w:val="es-AR"/>
        </w:rPr>
        <w:t xml:space="preserve"> </w:t>
      </w:r>
    </w:p>
    <w:p w14:paraId="1C756869" w14:textId="77777777" w:rsidR="00B36D0A" w:rsidRDefault="00B36D0A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</w:p>
    <w:bookmarkEnd w:id="10"/>
    <w:p w14:paraId="32469487" w14:textId="0C9EB9DD" w:rsidR="004625A2" w:rsidRDefault="00967CC8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r w:rsidRPr="00967CC8">
        <w:rPr>
          <w:noProof/>
        </w:rPr>
        <w:drawing>
          <wp:inline distT="0" distB="0" distL="0" distR="0" wp14:anchorId="7099296D" wp14:editId="22780746">
            <wp:extent cx="5760720" cy="2996565"/>
            <wp:effectExtent l="0" t="0" r="0" b="0"/>
            <wp:docPr id="82472829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83F91" w14:textId="71BBC797" w:rsidR="004625A2" w:rsidRDefault="004625A2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</w:p>
    <w:p w14:paraId="6566E5F1" w14:textId="5E6F8644" w:rsidR="004C30F7" w:rsidRDefault="004C30F7" w:rsidP="004C30F7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  <w:r>
        <w:rPr>
          <w:rFonts w:ascii="Verdana" w:hAnsi="Verdana" w:cs="Arial"/>
          <w:sz w:val="20"/>
          <w:szCs w:val="20"/>
          <w:lang w:val="sr-Latn-CS"/>
        </w:rPr>
        <w:t>U strukturi izvora učestvuju sljedeći osnovni pokazatelji poslovanja:</w:t>
      </w:r>
    </w:p>
    <w:p w14:paraId="1BC07734" w14:textId="77777777" w:rsidR="00382BAB" w:rsidRDefault="00382BAB" w:rsidP="004C30F7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</w:p>
    <w:p w14:paraId="379045B0" w14:textId="376C3170" w:rsidR="004C30F7" w:rsidRDefault="004C30F7" w:rsidP="004C30F7">
      <w:pPr>
        <w:pStyle w:val="ListParagraph"/>
        <w:numPr>
          <w:ilvl w:val="0"/>
          <w:numId w:val="30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r>
        <w:rPr>
          <w:rFonts w:ascii="Verdana" w:hAnsi="Verdana" w:cs="Arial"/>
          <w:sz w:val="20"/>
          <w:szCs w:val="20"/>
          <w:lang w:val="sr-Latn-CS"/>
        </w:rPr>
        <w:lastRenderedPageBreak/>
        <w:t>Pozajmice do 12 mjeseci</w:t>
      </w:r>
      <w:r w:rsidR="009A0C96">
        <w:rPr>
          <w:rFonts w:ascii="Verdana" w:hAnsi="Verdana" w:cs="Arial"/>
          <w:sz w:val="20"/>
          <w:szCs w:val="20"/>
          <w:lang w:val="sr-Latn-CS"/>
        </w:rPr>
        <w:t xml:space="preserve"> </w:t>
      </w:r>
      <w:r>
        <w:rPr>
          <w:rFonts w:ascii="Verdana" w:hAnsi="Verdana" w:cs="Arial"/>
          <w:sz w:val="20"/>
          <w:szCs w:val="20"/>
          <w:lang w:val="sr-Latn-CS"/>
        </w:rPr>
        <w:t>od fizičkih i pravnih lica,</w:t>
      </w:r>
      <w:r w:rsidRPr="00CC1456">
        <w:rPr>
          <w:rFonts w:ascii="Verdana" w:hAnsi="Verdana" w:cs="Arial"/>
          <w:sz w:val="20"/>
          <w:szCs w:val="20"/>
          <w:lang w:val="sr-Latn-CS"/>
        </w:rPr>
        <w:t xml:space="preserve"> apsolutne </w:t>
      </w:r>
      <w:proofErr w:type="spellStart"/>
      <w:r w:rsidRPr="00CC1456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CC1456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EA5F51">
        <w:rPr>
          <w:rFonts w:ascii="Verdana" w:hAnsi="Verdana" w:cs="Arial"/>
          <w:sz w:val="20"/>
          <w:szCs w:val="20"/>
          <w:lang w:val="sr-Latn-CS"/>
        </w:rPr>
        <w:t>3.520</w:t>
      </w:r>
      <w:r w:rsidRPr="00CC1456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CC1456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CC1456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EA5F51">
        <w:rPr>
          <w:rFonts w:ascii="Verdana" w:hAnsi="Verdana" w:cs="Arial"/>
          <w:sz w:val="20"/>
          <w:szCs w:val="20"/>
          <w:lang w:val="sr-Latn-CS"/>
        </w:rPr>
        <w:t>39,04</w:t>
      </w:r>
      <w:r w:rsidRPr="00CC1456">
        <w:rPr>
          <w:rFonts w:ascii="Verdana" w:hAnsi="Verdana" w:cs="Arial"/>
          <w:sz w:val="20"/>
          <w:szCs w:val="20"/>
          <w:lang w:val="sr-Latn-CS"/>
        </w:rPr>
        <w:t xml:space="preserve">% ukupnih </w:t>
      </w:r>
      <w:r>
        <w:rPr>
          <w:rFonts w:ascii="Verdana" w:hAnsi="Verdana" w:cs="Arial"/>
          <w:sz w:val="20"/>
          <w:szCs w:val="20"/>
          <w:lang w:val="sr-Latn-CS"/>
        </w:rPr>
        <w:t>izvora</w:t>
      </w:r>
      <w:r w:rsidRPr="00CC1456">
        <w:rPr>
          <w:rFonts w:ascii="Verdana" w:hAnsi="Verdana" w:cs="Arial"/>
          <w:sz w:val="20"/>
          <w:szCs w:val="20"/>
          <w:lang w:val="sr-Latn-CS"/>
        </w:rPr>
        <w:t xml:space="preserve">. U odnosu na prethodnu poslovnu godinu </w:t>
      </w:r>
      <w:bookmarkStart w:id="11" w:name="_Hlk192238915"/>
      <w:r w:rsidRPr="00CC1456">
        <w:rPr>
          <w:rFonts w:ascii="Verdana" w:hAnsi="Verdana" w:cs="Arial"/>
          <w:sz w:val="20"/>
          <w:szCs w:val="20"/>
          <w:lang w:val="sr-Latn-CS"/>
        </w:rPr>
        <w:t xml:space="preserve">ostvaren je rast apsolutne </w:t>
      </w:r>
      <w:proofErr w:type="spellStart"/>
      <w:r w:rsidRPr="00CC1456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CC1456">
        <w:rPr>
          <w:rFonts w:ascii="Verdana" w:hAnsi="Verdana" w:cs="Arial"/>
          <w:sz w:val="20"/>
          <w:szCs w:val="20"/>
          <w:lang w:val="sr-Latn-CS"/>
        </w:rPr>
        <w:t xml:space="preserve">  (+) </w:t>
      </w:r>
      <w:r w:rsidR="00EA5F51">
        <w:rPr>
          <w:rFonts w:ascii="Verdana" w:hAnsi="Verdana" w:cs="Arial"/>
          <w:sz w:val="20"/>
          <w:szCs w:val="20"/>
          <w:lang w:val="sr-Latn-CS"/>
        </w:rPr>
        <w:t xml:space="preserve">325 </w:t>
      </w:r>
      <w:proofErr w:type="spellStart"/>
      <w:r w:rsidRPr="00CC1456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CC1456"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EA5F51">
        <w:rPr>
          <w:rFonts w:ascii="Verdana" w:hAnsi="Verdana" w:cs="Arial"/>
          <w:sz w:val="20"/>
          <w:szCs w:val="20"/>
          <w:lang w:val="sr-Latn-CS"/>
        </w:rPr>
        <w:t>10,17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>.</w:t>
      </w:r>
      <w:bookmarkEnd w:id="11"/>
    </w:p>
    <w:p w14:paraId="2E23A121" w14:textId="3063E8E9" w:rsidR="00EA5F51" w:rsidRDefault="001656CB" w:rsidP="00DE1707">
      <w:pPr>
        <w:pStyle w:val="ListParagraph"/>
        <w:numPr>
          <w:ilvl w:val="0"/>
          <w:numId w:val="30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r w:rsidRPr="00EA5F51">
        <w:rPr>
          <w:rFonts w:ascii="Verdana" w:hAnsi="Verdana" w:cs="Arial"/>
          <w:sz w:val="20"/>
          <w:szCs w:val="20"/>
          <w:lang w:val="sr-Latn-CS"/>
        </w:rPr>
        <w:t xml:space="preserve">Krediti u finansijskim institucijama do 12 </w:t>
      </w:r>
      <w:proofErr w:type="spellStart"/>
      <w:r w:rsidRPr="00EA5F51">
        <w:rPr>
          <w:rFonts w:ascii="Verdana" w:hAnsi="Verdana" w:cs="Arial"/>
          <w:sz w:val="20"/>
          <w:szCs w:val="20"/>
          <w:lang w:val="sr-Latn-CS"/>
        </w:rPr>
        <w:t>mjeseci</w:t>
      </w:r>
      <w:proofErr w:type="spellEnd"/>
      <w:r w:rsidRPr="00EA5F51">
        <w:rPr>
          <w:rFonts w:ascii="Verdana" w:hAnsi="Verdana" w:cs="Arial"/>
          <w:sz w:val="20"/>
          <w:szCs w:val="20"/>
          <w:lang w:val="sr-Latn-CS"/>
        </w:rPr>
        <w:t xml:space="preserve">, apsolutne </w:t>
      </w:r>
      <w:proofErr w:type="spellStart"/>
      <w:r w:rsidRPr="00EA5F51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EA5F51">
        <w:rPr>
          <w:rFonts w:ascii="Verdana" w:hAnsi="Verdana" w:cs="Arial"/>
          <w:sz w:val="20"/>
          <w:szCs w:val="20"/>
          <w:lang w:val="sr-Latn-CS"/>
        </w:rPr>
        <w:t xml:space="preserve"> 2</w:t>
      </w:r>
      <w:r w:rsidR="00EA5F51" w:rsidRPr="00EA5F51">
        <w:rPr>
          <w:rFonts w:ascii="Verdana" w:hAnsi="Verdana" w:cs="Arial"/>
          <w:sz w:val="20"/>
          <w:szCs w:val="20"/>
          <w:lang w:val="sr-Latn-CS"/>
        </w:rPr>
        <w:t>51</w:t>
      </w:r>
      <w:r w:rsidRPr="00EA5F51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EA5F51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EA5F51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EA5F51" w:rsidRPr="00EA5F51">
        <w:rPr>
          <w:rFonts w:ascii="Verdana" w:hAnsi="Verdana" w:cs="Arial"/>
          <w:sz w:val="20"/>
          <w:szCs w:val="20"/>
          <w:lang w:val="sr-Latn-CS"/>
        </w:rPr>
        <w:t>2,78</w:t>
      </w:r>
      <w:r w:rsidRPr="00EA5F51">
        <w:rPr>
          <w:rFonts w:ascii="Verdana" w:hAnsi="Verdana" w:cs="Arial"/>
          <w:sz w:val="20"/>
          <w:szCs w:val="20"/>
          <w:lang w:val="sr-Latn-CS"/>
        </w:rPr>
        <w:t xml:space="preserve">% ukupnih izvora. U odnosu na prethodnu poslovnu godinu </w:t>
      </w:r>
      <w:r w:rsidR="00EA5F51" w:rsidRPr="00CC1456">
        <w:rPr>
          <w:rFonts w:ascii="Verdana" w:hAnsi="Verdana" w:cs="Arial"/>
          <w:sz w:val="20"/>
          <w:szCs w:val="20"/>
          <w:lang w:val="sr-Latn-CS"/>
        </w:rPr>
        <w:t xml:space="preserve">ostvaren je rast apsolutne </w:t>
      </w:r>
      <w:proofErr w:type="spellStart"/>
      <w:r w:rsidR="00EA5F51" w:rsidRPr="00CC1456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="00EA5F51" w:rsidRPr="00CC1456">
        <w:rPr>
          <w:rFonts w:ascii="Verdana" w:hAnsi="Verdana" w:cs="Arial"/>
          <w:sz w:val="20"/>
          <w:szCs w:val="20"/>
          <w:lang w:val="sr-Latn-CS"/>
        </w:rPr>
        <w:t xml:space="preserve">  (+) </w:t>
      </w:r>
      <w:r w:rsidR="00EA5F51">
        <w:rPr>
          <w:rFonts w:ascii="Verdana" w:hAnsi="Verdana" w:cs="Arial"/>
          <w:sz w:val="20"/>
          <w:szCs w:val="20"/>
          <w:lang w:val="sr-Latn-CS"/>
        </w:rPr>
        <w:t xml:space="preserve">51 </w:t>
      </w:r>
      <w:proofErr w:type="spellStart"/>
      <w:r w:rsidR="00EA5F51" w:rsidRPr="00CC1456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="00EA5F51" w:rsidRPr="00CC1456"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EA5F51">
        <w:rPr>
          <w:rFonts w:ascii="Verdana" w:hAnsi="Verdana" w:cs="Arial"/>
          <w:sz w:val="20"/>
          <w:szCs w:val="20"/>
          <w:lang w:val="sr-Latn-CS"/>
        </w:rPr>
        <w:t xml:space="preserve">25,52 </w:t>
      </w:r>
      <w:proofErr w:type="spellStart"/>
      <w:r w:rsidR="00EA5F51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="00EA5F51">
        <w:rPr>
          <w:rFonts w:ascii="Verdana" w:hAnsi="Verdana" w:cs="Arial"/>
          <w:sz w:val="20"/>
          <w:szCs w:val="20"/>
          <w:lang w:val="sr-Latn-CS"/>
        </w:rPr>
        <w:t>.</w:t>
      </w:r>
    </w:p>
    <w:p w14:paraId="1B7D5855" w14:textId="0EC34863" w:rsidR="001656CB" w:rsidRPr="00EA5F51" w:rsidRDefault="001656CB" w:rsidP="00DE1707">
      <w:pPr>
        <w:pStyle w:val="ListParagraph"/>
        <w:numPr>
          <w:ilvl w:val="0"/>
          <w:numId w:val="30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r w:rsidRPr="00EA5F51">
        <w:rPr>
          <w:rFonts w:ascii="Verdana" w:hAnsi="Verdana" w:cs="Arial"/>
          <w:sz w:val="20"/>
          <w:szCs w:val="20"/>
          <w:lang w:val="sr-Latn-CS"/>
        </w:rPr>
        <w:t xml:space="preserve">Dugoročni krediti od finansijski institucija (IRB), apsolutne </w:t>
      </w:r>
      <w:proofErr w:type="spellStart"/>
      <w:r w:rsidRPr="00EA5F51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EA5F51">
        <w:rPr>
          <w:rFonts w:ascii="Verdana" w:hAnsi="Verdana" w:cs="Arial"/>
          <w:sz w:val="20"/>
          <w:szCs w:val="20"/>
          <w:lang w:val="sr-Latn-CS"/>
        </w:rPr>
        <w:t xml:space="preserve"> 1.</w:t>
      </w:r>
      <w:r w:rsidR="00EA5F51">
        <w:rPr>
          <w:rFonts w:ascii="Verdana" w:hAnsi="Verdana" w:cs="Arial"/>
          <w:sz w:val="20"/>
          <w:szCs w:val="20"/>
          <w:lang w:val="sr-Latn-CS"/>
        </w:rPr>
        <w:t>242</w:t>
      </w:r>
      <w:r w:rsidRPr="00EA5F51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EA5F51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EA5F51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EA5F51">
        <w:rPr>
          <w:rFonts w:ascii="Verdana" w:hAnsi="Verdana" w:cs="Arial"/>
          <w:sz w:val="20"/>
          <w:szCs w:val="20"/>
          <w:lang w:val="sr-Latn-CS"/>
        </w:rPr>
        <w:t>13,77</w:t>
      </w:r>
      <w:r w:rsidRPr="00EA5F51">
        <w:rPr>
          <w:rFonts w:ascii="Verdana" w:hAnsi="Verdana" w:cs="Arial"/>
          <w:sz w:val="20"/>
          <w:szCs w:val="20"/>
          <w:lang w:val="sr-Latn-CS"/>
        </w:rPr>
        <w:t xml:space="preserve">% ukupnih izvora. U odnosu na prethodnu poslovnu godinu </w:t>
      </w:r>
      <w:r w:rsidR="00EA5F51">
        <w:rPr>
          <w:rFonts w:ascii="Verdana" w:hAnsi="Verdana" w:cs="Arial"/>
          <w:sz w:val="20"/>
          <w:szCs w:val="20"/>
          <w:lang w:val="sr-Latn-CS"/>
        </w:rPr>
        <w:t>-</w:t>
      </w:r>
      <w:r w:rsidRPr="00EA5F51">
        <w:rPr>
          <w:rFonts w:ascii="Verdana" w:hAnsi="Verdana" w:cs="Arial"/>
          <w:sz w:val="20"/>
          <w:szCs w:val="20"/>
          <w:lang w:val="sr-Latn-CS"/>
        </w:rPr>
        <w:t xml:space="preserve">ostvaren je </w:t>
      </w:r>
      <w:r w:rsidR="00EA5F51">
        <w:rPr>
          <w:rFonts w:ascii="Verdana" w:hAnsi="Verdana" w:cs="Arial"/>
          <w:sz w:val="20"/>
          <w:szCs w:val="20"/>
          <w:lang w:val="sr-Latn-CS"/>
        </w:rPr>
        <w:t>pad</w:t>
      </w:r>
      <w:r w:rsidRPr="00EA5F51">
        <w:rPr>
          <w:rFonts w:ascii="Verdana" w:hAnsi="Verdana" w:cs="Arial"/>
          <w:sz w:val="20"/>
          <w:szCs w:val="20"/>
          <w:lang w:val="sr-Latn-CS"/>
        </w:rPr>
        <w:t xml:space="preserve"> apsolutne </w:t>
      </w:r>
      <w:proofErr w:type="spellStart"/>
      <w:r w:rsidRPr="00EA5F51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EA5F51">
        <w:rPr>
          <w:rFonts w:ascii="Verdana" w:hAnsi="Verdana" w:cs="Arial"/>
          <w:sz w:val="20"/>
          <w:szCs w:val="20"/>
          <w:lang w:val="sr-Latn-CS"/>
        </w:rPr>
        <w:t xml:space="preserve">  (</w:t>
      </w:r>
      <w:r w:rsidR="00EA5F51">
        <w:rPr>
          <w:rFonts w:ascii="Verdana" w:hAnsi="Verdana" w:cs="Arial"/>
          <w:sz w:val="20"/>
          <w:szCs w:val="20"/>
          <w:lang w:val="sr-Latn-CS"/>
        </w:rPr>
        <w:t>-</w:t>
      </w:r>
      <w:r w:rsidRPr="00EA5F51">
        <w:rPr>
          <w:rFonts w:ascii="Verdana" w:hAnsi="Verdana" w:cs="Arial"/>
          <w:sz w:val="20"/>
          <w:szCs w:val="20"/>
          <w:lang w:val="sr-Latn-CS"/>
        </w:rPr>
        <w:t xml:space="preserve">) </w:t>
      </w:r>
      <w:r w:rsidR="00EA5F51">
        <w:rPr>
          <w:rFonts w:ascii="Verdana" w:hAnsi="Verdana" w:cs="Arial"/>
          <w:sz w:val="20"/>
          <w:szCs w:val="20"/>
          <w:lang w:val="sr-Latn-CS"/>
        </w:rPr>
        <w:t>151</w:t>
      </w:r>
      <w:r w:rsidRPr="00EA5F51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EA5F51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EA5F51">
        <w:rPr>
          <w:rFonts w:ascii="Verdana" w:hAnsi="Verdana" w:cs="Arial"/>
          <w:sz w:val="20"/>
          <w:szCs w:val="20"/>
          <w:lang w:val="sr-Latn-CS"/>
        </w:rPr>
        <w:t>. KM ili (</w:t>
      </w:r>
      <w:r w:rsidR="00EA5F51">
        <w:rPr>
          <w:rFonts w:ascii="Verdana" w:hAnsi="Verdana" w:cs="Arial"/>
          <w:sz w:val="20"/>
          <w:szCs w:val="20"/>
          <w:lang w:val="sr-Latn-CS"/>
        </w:rPr>
        <w:t>-</w:t>
      </w:r>
      <w:r w:rsidRPr="00EA5F51">
        <w:rPr>
          <w:rFonts w:ascii="Verdana" w:hAnsi="Verdana" w:cs="Arial"/>
          <w:sz w:val="20"/>
          <w:szCs w:val="20"/>
          <w:lang w:val="sr-Latn-CS"/>
        </w:rPr>
        <w:t xml:space="preserve">) </w:t>
      </w:r>
      <w:r w:rsidR="00EA5F51">
        <w:rPr>
          <w:rFonts w:ascii="Verdana" w:hAnsi="Verdana" w:cs="Arial"/>
          <w:sz w:val="20"/>
          <w:szCs w:val="20"/>
          <w:lang w:val="sr-Latn-CS"/>
        </w:rPr>
        <w:t>10,84</w:t>
      </w:r>
      <w:r w:rsidRPr="00EA5F51"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EA5F51"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 w:rsidRPr="00EA5F51">
        <w:rPr>
          <w:rFonts w:ascii="Verdana" w:hAnsi="Verdana" w:cs="Arial"/>
          <w:sz w:val="20"/>
          <w:szCs w:val="20"/>
          <w:lang w:val="sr-Latn-CS"/>
        </w:rPr>
        <w:t>.</w:t>
      </w:r>
    </w:p>
    <w:p w14:paraId="1AE93D40" w14:textId="39A60AA7" w:rsidR="001656CB" w:rsidRDefault="004625A2" w:rsidP="004C30F7">
      <w:pPr>
        <w:pStyle w:val="ListParagraph"/>
        <w:numPr>
          <w:ilvl w:val="0"/>
          <w:numId w:val="30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r>
        <w:rPr>
          <w:rFonts w:ascii="Verdana" w:hAnsi="Verdana" w:cs="Arial"/>
          <w:sz w:val="20"/>
          <w:szCs w:val="20"/>
          <w:lang w:val="sr-Latn-CS"/>
        </w:rPr>
        <w:t xml:space="preserve">HOV-emitovane obveznice na 36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mjeseci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, apsolutne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EA5F51">
        <w:rPr>
          <w:rFonts w:ascii="Verdana" w:hAnsi="Verdana" w:cs="Arial"/>
          <w:sz w:val="20"/>
          <w:szCs w:val="20"/>
          <w:lang w:val="sr-Latn-CS"/>
        </w:rPr>
        <w:t>4.004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hilk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EA5F51">
        <w:rPr>
          <w:rFonts w:ascii="Verdana" w:hAnsi="Verdana" w:cs="Arial"/>
          <w:sz w:val="20"/>
          <w:szCs w:val="20"/>
          <w:lang w:val="sr-Latn-CS"/>
        </w:rPr>
        <w:t>44,41</w:t>
      </w:r>
      <w:r>
        <w:rPr>
          <w:rFonts w:ascii="Verdana" w:hAnsi="Verdana" w:cs="Arial"/>
          <w:sz w:val="20"/>
          <w:szCs w:val="20"/>
          <w:lang w:val="sr-Latn-CS"/>
        </w:rPr>
        <w:t xml:space="preserve">% ukupnih izvora. U odnosu na prethodnu poslovnu godinu ostvaren je rast apsolutne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(+) </w:t>
      </w:r>
      <w:r w:rsidR="00EA5F51">
        <w:rPr>
          <w:rFonts w:ascii="Verdana" w:hAnsi="Verdana" w:cs="Arial"/>
          <w:sz w:val="20"/>
          <w:szCs w:val="20"/>
          <w:lang w:val="sr-Latn-CS"/>
        </w:rPr>
        <w:t>2.257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EA5F51">
        <w:rPr>
          <w:rFonts w:ascii="Verdana" w:hAnsi="Verdana" w:cs="Arial"/>
          <w:sz w:val="20"/>
          <w:szCs w:val="20"/>
          <w:lang w:val="sr-Latn-CS"/>
        </w:rPr>
        <w:t>129,11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>.</w:t>
      </w:r>
    </w:p>
    <w:p w14:paraId="5081A116" w14:textId="77777777" w:rsidR="009E6710" w:rsidRPr="00425127" w:rsidRDefault="009E6710" w:rsidP="0087531F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</w:p>
    <w:p w14:paraId="3D627BF1" w14:textId="779153B0" w:rsidR="00F0024E" w:rsidRPr="00777200" w:rsidRDefault="0079488E" w:rsidP="0087531F">
      <w:pPr>
        <w:spacing w:after="0" w:line="240" w:lineRule="auto"/>
        <w:jc w:val="both"/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</w:pPr>
      <w:r w:rsidRPr="00425127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F0024E" w:rsidRPr="00425127">
        <w:rPr>
          <w:rFonts w:cs="Arial"/>
          <w:sz w:val="20"/>
          <w:szCs w:val="20"/>
          <w:lang w:val="sr-Latn-RS"/>
        </w:rPr>
        <w:t>→</w:t>
      </w:r>
      <w:r w:rsidR="00F0024E" w:rsidRPr="00425127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F0024E" w:rsidRPr="00425127">
        <w:rPr>
          <w:rFonts w:ascii="Verdana" w:hAnsi="Verdana" w:cs="Arial"/>
          <w:b/>
          <w:sz w:val="20"/>
          <w:szCs w:val="20"/>
          <w:lang w:val="sr-Latn-RS"/>
        </w:rPr>
        <w:t>Kapita</w:t>
      </w:r>
      <w:r w:rsidR="00F0024E" w:rsidRPr="00425127">
        <w:rPr>
          <w:rFonts w:ascii="Verdana" w:hAnsi="Verdana" w:cs="Arial"/>
          <w:sz w:val="20"/>
          <w:szCs w:val="20"/>
          <w:lang w:val="sr-Latn-RS"/>
        </w:rPr>
        <w:t>l predstavlja</w:t>
      </w:r>
      <w:r w:rsidR="00F43ADC" w:rsidRPr="00425127">
        <w:rPr>
          <w:rFonts w:ascii="Verdana" w:hAnsi="Verdana" w:cs="Arial"/>
          <w:sz w:val="20"/>
          <w:szCs w:val="20"/>
          <w:lang w:val="sr-Latn-RS"/>
        </w:rPr>
        <w:t xml:space="preserve"> strateški, trajni</w:t>
      </w:r>
      <w:r w:rsidRPr="00425127">
        <w:rPr>
          <w:rFonts w:ascii="Verdana" w:hAnsi="Verdana" w:cs="Arial"/>
          <w:sz w:val="20"/>
          <w:szCs w:val="20"/>
          <w:lang w:val="sr-Latn-RS"/>
        </w:rPr>
        <w:t xml:space="preserve">, beskamatni </w:t>
      </w:r>
      <w:r w:rsidR="00F43ADC" w:rsidRPr="00425127">
        <w:rPr>
          <w:rFonts w:ascii="Verdana" w:hAnsi="Verdana" w:cs="Arial"/>
          <w:sz w:val="20"/>
          <w:szCs w:val="20"/>
          <w:lang w:val="sr-Latn-RS"/>
        </w:rPr>
        <w:t xml:space="preserve">resurs koji je garant sigurnom poslovanju </w:t>
      </w:r>
      <w:r w:rsidR="00FF27CC" w:rsidRPr="00425127">
        <w:rPr>
          <w:rFonts w:ascii="Verdana" w:hAnsi="Verdana" w:cs="Arial"/>
          <w:sz w:val="20"/>
          <w:szCs w:val="20"/>
          <w:lang w:val="sr-Latn-RS"/>
        </w:rPr>
        <w:t>D</w:t>
      </w:r>
      <w:r w:rsidR="00F43ADC" w:rsidRPr="00425127">
        <w:rPr>
          <w:rFonts w:ascii="Verdana" w:hAnsi="Verdana" w:cs="Arial"/>
          <w:sz w:val="20"/>
          <w:szCs w:val="20"/>
          <w:lang w:val="sr-Latn-RS"/>
        </w:rPr>
        <w:t xml:space="preserve">ruštva i koji  služi za pokriće rizika </w:t>
      </w:r>
      <w:r w:rsidR="00F0024E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od</w:t>
      </w:r>
      <w:r w:rsidR="00F0024E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 xml:space="preserve"> </w:t>
      </w:r>
      <w:proofErr w:type="spellStart"/>
      <w:r w:rsidR="00FF27CC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mogu</w:t>
      </w:r>
      <w:proofErr w:type="spellEnd"/>
      <w:r w:rsidR="00FF27CC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>ć</w:t>
      </w:r>
      <w:proofErr w:type="spellStart"/>
      <w:r w:rsidR="00FF27CC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ih</w:t>
      </w:r>
      <w:proofErr w:type="spellEnd"/>
      <w:r w:rsidR="00FF27CC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 xml:space="preserve"> </w:t>
      </w:r>
      <w:proofErr w:type="spellStart"/>
      <w:r w:rsidR="00F0024E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gubitaka</w:t>
      </w:r>
      <w:proofErr w:type="spellEnd"/>
      <w:r w:rsidR="00F0024E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 xml:space="preserve"> </w:t>
      </w:r>
      <w:r w:rsidR="00F0024E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koji</w:t>
      </w:r>
      <w:r w:rsidR="00F0024E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 xml:space="preserve"> </w:t>
      </w:r>
      <w:proofErr w:type="spellStart"/>
      <w:r w:rsidR="00F0024E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nastaju</w:t>
      </w:r>
      <w:proofErr w:type="spellEnd"/>
      <w:r w:rsidR="00F0024E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 xml:space="preserve"> </w:t>
      </w:r>
      <w:proofErr w:type="spellStart"/>
      <w:r w:rsidR="00F0024E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zbo</w:t>
      </w:r>
      <w:r w:rsidR="00B93F84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g</w:t>
      </w:r>
      <w:proofErr w:type="spellEnd"/>
      <w:r w:rsidR="00B93F84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 xml:space="preserve"> </w:t>
      </w:r>
      <w:r w:rsidR="00B93F84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lo</w:t>
      </w:r>
      <w:r w:rsidR="00B93F84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>š</w:t>
      </w:r>
      <w:proofErr w:type="spellStart"/>
      <w:r w:rsidR="00B93F84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ih</w:t>
      </w:r>
      <w:proofErr w:type="spellEnd"/>
      <w:r w:rsidR="00B93F84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 xml:space="preserve"> (</w:t>
      </w:r>
      <w:proofErr w:type="spellStart"/>
      <w:r w:rsidR="00B93F84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nenaplativih</w:t>
      </w:r>
      <w:proofErr w:type="spellEnd"/>
      <w:r w:rsidR="00B93F84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 xml:space="preserve">) </w:t>
      </w:r>
      <w:proofErr w:type="spellStart"/>
      <w:r w:rsidR="00B93F84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plasmana</w:t>
      </w:r>
      <w:proofErr w:type="spellEnd"/>
      <w:r w:rsidR="00B93F84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>,</w:t>
      </w:r>
      <w:r w:rsidR="00F0024E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 xml:space="preserve"> </w:t>
      </w:r>
      <w:r w:rsidR="00F0024E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lo</w:t>
      </w:r>
      <w:r w:rsidR="00F0024E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>š</w:t>
      </w:r>
      <w:proofErr w:type="spellStart"/>
      <w:r w:rsidR="00F0024E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eg</w:t>
      </w:r>
      <w:proofErr w:type="spellEnd"/>
      <w:r w:rsidR="00F0024E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 xml:space="preserve"> </w:t>
      </w:r>
      <w:proofErr w:type="spellStart"/>
      <w:r w:rsidR="00F0024E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upravljanja</w:t>
      </w:r>
      <w:proofErr w:type="spellEnd"/>
      <w:r w:rsidR="00F0024E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 xml:space="preserve"> </w:t>
      </w:r>
      <w:proofErr w:type="spellStart"/>
      <w:r w:rsidR="00167436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i</w:t>
      </w:r>
      <w:proofErr w:type="spellEnd"/>
      <w:r w:rsidR="00B93F84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 xml:space="preserve"> </w:t>
      </w:r>
      <w:proofErr w:type="spellStart"/>
      <w:r w:rsidR="00F0024E" w:rsidRPr="00425127">
        <w:rPr>
          <w:rFonts w:ascii="Verdana" w:hAnsi="Verdana" w:cs="Arial"/>
          <w:spacing w:val="4"/>
          <w:sz w:val="20"/>
          <w:szCs w:val="20"/>
          <w:shd w:val="clear" w:color="auto" w:fill="FFFFFF"/>
        </w:rPr>
        <w:t>prevara</w:t>
      </w:r>
      <w:proofErr w:type="spellEnd"/>
      <w:r w:rsidR="00F0024E" w:rsidRPr="00777200">
        <w:rPr>
          <w:rFonts w:ascii="Verdana" w:hAnsi="Verdana" w:cs="Arial"/>
          <w:spacing w:val="4"/>
          <w:sz w:val="20"/>
          <w:szCs w:val="20"/>
          <w:shd w:val="clear" w:color="auto" w:fill="FFFFFF"/>
          <w:lang w:val="sr-Latn-CS"/>
        </w:rPr>
        <w:t xml:space="preserve">. </w:t>
      </w:r>
    </w:p>
    <w:p w14:paraId="0E637DF6" w14:textId="77777777" w:rsidR="00ED12A4" w:rsidRPr="00425127" w:rsidRDefault="00ED12A4" w:rsidP="0087531F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RS"/>
        </w:rPr>
      </w:pPr>
    </w:p>
    <w:p w14:paraId="54E932BC" w14:textId="31CB81CF" w:rsidR="00383ED9" w:rsidRDefault="00FF27CC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425127">
        <w:rPr>
          <w:rFonts w:ascii="Verdana" w:hAnsi="Verdana" w:cstheme="minorHAnsi"/>
          <w:sz w:val="20"/>
          <w:szCs w:val="20"/>
          <w:lang w:val="sr-Latn-RS"/>
        </w:rPr>
        <w:t>Kao što je prikazano u narednoj tabeli, u</w:t>
      </w:r>
      <w:r w:rsidR="00F0024E" w:rsidRPr="00425127">
        <w:rPr>
          <w:rFonts w:ascii="Verdana" w:hAnsi="Verdana" w:cstheme="minorHAnsi"/>
          <w:sz w:val="20"/>
          <w:szCs w:val="20"/>
          <w:lang w:val="sr-Latn-RS"/>
        </w:rPr>
        <w:t xml:space="preserve">kupan kapital Društva </w:t>
      </w:r>
      <w:r w:rsidR="00383ED9" w:rsidRPr="00425127">
        <w:rPr>
          <w:rFonts w:ascii="Verdana" w:hAnsi="Verdana" w:cstheme="minorHAnsi"/>
          <w:sz w:val="20"/>
          <w:szCs w:val="20"/>
          <w:lang w:val="sr-Latn-RS"/>
        </w:rPr>
        <w:t xml:space="preserve">čini osnovni kapital </w:t>
      </w:r>
      <w:r w:rsidR="003D2E7D" w:rsidRPr="00425127">
        <w:rPr>
          <w:rFonts w:ascii="Verdana" w:hAnsi="Verdana" w:cstheme="minorHAnsi"/>
          <w:sz w:val="20"/>
          <w:szCs w:val="20"/>
          <w:lang w:val="sr-Latn-RS"/>
        </w:rPr>
        <w:t xml:space="preserve">upisan u sudski registar prilikom osnivanja i promjene vrijednosti kapitala, zatim u skladu sa Zakonom formirane zakonske rezerve (5% od ostvarene tekuće dobiti) i </w:t>
      </w:r>
      <w:r w:rsidRPr="00425127">
        <w:rPr>
          <w:rFonts w:ascii="Verdana" w:hAnsi="Verdana" w:cstheme="minorHAnsi"/>
          <w:sz w:val="20"/>
          <w:szCs w:val="20"/>
          <w:lang w:val="sr-Latn-RS"/>
        </w:rPr>
        <w:t>neraspođ</w:t>
      </w:r>
      <w:r w:rsidR="003D2E7D" w:rsidRPr="00425127">
        <w:rPr>
          <w:rFonts w:ascii="Verdana" w:hAnsi="Verdana" w:cstheme="minorHAnsi"/>
          <w:sz w:val="20"/>
          <w:szCs w:val="20"/>
          <w:lang w:val="sr-Latn-RS"/>
        </w:rPr>
        <w:t>ena dobit</w:t>
      </w:r>
      <w:r w:rsidRPr="00425127">
        <w:rPr>
          <w:rFonts w:ascii="Verdana" w:hAnsi="Verdana" w:cstheme="minorHAnsi"/>
          <w:sz w:val="20"/>
          <w:szCs w:val="20"/>
          <w:lang w:val="sr-Latn-RS"/>
        </w:rPr>
        <w:t xml:space="preserve"> tekuće godine.</w:t>
      </w:r>
      <w:r w:rsidR="003D2E7D" w:rsidRPr="00425127">
        <w:rPr>
          <w:rFonts w:ascii="Verdana" w:hAnsi="Verdana" w:cstheme="minorHAnsi"/>
          <w:sz w:val="20"/>
          <w:szCs w:val="20"/>
          <w:lang w:val="sr-Latn-RS"/>
        </w:rPr>
        <w:t xml:space="preserve">  </w:t>
      </w:r>
    </w:p>
    <w:p w14:paraId="09552EF7" w14:textId="77777777" w:rsidR="00F76E9E" w:rsidRDefault="00F76E9E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67504E79" w14:textId="5EED1C8E" w:rsidR="00F76E9E" w:rsidRDefault="00F76E9E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F76E9E">
        <w:rPr>
          <w:noProof/>
        </w:rPr>
        <w:drawing>
          <wp:inline distT="0" distB="0" distL="0" distR="0" wp14:anchorId="21D6BABC" wp14:editId="78C9DC3D">
            <wp:extent cx="5760720" cy="2284730"/>
            <wp:effectExtent l="0" t="0" r="0" b="1270"/>
            <wp:docPr id="19650166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35AB9" w14:textId="77777777" w:rsidR="00F76E9E" w:rsidRDefault="00F76E9E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236663A9" w14:textId="76914F97" w:rsidR="00670FA5" w:rsidRDefault="00E12376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425127">
        <w:rPr>
          <w:rFonts w:ascii="Verdana" w:hAnsi="Verdana" w:cstheme="minorHAnsi"/>
          <w:sz w:val="20"/>
          <w:szCs w:val="20"/>
          <w:lang w:val="sr-Latn-RS"/>
        </w:rPr>
        <w:t xml:space="preserve">Najznačajniju komponentu  u ukupnom kapitalu predstavlja </w:t>
      </w:r>
      <w:r w:rsidR="00FF27CC" w:rsidRPr="00425127">
        <w:rPr>
          <w:rFonts w:ascii="Verdana" w:hAnsi="Verdana" w:cstheme="minorHAnsi"/>
          <w:sz w:val="20"/>
          <w:szCs w:val="20"/>
          <w:lang w:val="sr-Latn-RS"/>
        </w:rPr>
        <w:t>osnovn</w:t>
      </w:r>
      <w:r w:rsidR="00DF781E" w:rsidRPr="00425127">
        <w:rPr>
          <w:rFonts w:ascii="Verdana" w:hAnsi="Verdana" w:cstheme="minorHAnsi"/>
          <w:sz w:val="20"/>
          <w:szCs w:val="20"/>
          <w:lang w:val="sr-Latn-RS"/>
        </w:rPr>
        <w:t>i</w:t>
      </w:r>
      <w:r w:rsidR="008E4DCD">
        <w:rPr>
          <w:rFonts w:ascii="Verdana" w:hAnsi="Verdana" w:cstheme="minorHAnsi"/>
          <w:sz w:val="20"/>
          <w:szCs w:val="20"/>
          <w:lang w:val="sr-Latn-RS"/>
        </w:rPr>
        <w:t xml:space="preserve"> kapital</w:t>
      </w:r>
      <w:r w:rsidR="00DF781E" w:rsidRPr="00425127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3D375C">
        <w:rPr>
          <w:rFonts w:ascii="Verdana" w:hAnsi="Verdana" w:cstheme="minorHAnsi"/>
          <w:sz w:val="20"/>
          <w:szCs w:val="20"/>
          <w:lang w:val="sr-Latn-RS"/>
        </w:rPr>
        <w:t xml:space="preserve">apsolutne </w:t>
      </w:r>
      <w:proofErr w:type="spellStart"/>
      <w:r w:rsidRPr="00425127">
        <w:rPr>
          <w:rFonts w:ascii="Verdana" w:hAnsi="Verdana" w:cstheme="minorHAnsi"/>
          <w:sz w:val="20"/>
          <w:szCs w:val="20"/>
          <w:lang w:val="sr-Latn-RS"/>
        </w:rPr>
        <w:t>vrijednosti</w:t>
      </w:r>
      <w:proofErr w:type="spellEnd"/>
      <w:r w:rsidRPr="00425127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FF27CC" w:rsidRPr="00425127">
        <w:rPr>
          <w:rFonts w:ascii="Verdana" w:hAnsi="Verdana" w:cstheme="minorHAnsi"/>
          <w:sz w:val="20"/>
          <w:szCs w:val="20"/>
          <w:lang w:val="sr-Latn-RS"/>
        </w:rPr>
        <w:t xml:space="preserve">1.000 </w:t>
      </w:r>
      <w:proofErr w:type="spellStart"/>
      <w:r w:rsidR="00FF27CC" w:rsidRPr="00425127">
        <w:rPr>
          <w:rFonts w:ascii="Verdana" w:hAnsi="Verdana" w:cstheme="minorHAnsi"/>
          <w:sz w:val="20"/>
          <w:szCs w:val="20"/>
          <w:lang w:val="sr-Latn-RS"/>
        </w:rPr>
        <w:t>hilj</w:t>
      </w:r>
      <w:proofErr w:type="spellEnd"/>
      <w:r w:rsidR="00FF27CC" w:rsidRPr="00425127">
        <w:rPr>
          <w:rFonts w:ascii="Verdana" w:hAnsi="Verdana" w:cstheme="minorHAnsi"/>
          <w:sz w:val="20"/>
          <w:szCs w:val="20"/>
          <w:lang w:val="sr-Latn-RS"/>
        </w:rPr>
        <w:t xml:space="preserve">. KM </w:t>
      </w:r>
      <w:r w:rsidR="003D375C">
        <w:rPr>
          <w:rFonts w:ascii="Verdana" w:hAnsi="Verdana" w:cstheme="minorHAnsi"/>
          <w:sz w:val="20"/>
          <w:szCs w:val="20"/>
          <w:lang w:val="sr-Latn-RS"/>
        </w:rPr>
        <w:t>i</w:t>
      </w:r>
      <w:r w:rsidR="00D46E56" w:rsidRPr="00425127">
        <w:rPr>
          <w:rFonts w:ascii="Verdana" w:hAnsi="Verdana" w:cstheme="minorHAnsi"/>
          <w:sz w:val="20"/>
          <w:szCs w:val="20"/>
          <w:lang w:val="sr-Latn-RS"/>
        </w:rPr>
        <w:t xml:space="preserve"> uče</w:t>
      </w:r>
      <w:r w:rsidR="00151A4C" w:rsidRPr="00425127">
        <w:rPr>
          <w:rFonts w:ascii="Verdana" w:hAnsi="Verdana" w:cstheme="minorHAnsi"/>
          <w:sz w:val="20"/>
          <w:szCs w:val="20"/>
          <w:lang w:val="sr-Latn-RS"/>
        </w:rPr>
        <w:t>š</w:t>
      </w:r>
      <w:r w:rsidR="00D46E56" w:rsidRPr="00425127">
        <w:rPr>
          <w:rFonts w:ascii="Verdana" w:hAnsi="Verdana" w:cstheme="minorHAnsi"/>
          <w:sz w:val="20"/>
          <w:szCs w:val="20"/>
          <w:lang w:val="sr-Latn-RS"/>
        </w:rPr>
        <w:t xml:space="preserve">ćem </w:t>
      </w:r>
      <w:r w:rsidR="00B453B5">
        <w:rPr>
          <w:rFonts w:ascii="Verdana" w:hAnsi="Verdana" w:cstheme="minorHAnsi"/>
          <w:sz w:val="20"/>
          <w:szCs w:val="20"/>
          <w:lang w:val="sr-Latn-RS"/>
        </w:rPr>
        <w:t xml:space="preserve">u ukupnom kapitalu </w:t>
      </w:r>
      <w:r w:rsidR="00D46E56" w:rsidRPr="00425127">
        <w:rPr>
          <w:rFonts w:ascii="Verdana" w:hAnsi="Verdana" w:cstheme="minorHAnsi"/>
          <w:sz w:val="20"/>
          <w:szCs w:val="20"/>
          <w:lang w:val="sr-Latn-RS"/>
        </w:rPr>
        <w:t xml:space="preserve">od </w:t>
      </w:r>
      <w:r w:rsidR="007A2205">
        <w:rPr>
          <w:rFonts w:ascii="Verdana" w:hAnsi="Verdana" w:cstheme="minorHAnsi"/>
          <w:sz w:val="20"/>
          <w:szCs w:val="20"/>
          <w:lang w:val="sr-Latn-RS"/>
        </w:rPr>
        <w:t>63,82</w:t>
      </w:r>
      <w:r w:rsidR="00FF27CC" w:rsidRPr="00425127">
        <w:rPr>
          <w:rFonts w:ascii="Verdana" w:hAnsi="Verdana" w:cstheme="minorHAnsi"/>
          <w:sz w:val="20"/>
          <w:szCs w:val="20"/>
          <w:lang w:val="sr-Latn-RS"/>
        </w:rPr>
        <w:t xml:space="preserve">%, </w:t>
      </w:r>
      <w:r w:rsidR="004F0A0F" w:rsidRPr="00425127">
        <w:rPr>
          <w:rFonts w:ascii="Verdana" w:hAnsi="Verdana" w:cstheme="minorHAnsi"/>
          <w:sz w:val="20"/>
          <w:szCs w:val="20"/>
          <w:lang w:val="sr-Latn-RS"/>
        </w:rPr>
        <w:t xml:space="preserve">na drugom </w:t>
      </w:r>
      <w:proofErr w:type="spellStart"/>
      <w:r w:rsidR="004F0A0F" w:rsidRPr="00425127">
        <w:rPr>
          <w:rFonts w:ascii="Verdana" w:hAnsi="Verdana" w:cstheme="minorHAnsi"/>
          <w:sz w:val="20"/>
          <w:szCs w:val="20"/>
          <w:lang w:val="sr-Latn-RS"/>
        </w:rPr>
        <w:t>mjestu</w:t>
      </w:r>
      <w:proofErr w:type="spellEnd"/>
      <w:r w:rsidR="004F0A0F" w:rsidRPr="00425127">
        <w:rPr>
          <w:rFonts w:ascii="Verdana" w:hAnsi="Verdana" w:cstheme="minorHAnsi"/>
          <w:sz w:val="20"/>
          <w:szCs w:val="20"/>
          <w:lang w:val="sr-Latn-RS"/>
        </w:rPr>
        <w:t xml:space="preserve"> se nalazi </w:t>
      </w:r>
      <w:r w:rsidR="00FF27CC" w:rsidRPr="00425127">
        <w:rPr>
          <w:rFonts w:ascii="Verdana" w:hAnsi="Verdana" w:cstheme="minorHAnsi"/>
          <w:sz w:val="20"/>
          <w:szCs w:val="20"/>
          <w:lang w:val="sr-Latn-RS"/>
        </w:rPr>
        <w:t>neraspore</w:t>
      </w:r>
      <w:r w:rsidRPr="00425127">
        <w:rPr>
          <w:rFonts w:ascii="Verdana" w:hAnsi="Verdana" w:cstheme="minorHAnsi"/>
          <w:sz w:val="20"/>
          <w:szCs w:val="20"/>
          <w:lang w:val="sr-Latn-RS"/>
        </w:rPr>
        <w:t>đ</w:t>
      </w:r>
      <w:r w:rsidR="00FF27CC" w:rsidRPr="00425127">
        <w:rPr>
          <w:rFonts w:ascii="Verdana" w:hAnsi="Verdana" w:cstheme="minorHAnsi"/>
          <w:sz w:val="20"/>
          <w:szCs w:val="20"/>
          <w:lang w:val="sr-Latn-RS"/>
        </w:rPr>
        <w:t xml:space="preserve">ena dobit </w:t>
      </w:r>
      <w:r w:rsidR="003D375C">
        <w:rPr>
          <w:rFonts w:ascii="Verdana" w:hAnsi="Verdana" w:cstheme="minorHAnsi"/>
          <w:sz w:val="20"/>
          <w:szCs w:val="20"/>
          <w:lang w:val="sr-Latn-RS"/>
        </w:rPr>
        <w:t xml:space="preserve">apsolutne </w:t>
      </w:r>
      <w:proofErr w:type="spellStart"/>
      <w:r w:rsidR="003D375C">
        <w:rPr>
          <w:rFonts w:ascii="Verdana" w:hAnsi="Verdana" w:cstheme="minorHAnsi"/>
          <w:sz w:val="20"/>
          <w:szCs w:val="20"/>
          <w:lang w:val="sr-Latn-RS"/>
        </w:rPr>
        <w:t>vrijednosti</w:t>
      </w:r>
      <w:proofErr w:type="spellEnd"/>
      <w:r w:rsidR="00FF27CC" w:rsidRPr="00425127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7A2205">
        <w:rPr>
          <w:rFonts w:ascii="Verdana" w:hAnsi="Verdana" w:cstheme="minorHAnsi"/>
          <w:sz w:val="20"/>
          <w:szCs w:val="20"/>
          <w:lang w:val="sr-Latn-RS"/>
        </w:rPr>
        <w:t>515</w:t>
      </w:r>
      <w:r w:rsidR="00FF27CC" w:rsidRPr="00425127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FF27CC" w:rsidRPr="00425127">
        <w:rPr>
          <w:rFonts w:ascii="Verdana" w:hAnsi="Verdana" w:cstheme="minorHAnsi"/>
          <w:sz w:val="20"/>
          <w:szCs w:val="20"/>
          <w:lang w:val="sr-Latn-RS"/>
        </w:rPr>
        <w:t>hilj</w:t>
      </w:r>
      <w:proofErr w:type="spellEnd"/>
      <w:r w:rsidR="004F0A0F" w:rsidRPr="00425127">
        <w:rPr>
          <w:rFonts w:ascii="Verdana" w:hAnsi="Verdana" w:cstheme="minorHAnsi"/>
          <w:sz w:val="20"/>
          <w:szCs w:val="20"/>
          <w:lang w:val="sr-Latn-RS"/>
        </w:rPr>
        <w:t>.</w:t>
      </w:r>
      <w:r w:rsidR="00FF27CC" w:rsidRPr="00425127">
        <w:rPr>
          <w:rFonts w:ascii="Verdana" w:hAnsi="Verdana" w:cstheme="minorHAnsi"/>
          <w:sz w:val="20"/>
          <w:szCs w:val="20"/>
          <w:lang w:val="sr-Latn-RS"/>
        </w:rPr>
        <w:t xml:space="preserve"> KM </w:t>
      </w:r>
      <w:r w:rsidR="003D375C">
        <w:rPr>
          <w:rFonts w:ascii="Verdana" w:hAnsi="Verdana" w:cstheme="minorHAnsi"/>
          <w:sz w:val="20"/>
          <w:szCs w:val="20"/>
          <w:lang w:val="sr-Latn-RS"/>
        </w:rPr>
        <w:t xml:space="preserve">i učešćem u ukupnom kapitalu </w:t>
      </w:r>
      <w:r w:rsidR="00D46E56" w:rsidRPr="00425127">
        <w:rPr>
          <w:rFonts w:ascii="Verdana" w:hAnsi="Verdana" w:cstheme="minorHAnsi"/>
          <w:sz w:val="20"/>
          <w:szCs w:val="20"/>
          <w:lang w:val="sr-Latn-RS"/>
        </w:rPr>
        <w:t xml:space="preserve">od </w:t>
      </w:r>
      <w:r w:rsidR="007A2205">
        <w:rPr>
          <w:rFonts w:ascii="Verdana" w:hAnsi="Verdana" w:cstheme="minorHAnsi"/>
          <w:sz w:val="20"/>
          <w:szCs w:val="20"/>
          <w:lang w:val="sr-Latn-RS"/>
        </w:rPr>
        <w:t>32,86</w:t>
      </w:r>
      <w:r w:rsidRPr="00425127">
        <w:rPr>
          <w:rFonts w:ascii="Verdana" w:hAnsi="Verdana" w:cstheme="minorHAnsi"/>
          <w:sz w:val="20"/>
          <w:szCs w:val="20"/>
          <w:lang w:val="sr-Latn-RS"/>
        </w:rPr>
        <w:t>%</w:t>
      </w:r>
      <w:r w:rsidR="00B0799A" w:rsidRPr="00425127">
        <w:rPr>
          <w:rFonts w:ascii="Verdana" w:hAnsi="Verdana" w:cstheme="minorHAnsi"/>
          <w:sz w:val="20"/>
          <w:szCs w:val="20"/>
          <w:lang w:val="sr-Latn-RS"/>
        </w:rPr>
        <w:t>,</w:t>
      </w:r>
      <w:r w:rsidRPr="00425127">
        <w:rPr>
          <w:rFonts w:ascii="Verdana" w:hAnsi="Verdana" w:cstheme="minorHAnsi"/>
          <w:sz w:val="20"/>
          <w:szCs w:val="20"/>
          <w:lang w:val="sr-Latn-RS"/>
        </w:rPr>
        <w:t xml:space="preserve"> te zakonske rezerve </w:t>
      </w:r>
      <w:r w:rsidR="003D375C">
        <w:rPr>
          <w:rFonts w:ascii="Verdana" w:hAnsi="Verdana" w:cstheme="minorHAnsi"/>
          <w:sz w:val="20"/>
          <w:szCs w:val="20"/>
          <w:lang w:val="sr-Latn-RS"/>
        </w:rPr>
        <w:t xml:space="preserve">apsolutne </w:t>
      </w:r>
      <w:proofErr w:type="spellStart"/>
      <w:r w:rsidR="003D375C">
        <w:rPr>
          <w:rFonts w:ascii="Verdana" w:hAnsi="Verdana" w:cstheme="minorHAnsi"/>
          <w:sz w:val="20"/>
          <w:szCs w:val="20"/>
          <w:lang w:val="sr-Latn-RS"/>
        </w:rPr>
        <w:t>vrijednosti</w:t>
      </w:r>
      <w:proofErr w:type="spellEnd"/>
      <w:r w:rsidR="007A2205">
        <w:rPr>
          <w:rFonts w:ascii="Verdana" w:hAnsi="Verdana" w:cstheme="minorHAnsi"/>
          <w:sz w:val="20"/>
          <w:szCs w:val="20"/>
          <w:lang w:val="sr-Latn-RS"/>
        </w:rPr>
        <w:t xml:space="preserve"> 52 </w:t>
      </w:r>
      <w:proofErr w:type="spellStart"/>
      <w:r w:rsidRPr="00425127">
        <w:rPr>
          <w:rFonts w:ascii="Verdana" w:hAnsi="Verdana" w:cstheme="minorHAnsi"/>
          <w:sz w:val="20"/>
          <w:szCs w:val="20"/>
          <w:lang w:val="sr-Latn-RS"/>
        </w:rPr>
        <w:t>hilj</w:t>
      </w:r>
      <w:proofErr w:type="spellEnd"/>
      <w:r w:rsidRPr="00425127">
        <w:rPr>
          <w:rFonts w:ascii="Verdana" w:hAnsi="Verdana" w:cstheme="minorHAnsi"/>
          <w:sz w:val="20"/>
          <w:szCs w:val="20"/>
          <w:lang w:val="sr-Latn-RS"/>
        </w:rPr>
        <w:t xml:space="preserve">. KM </w:t>
      </w:r>
      <w:r w:rsidR="003D375C">
        <w:rPr>
          <w:rFonts w:ascii="Verdana" w:hAnsi="Verdana" w:cstheme="minorHAnsi"/>
          <w:sz w:val="20"/>
          <w:szCs w:val="20"/>
          <w:lang w:val="sr-Latn-RS"/>
        </w:rPr>
        <w:t xml:space="preserve">i </w:t>
      </w:r>
      <w:r w:rsidR="00D46E56" w:rsidRPr="00425127">
        <w:rPr>
          <w:rFonts w:ascii="Verdana" w:hAnsi="Verdana" w:cstheme="minorHAnsi"/>
          <w:sz w:val="20"/>
          <w:szCs w:val="20"/>
          <w:lang w:val="sr-Latn-RS"/>
        </w:rPr>
        <w:t xml:space="preserve">učešćem u ukupnom kapitalu od </w:t>
      </w:r>
      <w:r w:rsidR="007A2205">
        <w:rPr>
          <w:rFonts w:ascii="Verdana" w:hAnsi="Verdana" w:cstheme="minorHAnsi"/>
          <w:sz w:val="20"/>
          <w:szCs w:val="20"/>
          <w:lang w:val="sr-Latn-RS"/>
        </w:rPr>
        <w:t>3,32</w:t>
      </w:r>
      <w:r w:rsidRPr="00425127">
        <w:rPr>
          <w:rFonts w:ascii="Verdana" w:hAnsi="Verdana" w:cstheme="minorHAnsi"/>
          <w:sz w:val="20"/>
          <w:szCs w:val="20"/>
          <w:lang w:val="sr-Latn-RS"/>
        </w:rPr>
        <w:t>%.</w:t>
      </w:r>
    </w:p>
    <w:p w14:paraId="6028A2A7" w14:textId="488FB978" w:rsidR="00D95260" w:rsidRPr="00425127" w:rsidRDefault="00D46E56" w:rsidP="00CB479B">
      <w:pPr>
        <w:spacing w:before="240"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425127">
        <w:rPr>
          <w:rFonts w:ascii="Verdana" w:hAnsi="Verdana" w:cstheme="minorHAnsi"/>
          <w:sz w:val="20"/>
          <w:szCs w:val="20"/>
          <w:lang w:val="sr-Latn-RS"/>
        </w:rPr>
        <w:t>U toku 202</w:t>
      </w:r>
      <w:r w:rsidR="007A2205">
        <w:rPr>
          <w:rFonts w:ascii="Verdana" w:hAnsi="Verdana" w:cstheme="minorHAnsi"/>
          <w:sz w:val="20"/>
          <w:szCs w:val="20"/>
          <w:lang w:val="sr-Latn-RS"/>
        </w:rPr>
        <w:t>4</w:t>
      </w:r>
      <w:r w:rsidRPr="00425127">
        <w:rPr>
          <w:rFonts w:ascii="Verdana" w:hAnsi="Verdana" w:cstheme="minorHAnsi"/>
          <w:sz w:val="20"/>
          <w:szCs w:val="20"/>
          <w:lang w:val="sr-Latn-RS"/>
        </w:rPr>
        <w:t xml:space="preserve"> godine</w:t>
      </w:r>
      <w:r w:rsidR="00D95260" w:rsidRPr="00425127">
        <w:rPr>
          <w:rFonts w:ascii="Verdana" w:hAnsi="Verdana" w:cstheme="minorHAnsi"/>
          <w:sz w:val="20"/>
          <w:szCs w:val="20"/>
          <w:lang w:val="sr-Latn-RS"/>
        </w:rPr>
        <w:t>,</w:t>
      </w:r>
      <w:r w:rsidRPr="00425127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670FA5" w:rsidRPr="00425127">
        <w:rPr>
          <w:rFonts w:ascii="Verdana" w:hAnsi="Verdana" w:cstheme="minorHAnsi"/>
          <w:sz w:val="20"/>
          <w:szCs w:val="20"/>
          <w:lang w:val="sr-Latn-RS"/>
        </w:rPr>
        <w:t>odlukom Skupštine Društva</w:t>
      </w:r>
      <w:r w:rsidR="00D95260" w:rsidRPr="00425127">
        <w:rPr>
          <w:rFonts w:ascii="Verdana" w:hAnsi="Verdana" w:cstheme="minorHAnsi"/>
          <w:sz w:val="20"/>
          <w:szCs w:val="20"/>
          <w:lang w:val="sr-Latn-RS"/>
        </w:rPr>
        <w:t xml:space="preserve"> ostvarena </w:t>
      </w:r>
      <w:proofErr w:type="spellStart"/>
      <w:r w:rsidR="00D95260" w:rsidRPr="00425127">
        <w:rPr>
          <w:rFonts w:ascii="Verdana" w:hAnsi="Verdana" w:cstheme="minorHAnsi"/>
          <w:sz w:val="20"/>
          <w:szCs w:val="20"/>
          <w:lang w:val="sr-Latn-RS"/>
        </w:rPr>
        <w:t>dobitit</w:t>
      </w:r>
      <w:proofErr w:type="spellEnd"/>
      <w:r w:rsidR="00D95260" w:rsidRPr="00425127">
        <w:rPr>
          <w:rFonts w:ascii="Verdana" w:hAnsi="Verdana" w:cstheme="minorHAnsi"/>
          <w:sz w:val="20"/>
          <w:szCs w:val="20"/>
          <w:lang w:val="sr-Latn-RS"/>
        </w:rPr>
        <w:t xml:space="preserve"> iz 202</w:t>
      </w:r>
      <w:r w:rsidR="007A2205">
        <w:rPr>
          <w:rFonts w:ascii="Verdana" w:hAnsi="Verdana" w:cstheme="minorHAnsi"/>
          <w:sz w:val="20"/>
          <w:szCs w:val="20"/>
          <w:lang w:val="sr-Latn-RS"/>
        </w:rPr>
        <w:t>3</w:t>
      </w:r>
      <w:r w:rsidR="00D95260" w:rsidRPr="00425127">
        <w:rPr>
          <w:rFonts w:ascii="Verdana" w:hAnsi="Verdana" w:cstheme="minorHAnsi"/>
          <w:sz w:val="20"/>
          <w:szCs w:val="20"/>
          <w:lang w:val="sr-Latn-RS"/>
        </w:rPr>
        <w:t xml:space="preserve">. godine  je raspoređena u zakonske rezerve i </w:t>
      </w:r>
      <w:r w:rsidR="00670FA5" w:rsidRPr="00425127">
        <w:rPr>
          <w:rFonts w:ascii="Verdana" w:hAnsi="Verdana" w:cstheme="minorHAnsi"/>
          <w:sz w:val="20"/>
          <w:szCs w:val="20"/>
          <w:lang w:val="sr-Latn-RS"/>
        </w:rPr>
        <w:t>ispla</w:t>
      </w:r>
      <w:r w:rsidR="00D95260" w:rsidRPr="00425127">
        <w:rPr>
          <w:rFonts w:ascii="Verdana" w:hAnsi="Verdana" w:cstheme="minorHAnsi"/>
          <w:sz w:val="20"/>
          <w:szCs w:val="20"/>
          <w:lang w:val="sr-Latn-RS"/>
        </w:rPr>
        <w:t>tu</w:t>
      </w:r>
      <w:r w:rsidR="00670FA5" w:rsidRPr="00425127">
        <w:rPr>
          <w:rFonts w:ascii="Verdana" w:hAnsi="Verdana" w:cstheme="minorHAnsi"/>
          <w:sz w:val="20"/>
          <w:szCs w:val="20"/>
          <w:lang w:val="sr-Latn-RS"/>
        </w:rPr>
        <w:t xml:space="preserve"> dividend</w:t>
      </w:r>
      <w:r w:rsidR="00D95260" w:rsidRPr="00425127">
        <w:rPr>
          <w:rFonts w:ascii="Verdana" w:hAnsi="Verdana" w:cstheme="minorHAnsi"/>
          <w:sz w:val="20"/>
          <w:szCs w:val="20"/>
          <w:lang w:val="sr-Latn-RS"/>
        </w:rPr>
        <w:t>e osnivačinma.</w:t>
      </w:r>
    </w:p>
    <w:p w14:paraId="1AE6A604" w14:textId="773F652E" w:rsidR="00D95260" w:rsidRPr="00425127" w:rsidRDefault="00930183" w:rsidP="00D95260">
      <w:pPr>
        <w:spacing w:before="240"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  <w:r>
        <w:rPr>
          <w:rFonts w:ascii="Verdana" w:hAnsi="Verdana" w:cstheme="minorHAnsi"/>
          <w:sz w:val="20"/>
          <w:szCs w:val="20"/>
          <w:lang w:val="sr-Latn-RS"/>
        </w:rPr>
        <w:t>U</w:t>
      </w:r>
      <w:r w:rsidR="00D95260" w:rsidRPr="00425127">
        <w:rPr>
          <w:rFonts w:ascii="Verdana" w:hAnsi="Verdana" w:cstheme="minorHAnsi"/>
          <w:sz w:val="20"/>
          <w:szCs w:val="20"/>
          <w:lang w:val="sr-Latn-RS"/>
        </w:rPr>
        <w:t>kupan kapital je u odnosu na poslovnu 202</w:t>
      </w:r>
      <w:r>
        <w:rPr>
          <w:rFonts w:ascii="Verdana" w:hAnsi="Verdana" w:cstheme="minorHAnsi"/>
          <w:sz w:val="20"/>
          <w:szCs w:val="20"/>
          <w:lang w:val="sr-Latn-RS"/>
        </w:rPr>
        <w:t>3</w:t>
      </w:r>
      <w:r w:rsidR="00D95260" w:rsidRPr="00425127">
        <w:rPr>
          <w:rFonts w:ascii="Verdana" w:hAnsi="Verdana" w:cstheme="minorHAnsi"/>
          <w:sz w:val="20"/>
          <w:szCs w:val="20"/>
          <w:lang w:val="sr-Latn-RS"/>
        </w:rPr>
        <w:t xml:space="preserve">. godinu povećan za </w:t>
      </w:r>
      <w:r w:rsidR="00DF3B20" w:rsidRPr="00425127">
        <w:rPr>
          <w:rFonts w:ascii="Verdana" w:hAnsi="Verdana" w:cstheme="minorHAnsi"/>
          <w:sz w:val="20"/>
          <w:szCs w:val="20"/>
          <w:lang w:val="sr-Latn-RS"/>
        </w:rPr>
        <w:t xml:space="preserve">(+) </w:t>
      </w:r>
      <w:r>
        <w:rPr>
          <w:rFonts w:ascii="Verdana" w:hAnsi="Verdana" w:cstheme="minorHAnsi"/>
          <w:sz w:val="20"/>
          <w:szCs w:val="20"/>
          <w:lang w:val="sr-Latn-RS"/>
        </w:rPr>
        <w:t>174</w:t>
      </w:r>
      <w:r w:rsidR="00EA2EE6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D95260" w:rsidRPr="00425127">
        <w:rPr>
          <w:rFonts w:ascii="Verdana" w:hAnsi="Verdana" w:cstheme="minorHAnsi"/>
          <w:sz w:val="20"/>
          <w:szCs w:val="20"/>
          <w:lang w:val="sr-Latn-RS"/>
        </w:rPr>
        <w:t>hilj</w:t>
      </w:r>
      <w:proofErr w:type="spellEnd"/>
      <w:r w:rsidR="00D95260" w:rsidRPr="00425127">
        <w:rPr>
          <w:rFonts w:ascii="Verdana" w:hAnsi="Verdana" w:cstheme="minorHAnsi"/>
          <w:sz w:val="20"/>
          <w:szCs w:val="20"/>
          <w:lang w:val="sr-Latn-RS"/>
        </w:rPr>
        <w:t>. KM, odnosno</w:t>
      </w:r>
      <w:r w:rsidR="00DF3B20" w:rsidRPr="00425127">
        <w:rPr>
          <w:rFonts w:ascii="Verdana" w:hAnsi="Verdana" w:cstheme="minorHAnsi"/>
          <w:sz w:val="20"/>
          <w:szCs w:val="20"/>
          <w:lang w:val="sr-Latn-RS"/>
        </w:rPr>
        <w:t xml:space="preserve"> (+) </w:t>
      </w:r>
      <w:r>
        <w:rPr>
          <w:rFonts w:ascii="Verdana" w:hAnsi="Verdana" w:cstheme="minorHAnsi"/>
          <w:sz w:val="20"/>
          <w:szCs w:val="20"/>
          <w:lang w:val="sr-Latn-RS"/>
        </w:rPr>
        <w:t>12</w:t>
      </w:r>
      <w:r w:rsidR="00B453B5">
        <w:rPr>
          <w:rFonts w:ascii="Verdana" w:hAnsi="Verdana" w:cstheme="minorHAnsi"/>
          <w:sz w:val="20"/>
          <w:szCs w:val="20"/>
          <w:lang w:val="sr-Latn-RS"/>
        </w:rPr>
        <w:t>,4</w:t>
      </w:r>
      <w:r w:rsidR="00740A04">
        <w:rPr>
          <w:rFonts w:ascii="Verdana" w:hAnsi="Verdana" w:cstheme="minorHAnsi"/>
          <w:sz w:val="20"/>
          <w:szCs w:val="20"/>
          <w:lang w:val="sr-Latn-RS"/>
        </w:rPr>
        <w:t xml:space="preserve">8 </w:t>
      </w:r>
      <w:proofErr w:type="spellStart"/>
      <w:r>
        <w:rPr>
          <w:rFonts w:ascii="Verdana" w:hAnsi="Verdana" w:cstheme="minorHAnsi"/>
          <w:sz w:val="20"/>
          <w:szCs w:val="20"/>
          <w:lang w:val="sr-Latn-RS"/>
        </w:rPr>
        <w:t>p.p</w:t>
      </w:r>
      <w:proofErr w:type="spellEnd"/>
      <w:r w:rsidR="00D95260" w:rsidRPr="00425127">
        <w:rPr>
          <w:rFonts w:ascii="Verdana" w:hAnsi="Verdana" w:cstheme="minorHAnsi"/>
          <w:sz w:val="20"/>
          <w:szCs w:val="20"/>
          <w:lang w:val="sr-Latn-RS"/>
        </w:rPr>
        <w:t>. Na povećanje je uticala ostvarena dobit tekuće godine</w:t>
      </w:r>
      <w:r w:rsidR="002961D7">
        <w:rPr>
          <w:rFonts w:ascii="Verdana" w:hAnsi="Verdana" w:cstheme="minorHAnsi"/>
          <w:sz w:val="20"/>
          <w:szCs w:val="20"/>
          <w:lang w:val="sr-Latn-RS"/>
        </w:rPr>
        <w:t xml:space="preserve"> i izdvojene regulatorne rezerve iz dobiti ostvarene u 2023. godini.</w:t>
      </w:r>
    </w:p>
    <w:p w14:paraId="785CCB0D" w14:textId="77777777" w:rsidR="00D95260" w:rsidRPr="00425127" w:rsidRDefault="00D95260" w:rsidP="0087531F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RS"/>
        </w:rPr>
      </w:pPr>
    </w:p>
    <w:p w14:paraId="6104B1B4" w14:textId="0C315B79" w:rsidR="003B0261" w:rsidRPr="00425127" w:rsidRDefault="003B0261" w:rsidP="0087531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sr-Latn-RS"/>
        </w:rPr>
      </w:pPr>
      <w:bookmarkStart w:id="12" w:name="_Hlk161748211"/>
      <w:r w:rsidRPr="00425127">
        <w:rPr>
          <w:rFonts w:cs="Arial"/>
          <w:sz w:val="20"/>
          <w:szCs w:val="20"/>
          <w:lang w:val="sr-Latn-RS"/>
        </w:rPr>
        <w:t>→</w:t>
      </w:r>
      <w:r w:rsidRPr="00425127">
        <w:rPr>
          <w:rFonts w:ascii="Verdana" w:hAnsi="Verdana" w:cs="Arial"/>
          <w:sz w:val="20"/>
          <w:szCs w:val="20"/>
          <w:lang w:val="sr-Latn-RS"/>
        </w:rPr>
        <w:t xml:space="preserve"> </w:t>
      </w:r>
      <w:r w:rsidR="0087531F" w:rsidRPr="00425127">
        <w:rPr>
          <w:rFonts w:ascii="Verdana" w:hAnsi="Verdana" w:cs="Arial"/>
          <w:b/>
          <w:sz w:val="20"/>
          <w:szCs w:val="20"/>
          <w:lang w:val="sr-Latn-RS"/>
        </w:rPr>
        <w:t xml:space="preserve">Struktura </w:t>
      </w:r>
      <w:r w:rsidR="00EA60D7" w:rsidRPr="00425127">
        <w:rPr>
          <w:rFonts w:ascii="Verdana" w:hAnsi="Verdana" w:cs="Arial"/>
          <w:b/>
          <w:sz w:val="20"/>
          <w:szCs w:val="20"/>
          <w:lang w:val="sr-Latn-RS"/>
        </w:rPr>
        <w:t>k</w:t>
      </w:r>
      <w:r w:rsidRPr="00425127">
        <w:rPr>
          <w:rFonts w:ascii="Verdana" w:hAnsi="Verdana" w:cs="Arial"/>
          <w:b/>
          <w:sz w:val="20"/>
          <w:szCs w:val="20"/>
          <w:lang w:val="sr-Latn-RS"/>
        </w:rPr>
        <w:t>reditn</w:t>
      </w:r>
      <w:r w:rsidR="00EA60D7" w:rsidRPr="00425127">
        <w:rPr>
          <w:rFonts w:ascii="Verdana" w:hAnsi="Verdana" w:cs="Arial"/>
          <w:b/>
          <w:sz w:val="20"/>
          <w:szCs w:val="20"/>
          <w:lang w:val="sr-Latn-RS"/>
        </w:rPr>
        <w:t>og</w:t>
      </w:r>
      <w:r w:rsidRPr="00425127">
        <w:rPr>
          <w:rFonts w:ascii="Verdana" w:hAnsi="Verdana" w:cs="Arial"/>
          <w:b/>
          <w:sz w:val="20"/>
          <w:szCs w:val="20"/>
          <w:lang w:val="sr-Latn-RS"/>
        </w:rPr>
        <w:t xml:space="preserve"> portfoli</w:t>
      </w:r>
      <w:r w:rsidR="00EA60D7" w:rsidRPr="00425127">
        <w:rPr>
          <w:rFonts w:ascii="Verdana" w:hAnsi="Verdana" w:cs="Arial"/>
          <w:b/>
          <w:sz w:val="20"/>
          <w:szCs w:val="20"/>
          <w:lang w:val="sr-Latn-RS"/>
        </w:rPr>
        <w:t>ja</w:t>
      </w:r>
    </w:p>
    <w:bookmarkEnd w:id="12"/>
    <w:p w14:paraId="780A5620" w14:textId="77777777" w:rsidR="0087531F" w:rsidRDefault="0087531F" w:rsidP="0087531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sr-Latn-RS"/>
        </w:rPr>
      </w:pPr>
    </w:p>
    <w:p w14:paraId="1E811A45" w14:textId="6319F75C" w:rsidR="00E61D8E" w:rsidRDefault="00E61D8E" w:rsidP="00E61D8E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r>
        <w:rPr>
          <w:rFonts w:ascii="Verdana" w:hAnsi="Verdana" w:cs="Arial"/>
          <w:sz w:val="20"/>
          <w:szCs w:val="20"/>
          <w:lang w:val="sr-Latn-RS"/>
        </w:rPr>
        <w:t>Ukupan kreditni</w:t>
      </w:r>
      <w:r w:rsidR="00F76E9E">
        <w:rPr>
          <w:rFonts w:ascii="Verdana" w:hAnsi="Verdana" w:cs="Arial"/>
          <w:sz w:val="20"/>
          <w:szCs w:val="20"/>
          <w:lang w:val="sr-Latn-RS"/>
        </w:rPr>
        <w:t xml:space="preserve"> portfolio, prikazan u narednoj tabeli, </w:t>
      </w:r>
      <w:r>
        <w:rPr>
          <w:rFonts w:ascii="Verdana" w:hAnsi="Verdana" w:cs="Arial"/>
          <w:sz w:val="20"/>
          <w:szCs w:val="20"/>
          <w:lang w:val="sr-Latn-RS"/>
        </w:rPr>
        <w:t xml:space="preserve">apsolutne </w:t>
      </w:r>
      <w:proofErr w:type="spellStart"/>
      <w:r>
        <w:rPr>
          <w:rFonts w:ascii="Verdana" w:hAnsi="Verdana" w:cs="Arial"/>
          <w:sz w:val="20"/>
          <w:szCs w:val="20"/>
          <w:lang w:val="sr-Latn-RS"/>
        </w:rPr>
        <w:t>vrijednosti</w:t>
      </w:r>
      <w:proofErr w:type="spellEnd"/>
      <w:r>
        <w:rPr>
          <w:rFonts w:ascii="Verdana" w:hAnsi="Verdana" w:cs="Arial"/>
          <w:sz w:val="20"/>
          <w:szCs w:val="20"/>
          <w:lang w:val="sr-Latn-RS"/>
        </w:rPr>
        <w:t xml:space="preserve"> </w:t>
      </w:r>
      <w:r w:rsidR="00F76E9E">
        <w:rPr>
          <w:rFonts w:ascii="Verdana" w:hAnsi="Verdana" w:cs="Arial"/>
          <w:sz w:val="20"/>
          <w:szCs w:val="20"/>
          <w:lang w:val="sr-Latn-RS"/>
        </w:rPr>
        <w:t xml:space="preserve">10.343 </w:t>
      </w:r>
      <w:proofErr w:type="spellStart"/>
      <w:r w:rsidR="00F76E9E">
        <w:rPr>
          <w:rFonts w:ascii="Verdana" w:hAnsi="Verdana" w:cs="Arial"/>
          <w:sz w:val="20"/>
          <w:szCs w:val="20"/>
          <w:lang w:val="sr-Latn-RS"/>
        </w:rPr>
        <w:t>hilj</w:t>
      </w:r>
      <w:proofErr w:type="spellEnd"/>
      <w:r w:rsidR="00F76E9E">
        <w:rPr>
          <w:rFonts w:ascii="Verdana" w:hAnsi="Verdana" w:cs="Arial"/>
          <w:sz w:val="20"/>
          <w:szCs w:val="20"/>
          <w:lang w:val="sr-Latn-RS"/>
        </w:rPr>
        <w:t>.</w:t>
      </w:r>
      <w:r w:rsidRPr="00425127">
        <w:rPr>
          <w:rFonts w:ascii="Verdana" w:hAnsi="Verdana" w:cstheme="minorHAnsi"/>
          <w:sz w:val="20"/>
          <w:szCs w:val="20"/>
          <w:lang w:val="es-AR"/>
        </w:rPr>
        <w:t xml:space="preserve"> KM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rastao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F76E9E">
        <w:rPr>
          <w:rFonts w:ascii="Verdana" w:hAnsi="Verdana" w:cstheme="minorHAnsi"/>
          <w:sz w:val="20"/>
          <w:szCs w:val="20"/>
          <w:lang w:val="es-AR"/>
        </w:rPr>
        <w:t xml:space="preserve">je </w:t>
      </w:r>
      <w:r>
        <w:rPr>
          <w:rFonts w:ascii="Verdana" w:hAnsi="Verdana" w:cstheme="minorHAnsi"/>
          <w:sz w:val="20"/>
          <w:szCs w:val="20"/>
          <w:lang w:val="es-AR"/>
        </w:rPr>
        <w:t xml:space="preserve">u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odnosu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na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prethodnu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poslovnu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godin</w:t>
      </w:r>
      <w:r w:rsidR="009A0C96">
        <w:rPr>
          <w:rFonts w:ascii="Verdana" w:hAnsi="Verdana" w:cstheme="minorHAnsi"/>
          <w:sz w:val="20"/>
          <w:szCs w:val="20"/>
          <w:lang w:val="es-AR"/>
        </w:rPr>
        <w:t>u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, i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veći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 je u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apsolutnoj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za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 2.18</w:t>
      </w:r>
      <w:r w:rsidR="00F76E9E">
        <w:rPr>
          <w:rFonts w:ascii="Verdana" w:hAnsi="Verdana" w:cstheme="minorHAnsi"/>
          <w:sz w:val="20"/>
          <w:szCs w:val="20"/>
          <w:lang w:val="es-AR"/>
        </w:rPr>
        <w:t>0</w:t>
      </w:r>
      <w:r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hilj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. KM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odnosno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veći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 je </w:t>
      </w:r>
      <w:proofErr w:type="spellStart"/>
      <w:r>
        <w:rPr>
          <w:rFonts w:ascii="Verdana" w:hAnsi="Verdana" w:cstheme="minorHAnsi"/>
          <w:sz w:val="20"/>
          <w:szCs w:val="20"/>
          <w:lang w:val="es-AR"/>
        </w:rPr>
        <w:t>za</w:t>
      </w:r>
      <w:proofErr w:type="spellEnd"/>
      <w:r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F76E9E">
        <w:rPr>
          <w:rFonts w:ascii="Verdana" w:hAnsi="Verdana" w:cstheme="minorHAnsi"/>
          <w:sz w:val="20"/>
          <w:szCs w:val="20"/>
          <w:lang w:val="es-AR"/>
        </w:rPr>
        <w:t>26,70</w:t>
      </w:r>
      <w:r>
        <w:rPr>
          <w:rFonts w:ascii="Verdana" w:hAnsi="Verdana" w:cstheme="minorHAnsi"/>
          <w:sz w:val="20"/>
          <w:szCs w:val="20"/>
          <w:lang w:val="es-AR"/>
        </w:rPr>
        <w:t xml:space="preserve"> p.p. </w:t>
      </w:r>
    </w:p>
    <w:p w14:paraId="00333EB4" w14:textId="77777777" w:rsidR="00E61D8E" w:rsidRDefault="00E61D8E" w:rsidP="0087531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sr-Latn-RS"/>
        </w:rPr>
      </w:pPr>
    </w:p>
    <w:p w14:paraId="5B14A0BF" w14:textId="39772252" w:rsidR="003B0261" w:rsidRPr="00425127" w:rsidRDefault="00DF3B20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425127">
        <w:rPr>
          <w:rFonts w:ascii="Verdana" w:hAnsi="Verdana" w:cstheme="minorHAnsi"/>
          <w:sz w:val="20"/>
          <w:szCs w:val="20"/>
          <w:lang w:val="sr-Latn-RS"/>
        </w:rPr>
        <w:lastRenderedPageBreak/>
        <w:t>Procentualno</w:t>
      </w:r>
      <w:r w:rsidR="00E61D8E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8F2557">
        <w:rPr>
          <w:rFonts w:ascii="Verdana" w:hAnsi="Verdana" w:cstheme="minorHAnsi"/>
          <w:sz w:val="20"/>
          <w:szCs w:val="20"/>
          <w:lang w:val="sr-Latn-RS"/>
        </w:rPr>
        <w:t>89,42</w:t>
      </w:r>
      <w:r w:rsidR="00EA60D7" w:rsidRPr="00425127">
        <w:rPr>
          <w:rFonts w:ascii="Verdana" w:hAnsi="Verdana" w:cstheme="minorHAnsi"/>
          <w:sz w:val="20"/>
          <w:szCs w:val="20"/>
          <w:lang w:val="sr-Latn-RS"/>
        </w:rPr>
        <w:t xml:space="preserve">% kreditnog </w:t>
      </w:r>
      <w:proofErr w:type="spellStart"/>
      <w:r w:rsidR="00EA60D7" w:rsidRPr="00425127">
        <w:rPr>
          <w:rFonts w:ascii="Verdana" w:hAnsi="Verdana" w:cstheme="minorHAnsi"/>
          <w:sz w:val="20"/>
          <w:szCs w:val="20"/>
          <w:lang w:val="sr-Latn-RS"/>
        </w:rPr>
        <w:t>portfolia</w:t>
      </w:r>
      <w:proofErr w:type="spellEnd"/>
      <w:r w:rsidR="00EA60D7" w:rsidRPr="00425127">
        <w:rPr>
          <w:rFonts w:ascii="Verdana" w:hAnsi="Verdana" w:cstheme="minorHAnsi"/>
          <w:sz w:val="20"/>
          <w:szCs w:val="20"/>
          <w:lang w:val="sr-Latn-RS"/>
        </w:rPr>
        <w:t xml:space="preserve"> se odnosi n</w:t>
      </w:r>
      <w:r w:rsidR="005A0DFE" w:rsidRPr="00425127">
        <w:rPr>
          <w:rFonts w:ascii="Verdana" w:hAnsi="Verdana" w:cstheme="minorHAnsi"/>
          <w:sz w:val="20"/>
          <w:szCs w:val="20"/>
          <w:lang w:val="sr-Latn-RS"/>
        </w:rPr>
        <w:t>a plasiranje mikrokredita ciljnim</w:t>
      </w:r>
      <w:r w:rsidR="00EA60D7" w:rsidRPr="00425127">
        <w:rPr>
          <w:rFonts w:ascii="Verdana" w:hAnsi="Verdana" w:cstheme="minorHAnsi"/>
          <w:sz w:val="20"/>
          <w:szCs w:val="20"/>
          <w:lang w:val="sr-Latn-RS"/>
        </w:rPr>
        <w:t xml:space="preserve"> grup</w:t>
      </w:r>
      <w:r w:rsidR="005A0DFE" w:rsidRPr="00425127">
        <w:rPr>
          <w:rFonts w:ascii="Verdana" w:hAnsi="Verdana" w:cstheme="minorHAnsi"/>
          <w:sz w:val="20"/>
          <w:szCs w:val="20"/>
          <w:lang w:val="sr-Latn-RS"/>
        </w:rPr>
        <w:t>ama</w:t>
      </w:r>
      <w:r w:rsidR="00EA60D7" w:rsidRPr="00425127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5A0DFE" w:rsidRPr="00425127">
        <w:rPr>
          <w:rFonts w:ascii="Verdana" w:hAnsi="Verdana" w:cstheme="minorHAnsi"/>
          <w:sz w:val="20"/>
          <w:szCs w:val="20"/>
          <w:lang w:val="sr-Latn-RS"/>
        </w:rPr>
        <w:t>kao što su</w:t>
      </w:r>
      <w:r w:rsidR="00EA60D7" w:rsidRPr="00425127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79488E" w:rsidRPr="00777200">
        <w:rPr>
          <w:rFonts w:ascii="Verdana" w:hAnsi="Verdana" w:cs="Arial"/>
          <w:sz w:val="20"/>
          <w:szCs w:val="20"/>
          <w:shd w:val="clear" w:color="auto" w:fill="FFFFFF"/>
          <w:lang w:val="sr-Latn-RS"/>
        </w:rPr>
        <w:t>radno aktivno stanovništv</w:t>
      </w:r>
      <w:r w:rsidR="005A0DFE" w:rsidRPr="00777200">
        <w:rPr>
          <w:rFonts w:ascii="Verdana" w:hAnsi="Verdana" w:cs="Arial"/>
          <w:sz w:val="20"/>
          <w:szCs w:val="20"/>
          <w:shd w:val="clear" w:color="auto" w:fill="FFFFFF"/>
          <w:lang w:val="sr-Latn-RS"/>
        </w:rPr>
        <w:t>o</w:t>
      </w:r>
      <w:r w:rsidR="004A3F17" w:rsidRPr="00425127">
        <w:rPr>
          <w:rFonts w:ascii="Verdana" w:hAnsi="Verdana" w:cs="Arial"/>
          <w:sz w:val="20"/>
          <w:szCs w:val="20"/>
          <w:shd w:val="clear" w:color="auto" w:fill="FFFFFF"/>
          <w:lang w:val="sr-Cyrl-BA"/>
        </w:rPr>
        <w:t>,</w:t>
      </w:r>
      <w:r w:rsidR="0079488E" w:rsidRPr="00777200">
        <w:rPr>
          <w:rFonts w:ascii="Verdana" w:hAnsi="Verdana" w:cs="Arial"/>
          <w:sz w:val="20"/>
          <w:szCs w:val="20"/>
          <w:shd w:val="clear" w:color="auto" w:fill="FFFFFF"/>
          <w:lang w:val="sr-Latn-RS"/>
        </w:rPr>
        <w:t xml:space="preserve"> penzioneri</w:t>
      </w:r>
      <w:r w:rsidR="004A3F17" w:rsidRPr="00425127">
        <w:rPr>
          <w:rFonts w:ascii="Verdana" w:hAnsi="Verdana" w:cs="Arial"/>
          <w:sz w:val="20"/>
          <w:szCs w:val="20"/>
          <w:shd w:val="clear" w:color="auto" w:fill="FFFFFF"/>
          <w:lang w:val="sr-Cyrl-BA"/>
        </w:rPr>
        <w:t xml:space="preserve"> </w:t>
      </w:r>
      <w:r w:rsidR="005A0DFE" w:rsidRPr="00777200">
        <w:rPr>
          <w:rFonts w:ascii="Verdana" w:hAnsi="Verdana" w:cs="Arial"/>
          <w:sz w:val="20"/>
          <w:szCs w:val="20"/>
          <w:shd w:val="clear" w:color="auto" w:fill="FFFFFF"/>
          <w:lang w:val="sr-Latn-RS"/>
        </w:rPr>
        <w:t xml:space="preserve"> i</w:t>
      </w:r>
      <w:r w:rsidR="0079488E" w:rsidRPr="00777200">
        <w:rPr>
          <w:rFonts w:ascii="Verdana" w:hAnsi="Verdana" w:cs="Arial"/>
          <w:sz w:val="20"/>
          <w:szCs w:val="20"/>
          <w:shd w:val="clear" w:color="auto" w:fill="FFFFFF"/>
          <w:lang w:val="sr-Latn-RS"/>
        </w:rPr>
        <w:t xml:space="preserve"> poljoprivredn</w:t>
      </w:r>
      <w:r w:rsidR="005A0DFE" w:rsidRPr="00777200">
        <w:rPr>
          <w:rFonts w:ascii="Verdana" w:hAnsi="Verdana" w:cs="Arial"/>
          <w:sz w:val="20"/>
          <w:szCs w:val="20"/>
          <w:shd w:val="clear" w:color="auto" w:fill="FFFFFF"/>
          <w:lang w:val="sr-Latn-RS"/>
        </w:rPr>
        <w:t>a</w:t>
      </w:r>
      <w:r w:rsidR="0079488E" w:rsidRPr="00777200">
        <w:rPr>
          <w:rFonts w:ascii="Verdana" w:hAnsi="Verdana" w:cs="Arial"/>
          <w:sz w:val="20"/>
          <w:szCs w:val="20"/>
          <w:shd w:val="clear" w:color="auto" w:fill="FFFFFF"/>
          <w:lang w:val="sr-Latn-RS"/>
        </w:rPr>
        <w:t xml:space="preserve"> gazdinstv</w:t>
      </w:r>
      <w:r w:rsidR="005A0DFE" w:rsidRPr="00777200">
        <w:rPr>
          <w:rFonts w:ascii="Verdana" w:hAnsi="Verdana" w:cs="Arial"/>
          <w:sz w:val="20"/>
          <w:szCs w:val="20"/>
          <w:shd w:val="clear" w:color="auto" w:fill="FFFFFF"/>
          <w:lang w:val="sr-Latn-RS"/>
        </w:rPr>
        <w:t>a</w:t>
      </w:r>
      <w:r w:rsidR="0079488E" w:rsidRPr="00777200">
        <w:rPr>
          <w:rFonts w:ascii="Verdana" w:hAnsi="Verdana" w:cs="Arial"/>
          <w:sz w:val="20"/>
          <w:szCs w:val="20"/>
          <w:shd w:val="clear" w:color="auto" w:fill="FFFFFF"/>
          <w:lang w:val="sr-Latn-RS"/>
        </w:rPr>
        <w:t>.</w:t>
      </w:r>
      <w:r w:rsidR="005A0DFE" w:rsidRPr="00777200">
        <w:rPr>
          <w:rFonts w:ascii="Verdana" w:hAnsi="Verdana" w:cs="Arial"/>
          <w:sz w:val="20"/>
          <w:szCs w:val="20"/>
          <w:shd w:val="clear" w:color="auto" w:fill="FFFFFF"/>
          <w:lang w:val="sr-Latn-RS"/>
        </w:rPr>
        <w:t xml:space="preserve"> </w:t>
      </w:r>
      <w:r w:rsidR="00EA60D7" w:rsidRPr="00425127">
        <w:rPr>
          <w:rFonts w:ascii="Verdana" w:hAnsi="Verdana" w:cstheme="minorHAnsi"/>
          <w:sz w:val="20"/>
          <w:szCs w:val="20"/>
          <w:lang w:val="sr-Latn-RS"/>
        </w:rPr>
        <w:t>Dok se p</w:t>
      </w:r>
      <w:r w:rsidR="00AC2914" w:rsidRPr="00425127">
        <w:rPr>
          <w:rFonts w:ascii="Verdana" w:hAnsi="Verdana" w:cstheme="minorHAnsi"/>
          <w:sz w:val="20"/>
          <w:szCs w:val="20"/>
          <w:lang w:val="sr-Cyrl-BA"/>
        </w:rPr>
        <w:t>е</w:t>
      </w:r>
      <w:proofErr w:type="spellStart"/>
      <w:r w:rsidR="00EA60D7" w:rsidRPr="00425127">
        <w:rPr>
          <w:rFonts w:ascii="Verdana" w:hAnsi="Verdana" w:cstheme="minorHAnsi"/>
          <w:sz w:val="20"/>
          <w:szCs w:val="20"/>
          <w:lang w:val="sr-Latn-RS"/>
        </w:rPr>
        <w:t>rostali</w:t>
      </w:r>
      <w:proofErr w:type="spellEnd"/>
      <w:r w:rsidR="00EA60D7" w:rsidRPr="00425127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EA60D7" w:rsidRPr="00425127">
        <w:rPr>
          <w:rFonts w:ascii="Verdana" w:hAnsi="Verdana" w:cstheme="minorHAnsi"/>
          <w:sz w:val="20"/>
          <w:szCs w:val="20"/>
          <w:lang w:val="sr-Latn-RS"/>
        </w:rPr>
        <w:t>dio</w:t>
      </w:r>
      <w:proofErr w:type="spellEnd"/>
      <w:r w:rsidR="00EA60D7" w:rsidRPr="00425127">
        <w:rPr>
          <w:rFonts w:ascii="Verdana" w:hAnsi="Verdana" w:cstheme="minorHAnsi"/>
          <w:sz w:val="20"/>
          <w:szCs w:val="20"/>
          <w:lang w:val="sr-Latn-RS"/>
        </w:rPr>
        <w:t xml:space="preserve"> od </w:t>
      </w:r>
      <w:r w:rsidR="008F2557">
        <w:rPr>
          <w:rFonts w:ascii="Verdana" w:hAnsi="Verdana" w:cstheme="minorHAnsi"/>
          <w:sz w:val="20"/>
          <w:szCs w:val="20"/>
          <w:lang w:val="sr-Latn-RS"/>
        </w:rPr>
        <w:t>10,58</w:t>
      </w:r>
      <w:r w:rsidR="00EA60D7" w:rsidRPr="00425127">
        <w:rPr>
          <w:rFonts w:ascii="Verdana" w:hAnsi="Verdana" w:cstheme="minorHAnsi"/>
          <w:sz w:val="20"/>
          <w:szCs w:val="20"/>
          <w:lang w:val="sr-Latn-RS"/>
        </w:rPr>
        <w:t>% odnosi na plasman mikrokredita pravnim licima i preduzetnicima.</w:t>
      </w:r>
    </w:p>
    <w:p w14:paraId="639D86FF" w14:textId="77777777" w:rsidR="00F32254" w:rsidRDefault="00F32254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7FA627BB" w14:textId="2C8D3A83" w:rsidR="00487B90" w:rsidRDefault="00487B90" w:rsidP="0087531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487B90">
        <w:rPr>
          <w:noProof/>
        </w:rPr>
        <w:drawing>
          <wp:inline distT="0" distB="0" distL="0" distR="0" wp14:anchorId="0ECA1312" wp14:editId="6FE2B46C">
            <wp:extent cx="5760720" cy="5075555"/>
            <wp:effectExtent l="0" t="0" r="0" b="0"/>
            <wp:docPr id="2072313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7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BE548" w14:textId="65C3E17D" w:rsidR="001C57F7" w:rsidRPr="00425127" w:rsidRDefault="001C57F7" w:rsidP="0014508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557198C7" w14:textId="2AD27B0A" w:rsidR="001317BE" w:rsidRDefault="001317BE" w:rsidP="001317BE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  <w:r>
        <w:rPr>
          <w:rFonts w:ascii="Verdana" w:hAnsi="Verdana" w:cs="Arial"/>
          <w:sz w:val="20"/>
          <w:szCs w:val="20"/>
          <w:lang w:val="sr-Latn-CS"/>
        </w:rPr>
        <w:t>U strukturi kreditnog portfoli</w:t>
      </w:r>
      <w:r w:rsidR="00E61D8E">
        <w:rPr>
          <w:rFonts w:ascii="Verdana" w:hAnsi="Verdana" w:cs="Arial"/>
          <w:sz w:val="20"/>
          <w:szCs w:val="20"/>
          <w:lang w:val="sr-Latn-CS"/>
        </w:rPr>
        <w:t>a</w:t>
      </w:r>
      <w:r>
        <w:rPr>
          <w:rFonts w:ascii="Verdana" w:hAnsi="Verdana" w:cs="Arial"/>
          <w:sz w:val="20"/>
          <w:szCs w:val="20"/>
          <w:lang w:val="sr-Latn-CS"/>
        </w:rPr>
        <w:t xml:space="preserve"> učestvuju sljedeći osnovni pokazatelji poslovanja:</w:t>
      </w:r>
    </w:p>
    <w:p w14:paraId="31321C2F" w14:textId="77777777" w:rsidR="00487B90" w:rsidRDefault="00487B90" w:rsidP="001317BE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CS"/>
        </w:rPr>
      </w:pPr>
    </w:p>
    <w:p w14:paraId="01FEE7A8" w14:textId="13D4CA9E" w:rsidR="001317BE" w:rsidRDefault="001317BE" w:rsidP="001317BE">
      <w:pPr>
        <w:pStyle w:val="ListParagraph"/>
        <w:numPr>
          <w:ilvl w:val="0"/>
          <w:numId w:val="30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r>
        <w:rPr>
          <w:rFonts w:ascii="Verdana" w:hAnsi="Verdana" w:cs="Arial"/>
          <w:sz w:val="20"/>
          <w:szCs w:val="20"/>
          <w:lang w:val="sr-Latn-CS"/>
        </w:rPr>
        <w:t>Kratkoročni krediti,</w:t>
      </w:r>
      <w:r w:rsidRPr="00CC1456">
        <w:rPr>
          <w:rFonts w:ascii="Verdana" w:hAnsi="Verdana" w:cs="Arial"/>
          <w:sz w:val="20"/>
          <w:szCs w:val="20"/>
          <w:lang w:val="sr-Latn-CS"/>
        </w:rPr>
        <w:t xml:space="preserve"> apsolutne </w:t>
      </w:r>
      <w:proofErr w:type="spellStart"/>
      <w:r w:rsidRPr="00CC1456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CC1456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8F2557">
        <w:rPr>
          <w:rFonts w:ascii="Verdana" w:hAnsi="Verdana" w:cs="Arial"/>
          <w:sz w:val="20"/>
          <w:szCs w:val="20"/>
          <w:lang w:val="sr-Latn-CS"/>
        </w:rPr>
        <w:t>2.466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CC1456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CC1456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8F2557">
        <w:rPr>
          <w:rFonts w:ascii="Verdana" w:hAnsi="Verdana" w:cs="Arial"/>
          <w:sz w:val="20"/>
          <w:szCs w:val="20"/>
          <w:lang w:val="sr-Latn-CS"/>
        </w:rPr>
        <w:t>23,84</w:t>
      </w:r>
      <w:r w:rsidRPr="00CC1456">
        <w:rPr>
          <w:rFonts w:ascii="Verdana" w:hAnsi="Verdana" w:cs="Arial"/>
          <w:sz w:val="20"/>
          <w:szCs w:val="20"/>
          <w:lang w:val="sr-Latn-CS"/>
        </w:rPr>
        <w:t xml:space="preserve">% </w:t>
      </w:r>
      <w:r>
        <w:rPr>
          <w:rFonts w:ascii="Verdana" w:hAnsi="Verdana" w:cs="Arial"/>
          <w:sz w:val="20"/>
          <w:szCs w:val="20"/>
          <w:lang w:val="sr-Latn-CS"/>
        </w:rPr>
        <w:t>ukupnog kreditnog portfolija</w:t>
      </w:r>
      <w:r w:rsidRPr="00CC1456">
        <w:rPr>
          <w:rFonts w:ascii="Verdana" w:hAnsi="Verdana" w:cs="Arial"/>
          <w:sz w:val="20"/>
          <w:szCs w:val="20"/>
          <w:lang w:val="sr-Latn-CS"/>
        </w:rPr>
        <w:t xml:space="preserve">. U odnosu na prethodnu poslovnu godinu ostvaren je rast apsolutne </w:t>
      </w:r>
      <w:proofErr w:type="spellStart"/>
      <w:r w:rsidRPr="00CC1456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CC1456">
        <w:rPr>
          <w:rFonts w:ascii="Verdana" w:hAnsi="Verdana" w:cs="Arial"/>
          <w:sz w:val="20"/>
          <w:szCs w:val="20"/>
          <w:lang w:val="sr-Latn-CS"/>
        </w:rPr>
        <w:t xml:space="preserve">  (+) </w:t>
      </w:r>
      <w:r w:rsidR="008F2557">
        <w:rPr>
          <w:rFonts w:ascii="Verdana" w:hAnsi="Verdana" w:cs="Arial"/>
          <w:sz w:val="20"/>
          <w:szCs w:val="20"/>
          <w:lang w:val="sr-Latn-CS"/>
        </w:rPr>
        <w:t>961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CC1456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CC1456"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8F2557">
        <w:rPr>
          <w:rFonts w:ascii="Verdana" w:hAnsi="Verdana" w:cs="Arial"/>
          <w:sz w:val="20"/>
          <w:szCs w:val="20"/>
          <w:lang w:val="sr-Latn-CS"/>
        </w:rPr>
        <w:t>63.86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>.</w:t>
      </w:r>
    </w:p>
    <w:p w14:paraId="6C3661F6" w14:textId="2854F8B1" w:rsidR="001317BE" w:rsidRDefault="001317BE" w:rsidP="001317BE">
      <w:pPr>
        <w:pStyle w:val="ListParagraph"/>
        <w:numPr>
          <w:ilvl w:val="0"/>
          <w:numId w:val="30"/>
        </w:numPr>
        <w:spacing w:after="0"/>
        <w:rPr>
          <w:rFonts w:ascii="Verdana" w:hAnsi="Verdana" w:cs="Arial"/>
          <w:sz w:val="20"/>
          <w:szCs w:val="20"/>
          <w:lang w:val="sr-Latn-CS"/>
        </w:rPr>
      </w:pPr>
      <w:proofErr w:type="spellStart"/>
      <w:r>
        <w:rPr>
          <w:rFonts w:ascii="Verdana" w:hAnsi="Verdana" w:cs="Arial"/>
          <w:sz w:val="20"/>
          <w:szCs w:val="20"/>
          <w:lang w:val="sr-Latn-CS"/>
        </w:rPr>
        <w:t>Dugoročn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 xml:space="preserve"> krediti,</w:t>
      </w:r>
      <w:r w:rsidRPr="00CC1456">
        <w:rPr>
          <w:rFonts w:ascii="Verdana" w:hAnsi="Verdana" w:cs="Arial"/>
          <w:sz w:val="20"/>
          <w:szCs w:val="20"/>
          <w:lang w:val="sr-Latn-CS"/>
        </w:rPr>
        <w:t xml:space="preserve"> apsolutne </w:t>
      </w:r>
      <w:proofErr w:type="spellStart"/>
      <w:r w:rsidRPr="00CC1456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CC1456">
        <w:rPr>
          <w:rFonts w:ascii="Verdana" w:hAnsi="Verdana" w:cs="Arial"/>
          <w:sz w:val="20"/>
          <w:szCs w:val="20"/>
          <w:lang w:val="sr-Latn-CS"/>
        </w:rPr>
        <w:t xml:space="preserve"> </w:t>
      </w:r>
      <w:r w:rsidR="008F2557">
        <w:rPr>
          <w:rFonts w:ascii="Verdana" w:hAnsi="Verdana" w:cs="Arial"/>
          <w:sz w:val="20"/>
          <w:szCs w:val="20"/>
          <w:lang w:val="sr-Latn-CS"/>
        </w:rPr>
        <w:t>7.877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CC1456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CC1456">
        <w:rPr>
          <w:rFonts w:ascii="Verdana" w:hAnsi="Verdana" w:cs="Arial"/>
          <w:sz w:val="20"/>
          <w:szCs w:val="20"/>
          <w:lang w:val="sr-Latn-CS"/>
        </w:rPr>
        <w:t xml:space="preserve">. KM, predstavljaju </w:t>
      </w:r>
      <w:r w:rsidR="008F2557">
        <w:rPr>
          <w:rFonts w:ascii="Verdana" w:hAnsi="Verdana" w:cs="Arial"/>
          <w:sz w:val="20"/>
          <w:szCs w:val="20"/>
          <w:lang w:val="sr-Latn-CS"/>
        </w:rPr>
        <w:t>76,16</w:t>
      </w:r>
      <w:r w:rsidRPr="00CC1456">
        <w:rPr>
          <w:rFonts w:ascii="Verdana" w:hAnsi="Verdana" w:cs="Arial"/>
          <w:sz w:val="20"/>
          <w:szCs w:val="20"/>
          <w:lang w:val="sr-Latn-CS"/>
        </w:rPr>
        <w:t xml:space="preserve">% </w:t>
      </w:r>
      <w:r>
        <w:rPr>
          <w:rFonts w:ascii="Verdana" w:hAnsi="Verdana" w:cs="Arial"/>
          <w:sz w:val="20"/>
          <w:szCs w:val="20"/>
          <w:lang w:val="sr-Latn-CS"/>
        </w:rPr>
        <w:t>ukupnog kreditnog portfolija</w:t>
      </w:r>
      <w:r w:rsidRPr="00CC1456">
        <w:rPr>
          <w:rFonts w:ascii="Verdana" w:hAnsi="Verdana" w:cs="Arial"/>
          <w:sz w:val="20"/>
          <w:szCs w:val="20"/>
          <w:lang w:val="sr-Latn-CS"/>
        </w:rPr>
        <w:t xml:space="preserve">. U odnosu na prethodnu poslovnu godinu ostvaren je rast apsolutne </w:t>
      </w:r>
      <w:proofErr w:type="spellStart"/>
      <w:r w:rsidRPr="00CC1456">
        <w:rPr>
          <w:rFonts w:ascii="Verdana" w:hAnsi="Verdana" w:cs="Arial"/>
          <w:sz w:val="20"/>
          <w:szCs w:val="20"/>
          <w:lang w:val="sr-Latn-CS"/>
        </w:rPr>
        <w:t>vrijednosti</w:t>
      </w:r>
      <w:proofErr w:type="spellEnd"/>
      <w:r w:rsidRPr="00CC1456">
        <w:rPr>
          <w:rFonts w:ascii="Verdana" w:hAnsi="Verdana" w:cs="Arial"/>
          <w:sz w:val="20"/>
          <w:szCs w:val="20"/>
          <w:lang w:val="sr-Latn-CS"/>
        </w:rPr>
        <w:t xml:space="preserve">  (+) </w:t>
      </w:r>
      <w:r w:rsidR="008F2557">
        <w:rPr>
          <w:rFonts w:ascii="Verdana" w:hAnsi="Verdana" w:cs="Arial"/>
          <w:sz w:val="20"/>
          <w:szCs w:val="20"/>
          <w:lang w:val="sr-Latn-CS"/>
        </w:rPr>
        <w:t>1.218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 w:rsidRPr="00CC1456">
        <w:rPr>
          <w:rFonts w:ascii="Verdana" w:hAnsi="Verdana" w:cs="Arial"/>
          <w:sz w:val="20"/>
          <w:szCs w:val="20"/>
          <w:lang w:val="sr-Latn-CS"/>
        </w:rPr>
        <w:t>hilj</w:t>
      </w:r>
      <w:proofErr w:type="spellEnd"/>
      <w:r w:rsidRPr="00CC1456">
        <w:rPr>
          <w:rFonts w:ascii="Verdana" w:hAnsi="Verdana" w:cs="Arial"/>
          <w:sz w:val="20"/>
          <w:szCs w:val="20"/>
          <w:lang w:val="sr-Latn-CS"/>
        </w:rPr>
        <w:t xml:space="preserve">. KM ili (+) </w:t>
      </w:r>
      <w:r w:rsidR="008F2557">
        <w:rPr>
          <w:rFonts w:ascii="Verdana" w:hAnsi="Verdana" w:cs="Arial"/>
          <w:sz w:val="20"/>
          <w:szCs w:val="20"/>
          <w:lang w:val="sr-Latn-CS"/>
        </w:rPr>
        <w:t>18,31</w:t>
      </w:r>
      <w:r>
        <w:rPr>
          <w:rFonts w:ascii="Verdana" w:hAnsi="Verdana" w:cs="Arial"/>
          <w:sz w:val="20"/>
          <w:szCs w:val="20"/>
          <w:lang w:val="sr-Latn-C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r-Latn-CS"/>
        </w:rPr>
        <w:t>p.p</w:t>
      </w:r>
      <w:proofErr w:type="spellEnd"/>
      <w:r>
        <w:rPr>
          <w:rFonts w:ascii="Verdana" w:hAnsi="Verdana" w:cs="Arial"/>
          <w:sz w:val="20"/>
          <w:szCs w:val="20"/>
          <w:lang w:val="sr-Latn-CS"/>
        </w:rPr>
        <w:t>.</w:t>
      </w:r>
    </w:p>
    <w:p w14:paraId="69BEBD50" w14:textId="77777777" w:rsidR="001317BE" w:rsidRDefault="001317BE" w:rsidP="0014508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2AD07319" w14:textId="27900140" w:rsidR="009E28A9" w:rsidRDefault="009E28A9" w:rsidP="0014508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425127">
        <w:rPr>
          <w:rFonts w:cs="Arial"/>
          <w:sz w:val="20"/>
          <w:szCs w:val="20"/>
          <w:lang w:val="sr-Latn-RS"/>
        </w:rPr>
        <w:t>→</w:t>
      </w:r>
      <w:r w:rsidRPr="00425127">
        <w:rPr>
          <w:rFonts w:ascii="Verdana" w:hAnsi="Verdana" w:cs="Arial"/>
          <w:sz w:val="20"/>
          <w:szCs w:val="20"/>
          <w:lang w:val="sr-Latn-RS"/>
        </w:rPr>
        <w:t xml:space="preserve"> </w:t>
      </w:r>
      <w:r>
        <w:rPr>
          <w:rFonts w:ascii="Verdana" w:hAnsi="Verdana" w:cs="Arial"/>
          <w:b/>
          <w:sz w:val="20"/>
          <w:szCs w:val="20"/>
          <w:lang w:val="sr-Latn-RS"/>
        </w:rPr>
        <w:t xml:space="preserve">Klasifikacija </w:t>
      </w:r>
      <w:r w:rsidRPr="00425127">
        <w:rPr>
          <w:rFonts w:ascii="Verdana" w:hAnsi="Verdana" w:cs="Arial"/>
          <w:b/>
          <w:sz w:val="20"/>
          <w:szCs w:val="20"/>
          <w:lang w:val="sr-Latn-RS"/>
        </w:rPr>
        <w:t>kreditnog portfolija</w:t>
      </w:r>
    </w:p>
    <w:p w14:paraId="34C09BC6" w14:textId="77777777" w:rsidR="009E28A9" w:rsidRDefault="009E28A9" w:rsidP="0014508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763C019D" w14:textId="1D37337B" w:rsidR="00D0635F" w:rsidRDefault="00BB6304" w:rsidP="0014508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425127">
        <w:rPr>
          <w:rFonts w:ascii="Verdana" w:hAnsi="Verdana" w:cstheme="minorHAnsi"/>
          <w:sz w:val="20"/>
          <w:szCs w:val="20"/>
          <w:lang w:val="sr-Latn-RS"/>
        </w:rPr>
        <w:t>Društvo sprovodi postupak klasifikacije svih kredita i drugih plasmana u skladu sa Odlukom o visini i načinu formiranja rezervi za pokriće kreditnih gubitaka</w:t>
      </w:r>
      <w:r w:rsidR="00BE5F4C" w:rsidRPr="00425127">
        <w:rPr>
          <w:rFonts w:ascii="Verdana" w:hAnsi="Verdana" w:cstheme="minorHAnsi"/>
          <w:sz w:val="20"/>
          <w:szCs w:val="20"/>
          <w:lang w:val="sr-Latn-RS"/>
        </w:rPr>
        <w:t>,</w:t>
      </w:r>
      <w:r w:rsidRPr="00425127">
        <w:rPr>
          <w:rFonts w:ascii="Verdana" w:hAnsi="Verdana" w:cstheme="minorHAnsi"/>
          <w:sz w:val="20"/>
          <w:szCs w:val="20"/>
          <w:lang w:val="sr-Latn-RS"/>
        </w:rPr>
        <w:t xml:space="preserve"> izdato</w:t>
      </w:r>
      <w:r w:rsidR="00BE5F4C" w:rsidRPr="00425127">
        <w:rPr>
          <w:rFonts w:ascii="Verdana" w:hAnsi="Verdana" w:cstheme="minorHAnsi"/>
          <w:sz w:val="20"/>
          <w:szCs w:val="20"/>
          <w:lang w:val="sr-Latn-RS"/>
        </w:rPr>
        <w:t>j</w:t>
      </w:r>
      <w:r w:rsidRPr="00425127">
        <w:rPr>
          <w:rFonts w:ascii="Verdana" w:hAnsi="Verdana" w:cstheme="minorHAnsi"/>
          <w:sz w:val="20"/>
          <w:szCs w:val="20"/>
          <w:lang w:val="sr-Latn-RS"/>
        </w:rPr>
        <w:t xml:space="preserve"> od strane Agencije za bankarstvo Republike Srpske. Takođe na sve kredite i druge plasmane  formirane su ispravke vrijednosti u skladu </w:t>
      </w:r>
      <w:r w:rsidRPr="000B3B2D">
        <w:rPr>
          <w:rFonts w:ascii="Verdana" w:hAnsi="Verdana" w:cstheme="minorHAnsi"/>
          <w:sz w:val="20"/>
          <w:szCs w:val="20"/>
          <w:lang w:val="sr-Latn-RS"/>
        </w:rPr>
        <w:t xml:space="preserve">sa MRS 9 </w:t>
      </w:r>
      <w:r w:rsidRPr="00425127">
        <w:rPr>
          <w:rFonts w:ascii="Verdana" w:hAnsi="Verdana" w:cstheme="minorHAnsi"/>
          <w:sz w:val="20"/>
          <w:szCs w:val="20"/>
          <w:lang w:val="sr-Latn-RS"/>
        </w:rPr>
        <w:t>i iste su knjižene na jednoj strani odobravanjem odgovarajućeg računa ispravki vrijednosti, a na drugoj strani terećenje</w:t>
      </w:r>
      <w:r w:rsidR="004F0A0F" w:rsidRPr="00425127">
        <w:rPr>
          <w:rFonts w:ascii="Verdana" w:hAnsi="Verdana" w:cstheme="minorHAnsi"/>
          <w:sz w:val="20"/>
          <w:szCs w:val="20"/>
          <w:lang w:val="sr-Latn-RS"/>
        </w:rPr>
        <w:t>m odgovarajućeg računa troškova.</w:t>
      </w:r>
      <w:r w:rsidRPr="00425127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D15843" w:rsidRPr="00425127">
        <w:rPr>
          <w:rFonts w:ascii="Verdana" w:hAnsi="Verdana" w:cstheme="minorHAnsi"/>
          <w:sz w:val="20"/>
          <w:szCs w:val="20"/>
          <w:lang w:val="sr-Latn-RS"/>
        </w:rPr>
        <w:t xml:space="preserve">Na izvještajni datum </w:t>
      </w:r>
      <w:r w:rsidR="00BE5F4C" w:rsidRPr="00425127">
        <w:rPr>
          <w:rFonts w:ascii="Verdana" w:hAnsi="Verdana" w:cstheme="minorHAnsi"/>
          <w:sz w:val="20"/>
          <w:szCs w:val="20"/>
          <w:lang w:val="sr-Latn-RS"/>
        </w:rPr>
        <w:t>ispravke vrijednosti (</w:t>
      </w:r>
      <w:r w:rsidR="00D15843" w:rsidRPr="00425127">
        <w:rPr>
          <w:rFonts w:ascii="Verdana" w:hAnsi="Verdana" w:cstheme="minorHAnsi"/>
          <w:sz w:val="20"/>
          <w:szCs w:val="20"/>
          <w:lang w:val="sr-Latn-RS"/>
        </w:rPr>
        <w:t>IV</w:t>
      </w:r>
      <w:r w:rsidR="00BE5F4C" w:rsidRPr="00425127">
        <w:rPr>
          <w:rFonts w:ascii="Verdana" w:hAnsi="Verdana" w:cstheme="minorHAnsi"/>
          <w:sz w:val="20"/>
          <w:szCs w:val="20"/>
          <w:lang w:val="sr-Latn-RS"/>
        </w:rPr>
        <w:t>)</w:t>
      </w:r>
      <w:r w:rsidR="00D15843" w:rsidRPr="00425127">
        <w:rPr>
          <w:rFonts w:ascii="Verdana" w:hAnsi="Verdana" w:cstheme="minorHAnsi"/>
          <w:sz w:val="20"/>
          <w:szCs w:val="20"/>
          <w:lang w:val="sr-Latn-RS"/>
        </w:rPr>
        <w:t xml:space="preserve"> i </w:t>
      </w:r>
      <w:r w:rsidR="00BE5F4C" w:rsidRPr="00425127">
        <w:rPr>
          <w:rFonts w:ascii="Verdana" w:hAnsi="Verdana" w:cstheme="minorHAnsi"/>
          <w:sz w:val="20"/>
          <w:szCs w:val="20"/>
          <w:lang w:val="sr-Latn-RS"/>
        </w:rPr>
        <w:t>regulatorne rezerve (</w:t>
      </w:r>
      <w:r w:rsidR="00D15843" w:rsidRPr="00425127">
        <w:rPr>
          <w:rFonts w:ascii="Verdana" w:hAnsi="Verdana" w:cstheme="minorHAnsi"/>
          <w:sz w:val="20"/>
          <w:szCs w:val="20"/>
          <w:lang w:val="sr-Latn-RS"/>
        </w:rPr>
        <w:t>RR</w:t>
      </w:r>
      <w:r w:rsidR="00BE5F4C" w:rsidRPr="00425127">
        <w:rPr>
          <w:rFonts w:ascii="Verdana" w:hAnsi="Verdana" w:cstheme="minorHAnsi"/>
          <w:sz w:val="20"/>
          <w:szCs w:val="20"/>
          <w:lang w:val="sr-Latn-RS"/>
        </w:rPr>
        <w:t>)</w:t>
      </w:r>
      <w:r w:rsidR="00D15843" w:rsidRPr="00425127">
        <w:rPr>
          <w:rFonts w:ascii="Verdana" w:hAnsi="Verdana" w:cstheme="minorHAnsi"/>
          <w:sz w:val="20"/>
          <w:szCs w:val="20"/>
          <w:lang w:val="sr-Latn-RS"/>
        </w:rPr>
        <w:t xml:space="preserve"> su izjednačene.</w:t>
      </w:r>
    </w:p>
    <w:p w14:paraId="23B0136D" w14:textId="77777777" w:rsidR="003E2E81" w:rsidRDefault="003E2E81" w:rsidP="0014508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0F386E9E" w14:textId="18F69FF4" w:rsidR="003E2E81" w:rsidRDefault="003E2E81" w:rsidP="0014508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3E2E81">
        <w:rPr>
          <w:noProof/>
        </w:rPr>
        <w:lastRenderedPageBreak/>
        <w:drawing>
          <wp:inline distT="0" distB="0" distL="0" distR="0" wp14:anchorId="69E2B058" wp14:editId="76D93F13">
            <wp:extent cx="5760720" cy="1532255"/>
            <wp:effectExtent l="0" t="0" r="0" b="0"/>
            <wp:docPr id="58695153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76F56" w14:textId="77777777" w:rsidR="008D7F4A" w:rsidRDefault="008D7F4A" w:rsidP="0014508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764D1E94" w14:textId="4605A2D4" w:rsidR="00E85931" w:rsidRPr="00365534" w:rsidRDefault="004F0A0F" w:rsidP="0085691E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Na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ukupan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portfolio</w:t>
      </w:r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 (</w:t>
      </w:r>
      <w:proofErr w:type="spellStart"/>
      <w:r w:rsidR="00761A97" w:rsidRPr="00365534">
        <w:rPr>
          <w:rFonts w:ascii="Verdana" w:hAnsi="Verdana" w:cstheme="minorHAnsi"/>
          <w:sz w:val="20"/>
          <w:szCs w:val="20"/>
          <w:lang w:val="es-AR"/>
        </w:rPr>
        <w:t>sastavljen</w:t>
      </w:r>
      <w:proofErr w:type="spellEnd"/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761A97"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glavnic</w:t>
      </w:r>
      <w:r w:rsidR="00761A97" w:rsidRPr="00365534">
        <w:rPr>
          <w:rFonts w:ascii="Verdana" w:hAnsi="Verdana" w:cstheme="minorHAnsi"/>
          <w:sz w:val="20"/>
          <w:szCs w:val="20"/>
          <w:lang w:val="es-AR"/>
        </w:rPr>
        <w:t>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,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kamat</w:t>
      </w:r>
      <w:r w:rsidR="00761A97" w:rsidRPr="00365534">
        <w:rPr>
          <w:rFonts w:ascii="Verdana" w:hAnsi="Verdana" w:cstheme="minorHAnsi"/>
          <w:sz w:val="20"/>
          <w:szCs w:val="20"/>
          <w:lang w:val="es-AR"/>
        </w:rPr>
        <w:t>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i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naknad</w:t>
      </w:r>
      <w:r w:rsidR="00761A97" w:rsidRPr="00365534">
        <w:rPr>
          <w:rFonts w:ascii="Verdana" w:hAnsi="Verdana" w:cstheme="minorHAnsi"/>
          <w:sz w:val="20"/>
          <w:szCs w:val="20"/>
          <w:lang w:val="es-AR"/>
        </w:rPr>
        <w:t>a</w:t>
      </w:r>
      <w:proofErr w:type="spellEnd"/>
      <w:r w:rsidR="00761A97" w:rsidRPr="00365534">
        <w:rPr>
          <w:rFonts w:ascii="Verdana" w:hAnsi="Verdana" w:cstheme="minorHAnsi"/>
          <w:sz w:val="20"/>
          <w:szCs w:val="20"/>
          <w:lang w:val="es-AR"/>
        </w:rPr>
        <w:t>)</w:t>
      </w:r>
      <w:r w:rsidR="00BE5F4C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BE5F4C" w:rsidRPr="00365534">
        <w:rPr>
          <w:rFonts w:ascii="Verdana" w:hAnsi="Verdana" w:cstheme="minorHAnsi"/>
          <w:sz w:val="20"/>
          <w:szCs w:val="20"/>
          <w:lang w:val="es-AR"/>
        </w:rPr>
        <w:t>koji</w:t>
      </w:r>
      <w:proofErr w:type="spellEnd"/>
      <w:r w:rsidR="00BE5F4C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EB58A1" w:rsidRPr="00365534">
        <w:rPr>
          <w:rFonts w:ascii="Verdana" w:hAnsi="Verdana" w:cstheme="minorHAnsi"/>
          <w:sz w:val="20"/>
          <w:szCs w:val="20"/>
          <w:lang w:val="es-AR"/>
        </w:rPr>
        <w:t>čini</w:t>
      </w:r>
      <w:proofErr w:type="spellEnd"/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EB58A1" w:rsidRPr="00365534">
        <w:rPr>
          <w:rFonts w:ascii="Verdana" w:hAnsi="Verdana" w:cstheme="minorHAnsi"/>
          <w:sz w:val="20"/>
          <w:szCs w:val="20"/>
          <w:lang w:val="es-AR"/>
        </w:rPr>
        <w:t>1.</w:t>
      </w:r>
      <w:r w:rsidR="007923E9" w:rsidRPr="00365534">
        <w:rPr>
          <w:rFonts w:ascii="Verdana" w:hAnsi="Verdana" w:cstheme="minorHAnsi"/>
          <w:sz w:val="20"/>
          <w:szCs w:val="20"/>
          <w:lang w:val="es-AR"/>
        </w:rPr>
        <w:t>241</w:t>
      </w:r>
      <w:r w:rsidR="00EB58A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aktivn</w:t>
      </w:r>
      <w:r w:rsidR="00EB58A1" w:rsidRPr="00365534">
        <w:rPr>
          <w:rFonts w:ascii="Verdana" w:hAnsi="Verdana" w:cstheme="minorHAnsi"/>
          <w:sz w:val="20"/>
          <w:szCs w:val="20"/>
          <w:lang w:val="es-AR"/>
        </w:rPr>
        <w:t>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</w:t>
      </w:r>
      <w:r w:rsidR="00EB58A1" w:rsidRPr="00365534">
        <w:rPr>
          <w:rFonts w:ascii="Verdana" w:hAnsi="Verdana" w:cstheme="minorHAnsi"/>
          <w:sz w:val="20"/>
          <w:szCs w:val="20"/>
          <w:lang w:val="es-AR"/>
        </w:rPr>
        <w:t>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partija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ukupne</w:t>
      </w:r>
      <w:proofErr w:type="spellEnd"/>
      <w:r w:rsidR="00EB58A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EB58A1" w:rsidRPr="00365534">
        <w:rPr>
          <w:rFonts w:ascii="Verdana" w:hAnsi="Verdana" w:cstheme="minorHAnsi"/>
          <w:sz w:val="20"/>
          <w:szCs w:val="20"/>
          <w:lang w:val="es-AR"/>
        </w:rPr>
        <w:t>apsolutne</w:t>
      </w:r>
      <w:proofErr w:type="spellEnd"/>
      <w:r w:rsidR="00EB58A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7923E9" w:rsidRPr="00365534">
        <w:rPr>
          <w:rFonts w:ascii="Verdana" w:hAnsi="Verdana" w:cstheme="minorHAnsi"/>
          <w:sz w:val="20"/>
          <w:szCs w:val="20"/>
          <w:lang w:val="es-AR"/>
        </w:rPr>
        <w:t>10.37</w:t>
      </w:r>
      <w:r w:rsidR="009E462A" w:rsidRPr="00365534">
        <w:rPr>
          <w:rFonts w:ascii="Verdana" w:hAnsi="Verdana" w:cstheme="minorHAnsi"/>
          <w:sz w:val="20"/>
          <w:szCs w:val="20"/>
          <w:lang w:val="es-AR"/>
        </w:rPr>
        <w:t>5</w:t>
      </w:r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hilj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>. KM</w:t>
      </w:r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F62620" w:rsidRPr="00365534">
        <w:rPr>
          <w:rFonts w:ascii="Verdana" w:hAnsi="Verdana" w:cstheme="minorHAnsi"/>
          <w:sz w:val="20"/>
          <w:szCs w:val="20"/>
          <w:lang w:val="es-AR"/>
        </w:rPr>
        <w:t>za</w:t>
      </w:r>
      <w:proofErr w:type="spellEnd"/>
      <w:r w:rsidR="00F62620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F62620" w:rsidRPr="00365534">
        <w:rPr>
          <w:rFonts w:ascii="Verdana" w:hAnsi="Verdana" w:cstheme="minorHAnsi"/>
          <w:sz w:val="20"/>
          <w:szCs w:val="20"/>
          <w:lang w:val="es-AR"/>
        </w:rPr>
        <w:t>koji</w:t>
      </w:r>
      <w:proofErr w:type="spellEnd"/>
      <w:r w:rsidR="00F62620" w:rsidRPr="00365534">
        <w:rPr>
          <w:rFonts w:ascii="Verdana" w:hAnsi="Verdana" w:cstheme="minorHAnsi"/>
          <w:sz w:val="20"/>
          <w:szCs w:val="20"/>
          <w:lang w:val="es-AR"/>
        </w:rPr>
        <w:t xml:space="preserve"> su </w:t>
      </w:r>
      <w:proofErr w:type="spellStart"/>
      <w:r w:rsidR="00761A97" w:rsidRPr="00365534">
        <w:rPr>
          <w:rFonts w:ascii="Verdana" w:hAnsi="Verdana" w:cstheme="minorHAnsi"/>
          <w:sz w:val="20"/>
          <w:szCs w:val="20"/>
          <w:lang w:val="es-AR"/>
        </w:rPr>
        <w:t>formirane</w:t>
      </w:r>
      <w:proofErr w:type="spellEnd"/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BE5F4C" w:rsidRPr="00365534">
        <w:rPr>
          <w:rFonts w:ascii="Verdana" w:hAnsi="Verdana" w:cstheme="minorHAnsi"/>
          <w:sz w:val="20"/>
          <w:szCs w:val="20"/>
          <w:lang w:val="es-AR"/>
        </w:rPr>
        <w:t>ispravke</w:t>
      </w:r>
      <w:proofErr w:type="spellEnd"/>
      <w:r w:rsidR="00BE5F4C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BE5F4C" w:rsidRPr="00365534"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 w:rsidR="00BE5F4C" w:rsidRPr="00365534">
        <w:rPr>
          <w:rFonts w:ascii="Verdana" w:hAnsi="Verdana" w:cstheme="minorHAnsi"/>
          <w:sz w:val="20"/>
          <w:szCs w:val="20"/>
          <w:lang w:val="es-AR"/>
        </w:rPr>
        <w:t xml:space="preserve"> (</w:t>
      </w:r>
      <w:r w:rsidR="00761A97" w:rsidRPr="00365534">
        <w:rPr>
          <w:rFonts w:ascii="Verdana" w:hAnsi="Verdana" w:cstheme="minorHAnsi"/>
          <w:sz w:val="20"/>
          <w:szCs w:val="20"/>
          <w:lang w:val="es-AR"/>
        </w:rPr>
        <w:t>IV</w:t>
      </w:r>
      <w:r w:rsidR="00BE5F4C" w:rsidRPr="00365534">
        <w:rPr>
          <w:rFonts w:ascii="Verdana" w:hAnsi="Verdana" w:cstheme="minorHAnsi"/>
          <w:sz w:val="20"/>
          <w:szCs w:val="20"/>
          <w:lang w:val="es-AR"/>
        </w:rPr>
        <w:t xml:space="preserve">) </w:t>
      </w:r>
      <w:r w:rsidR="00761A97" w:rsidRPr="00365534">
        <w:rPr>
          <w:rFonts w:ascii="Verdana" w:hAnsi="Verdana" w:cstheme="minorHAnsi"/>
          <w:sz w:val="20"/>
          <w:szCs w:val="20"/>
          <w:lang w:val="es-AR"/>
        </w:rPr>
        <w:t>/</w:t>
      </w:r>
      <w:r w:rsidR="00BE5F4C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BE5F4C" w:rsidRPr="00365534">
        <w:rPr>
          <w:rFonts w:ascii="Verdana" w:hAnsi="Verdana" w:cstheme="minorHAnsi"/>
          <w:sz w:val="20"/>
          <w:szCs w:val="20"/>
          <w:lang w:val="es-AR"/>
        </w:rPr>
        <w:t>regulatorne</w:t>
      </w:r>
      <w:proofErr w:type="spellEnd"/>
      <w:r w:rsidR="00BE5F4C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BE5F4C" w:rsidRPr="00365534">
        <w:rPr>
          <w:rFonts w:ascii="Verdana" w:hAnsi="Verdana" w:cstheme="minorHAnsi"/>
          <w:sz w:val="20"/>
          <w:szCs w:val="20"/>
          <w:lang w:val="es-AR"/>
        </w:rPr>
        <w:t>rezerve</w:t>
      </w:r>
      <w:proofErr w:type="spellEnd"/>
      <w:r w:rsidR="00BE5F4C" w:rsidRPr="00365534">
        <w:rPr>
          <w:rFonts w:ascii="Verdana" w:hAnsi="Verdana" w:cstheme="minorHAnsi"/>
          <w:sz w:val="20"/>
          <w:szCs w:val="20"/>
          <w:lang w:val="es-AR"/>
        </w:rPr>
        <w:t xml:space="preserve"> (</w:t>
      </w:r>
      <w:r w:rsidR="00761A97" w:rsidRPr="00365534">
        <w:rPr>
          <w:rFonts w:ascii="Verdana" w:hAnsi="Verdana" w:cstheme="minorHAnsi"/>
          <w:sz w:val="20"/>
          <w:szCs w:val="20"/>
          <w:lang w:val="es-AR"/>
        </w:rPr>
        <w:t>RR</w:t>
      </w:r>
      <w:r w:rsidR="00BE5F4C" w:rsidRPr="00365534">
        <w:rPr>
          <w:rFonts w:ascii="Verdana" w:hAnsi="Verdana" w:cstheme="minorHAnsi"/>
          <w:sz w:val="20"/>
          <w:szCs w:val="20"/>
          <w:lang w:val="es-AR"/>
        </w:rPr>
        <w:t>)</w:t>
      </w:r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="00761A97" w:rsidRPr="00365534"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 od </w:t>
      </w:r>
      <w:r w:rsidR="007923E9" w:rsidRPr="00365534">
        <w:rPr>
          <w:rFonts w:ascii="Verdana" w:hAnsi="Verdana" w:cstheme="minorHAnsi"/>
          <w:sz w:val="20"/>
          <w:szCs w:val="20"/>
          <w:lang w:val="es-AR"/>
        </w:rPr>
        <w:t>254</w:t>
      </w:r>
      <w:r w:rsidR="00EB58A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761A97" w:rsidRPr="00365534">
        <w:rPr>
          <w:rFonts w:ascii="Verdana" w:hAnsi="Verdana" w:cstheme="minorHAnsi"/>
          <w:sz w:val="20"/>
          <w:szCs w:val="20"/>
          <w:lang w:val="es-AR"/>
        </w:rPr>
        <w:t>hilj</w:t>
      </w:r>
      <w:proofErr w:type="spellEnd"/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. KM </w:t>
      </w:r>
      <w:proofErr w:type="spellStart"/>
      <w:r w:rsidR="00761A97" w:rsidRPr="00365534">
        <w:rPr>
          <w:rFonts w:ascii="Verdana" w:hAnsi="Verdana" w:cstheme="minorHAnsi"/>
          <w:sz w:val="20"/>
          <w:szCs w:val="20"/>
          <w:lang w:val="es-AR"/>
        </w:rPr>
        <w:t>odnosno</w:t>
      </w:r>
      <w:proofErr w:type="spellEnd"/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761A97" w:rsidRPr="00365534">
        <w:rPr>
          <w:rFonts w:ascii="Verdana" w:hAnsi="Verdana" w:cstheme="minorHAnsi"/>
          <w:sz w:val="20"/>
          <w:szCs w:val="20"/>
          <w:lang w:val="es-AR"/>
        </w:rPr>
        <w:t>kreditni</w:t>
      </w:r>
      <w:proofErr w:type="spellEnd"/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 portfolio je </w:t>
      </w:r>
      <w:proofErr w:type="spellStart"/>
      <w:r w:rsidR="00761A97" w:rsidRPr="00365534">
        <w:rPr>
          <w:rFonts w:ascii="Verdana" w:hAnsi="Verdana" w:cstheme="minorHAnsi"/>
          <w:sz w:val="20"/>
          <w:szCs w:val="20"/>
          <w:lang w:val="es-AR"/>
        </w:rPr>
        <w:t>pokriven</w:t>
      </w:r>
      <w:proofErr w:type="spellEnd"/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 IV</w:t>
      </w:r>
      <w:r w:rsidR="00BE5F4C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/ RR </w:t>
      </w:r>
      <w:proofErr w:type="spellStart"/>
      <w:r w:rsidR="00761A97"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="00761A97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EB58A1" w:rsidRPr="00365534">
        <w:rPr>
          <w:rFonts w:ascii="Verdana" w:hAnsi="Verdana" w:cstheme="minorHAnsi"/>
          <w:sz w:val="20"/>
          <w:szCs w:val="20"/>
          <w:lang w:val="es-AR"/>
        </w:rPr>
        <w:t>2,</w:t>
      </w:r>
      <w:r w:rsidR="007923E9" w:rsidRPr="00365534">
        <w:rPr>
          <w:rFonts w:ascii="Verdana" w:hAnsi="Verdana" w:cstheme="minorHAnsi"/>
          <w:sz w:val="20"/>
          <w:szCs w:val="20"/>
          <w:lang w:val="es-AR"/>
        </w:rPr>
        <w:t>45</w:t>
      </w:r>
      <w:r w:rsidR="00761A97" w:rsidRPr="00365534">
        <w:rPr>
          <w:rFonts w:ascii="Verdana" w:hAnsi="Verdana" w:cstheme="minorHAnsi"/>
          <w:sz w:val="20"/>
          <w:szCs w:val="20"/>
          <w:lang w:val="es-AR"/>
        </w:rPr>
        <w:t>%.</w:t>
      </w:r>
    </w:p>
    <w:p w14:paraId="5D268391" w14:textId="77777777" w:rsidR="001D6CD9" w:rsidRPr="00365534" w:rsidRDefault="001D6CD9" w:rsidP="0085691E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</w:p>
    <w:p w14:paraId="0A9FD517" w14:textId="6B900C3F" w:rsidR="0085691E" w:rsidRPr="00365534" w:rsidRDefault="00DF2155" w:rsidP="0085691E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portfolio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koji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nema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kašnjenja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otplati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(0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dana</w:t>
      </w:r>
      <w:proofErr w:type="spellEnd"/>
      <w:r w:rsidR="00D15843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D15843" w:rsidRPr="00365534">
        <w:rPr>
          <w:rFonts w:ascii="Verdana" w:hAnsi="Verdana" w:cstheme="minorHAnsi"/>
          <w:sz w:val="20"/>
          <w:szCs w:val="20"/>
          <w:lang w:val="es-AR"/>
        </w:rPr>
        <w:t>kašnjenja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)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čini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032C11" w:rsidRPr="00365534">
        <w:rPr>
          <w:rFonts w:ascii="Verdana" w:hAnsi="Verdana" w:cstheme="minorHAnsi"/>
          <w:sz w:val="20"/>
          <w:szCs w:val="20"/>
          <w:lang w:val="es-AR"/>
        </w:rPr>
        <w:t>1.</w:t>
      </w:r>
      <w:r w:rsidR="007923E9" w:rsidRPr="00365534">
        <w:rPr>
          <w:rFonts w:ascii="Verdana" w:hAnsi="Verdana" w:cstheme="minorHAnsi"/>
          <w:sz w:val="20"/>
          <w:szCs w:val="20"/>
          <w:lang w:val="es-AR"/>
        </w:rPr>
        <w:t>169</w:t>
      </w:r>
      <w:r w:rsidR="00EB58A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B562E3" w:rsidRPr="00365534">
        <w:rPr>
          <w:rFonts w:ascii="Verdana" w:hAnsi="Verdana" w:cstheme="minorHAnsi"/>
          <w:sz w:val="20"/>
          <w:szCs w:val="20"/>
          <w:lang w:val="es-AR"/>
        </w:rPr>
        <w:t>k</w:t>
      </w:r>
      <w:r w:rsidRPr="00365534">
        <w:rPr>
          <w:rFonts w:ascii="Verdana" w:hAnsi="Verdana" w:cstheme="minorHAnsi"/>
          <w:sz w:val="20"/>
          <w:szCs w:val="20"/>
          <w:lang w:val="es-AR"/>
        </w:rPr>
        <w:t>reditnih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partija </w:t>
      </w:r>
      <w:proofErr w:type="spellStart"/>
      <w:r w:rsidR="00EB58A1" w:rsidRPr="00365534">
        <w:rPr>
          <w:rFonts w:ascii="Verdana" w:hAnsi="Verdana" w:cstheme="minorHAnsi"/>
          <w:sz w:val="20"/>
          <w:szCs w:val="20"/>
          <w:lang w:val="es-AR"/>
        </w:rPr>
        <w:t>apsolutne</w:t>
      </w:r>
      <w:proofErr w:type="spellEnd"/>
      <w:r w:rsidR="00EB58A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7923E9" w:rsidRPr="00365534">
        <w:rPr>
          <w:rFonts w:ascii="Verdana" w:hAnsi="Verdana" w:cstheme="minorHAnsi"/>
          <w:sz w:val="20"/>
          <w:szCs w:val="20"/>
          <w:lang w:val="es-AR"/>
        </w:rPr>
        <w:t>9.878</w:t>
      </w:r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hilj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. </w:t>
      </w:r>
      <w:r w:rsidR="00304189" w:rsidRPr="00365534">
        <w:rPr>
          <w:rFonts w:ascii="Verdana" w:hAnsi="Verdana" w:cstheme="minorHAnsi"/>
          <w:sz w:val="20"/>
          <w:szCs w:val="20"/>
          <w:lang w:val="es-AR"/>
        </w:rPr>
        <w:t xml:space="preserve">KM, </w:t>
      </w:r>
      <w:proofErr w:type="spellStart"/>
      <w:r w:rsidR="00304189" w:rsidRPr="00365534">
        <w:rPr>
          <w:rFonts w:ascii="Verdana" w:hAnsi="Verdana" w:cstheme="minorHAnsi"/>
          <w:sz w:val="20"/>
          <w:szCs w:val="20"/>
          <w:lang w:val="es-AR"/>
        </w:rPr>
        <w:t>na</w:t>
      </w:r>
      <w:proofErr w:type="spellEnd"/>
      <w:r w:rsidR="00304189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04189" w:rsidRPr="00365534">
        <w:rPr>
          <w:rFonts w:ascii="Verdana" w:hAnsi="Verdana" w:cstheme="minorHAnsi"/>
          <w:sz w:val="20"/>
          <w:szCs w:val="20"/>
          <w:lang w:val="es-AR"/>
        </w:rPr>
        <w:t>isti</w:t>
      </w:r>
      <w:proofErr w:type="spellEnd"/>
      <w:r w:rsidR="00304189" w:rsidRPr="00365534">
        <w:rPr>
          <w:rFonts w:ascii="Verdana" w:hAnsi="Verdana" w:cstheme="minorHAnsi"/>
          <w:sz w:val="20"/>
          <w:szCs w:val="20"/>
          <w:lang w:val="es-AR"/>
        </w:rPr>
        <w:t xml:space="preserve"> se </w:t>
      </w:r>
      <w:proofErr w:type="spellStart"/>
      <w:r w:rsidR="00304189" w:rsidRPr="00365534">
        <w:rPr>
          <w:rFonts w:ascii="Verdana" w:hAnsi="Verdana" w:cstheme="minorHAnsi"/>
          <w:sz w:val="20"/>
          <w:szCs w:val="20"/>
          <w:lang w:val="es-AR"/>
        </w:rPr>
        <w:t>ne</w:t>
      </w:r>
      <w:proofErr w:type="spellEnd"/>
      <w:r w:rsidR="00304189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04189" w:rsidRPr="00365534">
        <w:rPr>
          <w:rFonts w:ascii="Verdana" w:hAnsi="Verdana" w:cstheme="minorHAnsi"/>
          <w:sz w:val="20"/>
          <w:szCs w:val="20"/>
          <w:lang w:val="es-AR"/>
        </w:rPr>
        <w:t>formiraju</w:t>
      </w:r>
      <w:proofErr w:type="spellEnd"/>
      <w:r w:rsidR="00304189" w:rsidRPr="00365534">
        <w:rPr>
          <w:rFonts w:ascii="Verdana" w:hAnsi="Verdana" w:cstheme="minorHAnsi"/>
          <w:sz w:val="20"/>
          <w:szCs w:val="20"/>
          <w:lang w:val="es-AR"/>
        </w:rPr>
        <w:t xml:space="preserve"> IV/ RR. </w:t>
      </w:r>
      <w:proofErr w:type="spellStart"/>
      <w:r w:rsidR="00415E2B" w:rsidRPr="00365534">
        <w:rPr>
          <w:rFonts w:ascii="Verdana" w:hAnsi="Verdana" w:cstheme="minorHAnsi"/>
          <w:sz w:val="20"/>
          <w:szCs w:val="20"/>
          <w:lang w:val="es-AR"/>
        </w:rPr>
        <w:t>Ovaj</w:t>
      </w:r>
      <w:proofErr w:type="spellEnd"/>
      <w:r w:rsidR="00415E2B" w:rsidRPr="00365534">
        <w:rPr>
          <w:rFonts w:ascii="Verdana" w:hAnsi="Verdana" w:cstheme="minorHAnsi"/>
          <w:sz w:val="20"/>
          <w:szCs w:val="20"/>
          <w:lang w:val="es-AR"/>
        </w:rPr>
        <w:t xml:space="preserve"> dio </w:t>
      </w:r>
      <w:proofErr w:type="spellStart"/>
      <w:r w:rsidR="00415E2B" w:rsidRPr="00365534">
        <w:rPr>
          <w:rFonts w:ascii="Verdana" w:hAnsi="Verdana" w:cstheme="minorHAnsi"/>
          <w:sz w:val="20"/>
          <w:szCs w:val="20"/>
          <w:lang w:val="es-AR"/>
        </w:rPr>
        <w:t>portfoli</w:t>
      </w:r>
      <w:r w:rsidR="00DF3B20" w:rsidRPr="00365534">
        <w:rPr>
          <w:rFonts w:ascii="Verdana" w:hAnsi="Verdana" w:cstheme="minorHAnsi"/>
          <w:sz w:val="20"/>
          <w:szCs w:val="20"/>
          <w:lang w:val="es-AR"/>
        </w:rPr>
        <w:t>j</w:t>
      </w:r>
      <w:r w:rsidR="00415E2B" w:rsidRPr="00365534">
        <w:rPr>
          <w:rFonts w:ascii="Verdana" w:hAnsi="Verdana" w:cstheme="minorHAnsi"/>
          <w:sz w:val="20"/>
          <w:szCs w:val="20"/>
          <w:lang w:val="es-AR"/>
        </w:rPr>
        <w:t>a</w:t>
      </w:r>
      <w:proofErr w:type="spellEnd"/>
      <w:r w:rsidR="00415E2B" w:rsidRPr="00365534">
        <w:rPr>
          <w:rFonts w:ascii="Verdana" w:hAnsi="Verdana" w:cstheme="minorHAnsi"/>
          <w:sz w:val="20"/>
          <w:szCs w:val="20"/>
          <w:lang w:val="es-AR"/>
        </w:rPr>
        <w:t xml:space="preserve"> u</w:t>
      </w:r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ukupnom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kreditnom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portfoliju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učestvuje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981370" w:rsidRPr="00365534">
        <w:rPr>
          <w:rFonts w:ascii="Verdana" w:hAnsi="Verdana" w:cstheme="minorHAnsi"/>
          <w:sz w:val="20"/>
          <w:szCs w:val="20"/>
          <w:lang w:val="es-AR"/>
        </w:rPr>
        <w:t>95,</w:t>
      </w:r>
      <w:r w:rsidR="007923E9" w:rsidRPr="00365534">
        <w:rPr>
          <w:rFonts w:ascii="Verdana" w:hAnsi="Verdana" w:cstheme="minorHAnsi"/>
          <w:sz w:val="20"/>
          <w:szCs w:val="20"/>
          <w:lang w:val="es-AR"/>
        </w:rPr>
        <w:t>20</w:t>
      </w:r>
      <w:r w:rsidRPr="00365534">
        <w:rPr>
          <w:rFonts w:ascii="Verdana" w:hAnsi="Verdana" w:cstheme="minorHAnsi"/>
          <w:sz w:val="20"/>
          <w:szCs w:val="20"/>
          <w:lang w:val="es-AR"/>
        </w:rPr>
        <w:t>%.</w:t>
      </w:r>
    </w:p>
    <w:p w14:paraId="019CE4D1" w14:textId="77777777" w:rsidR="0085691E" w:rsidRPr="00365534" w:rsidRDefault="0085691E" w:rsidP="0085691E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</w:p>
    <w:p w14:paraId="0681430D" w14:textId="3935E4E3" w:rsidR="00DF2155" w:rsidRPr="00365534" w:rsidRDefault="00DF2155" w:rsidP="0085691E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portfolio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kašnjenjem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otpl</w:t>
      </w:r>
      <w:r w:rsidR="00DF3B20" w:rsidRPr="00365534">
        <w:rPr>
          <w:rFonts w:ascii="Verdana" w:hAnsi="Verdana" w:cstheme="minorHAnsi"/>
          <w:sz w:val="20"/>
          <w:szCs w:val="20"/>
          <w:lang w:val="es-AR"/>
        </w:rPr>
        <w:t>a</w:t>
      </w:r>
      <w:r w:rsidRPr="00365534">
        <w:rPr>
          <w:rFonts w:ascii="Verdana" w:hAnsi="Verdana" w:cstheme="minorHAnsi"/>
          <w:sz w:val="20"/>
          <w:szCs w:val="20"/>
          <w:lang w:val="es-AR"/>
        </w:rPr>
        <w:t>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1 do 15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dana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sastoji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se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981370" w:rsidRPr="00365534">
        <w:rPr>
          <w:rFonts w:ascii="Verdana" w:hAnsi="Verdana" w:cstheme="minorHAnsi"/>
          <w:sz w:val="20"/>
          <w:szCs w:val="20"/>
          <w:lang w:val="es-AR"/>
        </w:rPr>
        <w:t>17</w:t>
      </w:r>
      <w:r w:rsidR="00B562E3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kreditnih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partija </w:t>
      </w:r>
      <w:proofErr w:type="spellStart"/>
      <w:r w:rsidR="00946344" w:rsidRPr="00365534">
        <w:rPr>
          <w:rFonts w:ascii="Verdana" w:hAnsi="Verdana" w:cstheme="minorHAnsi"/>
          <w:sz w:val="20"/>
          <w:szCs w:val="20"/>
          <w:lang w:val="es-AR"/>
        </w:rPr>
        <w:t>ukupne</w:t>
      </w:r>
      <w:proofErr w:type="spellEnd"/>
      <w:r w:rsidR="00946344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946344" w:rsidRPr="00365534"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 w:rsidR="00946344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7923E9" w:rsidRPr="00365534">
        <w:rPr>
          <w:rFonts w:ascii="Verdana" w:hAnsi="Verdana" w:cstheme="minorHAnsi"/>
          <w:sz w:val="20"/>
          <w:szCs w:val="20"/>
          <w:lang w:val="es-AR"/>
        </w:rPr>
        <w:t>146</w:t>
      </w:r>
      <w:r w:rsidR="00946344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946344" w:rsidRPr="00365534">
        <w:rPr>
          <w:rFonts w:ascii="Verdana" w:hAnsi="Verdana" w:cstheme="minorHAnsi"/>
          <w:sz w:val="20"/>
          <w:szCs w:val="20"/>
          <w:lang w:val="es-AR"/>
        </w:rPr>
        <w:t>hilj</w:t>
      </w:r>
      <w:proofErr w:type="spellEnd"/>
      <w:r w:rsidR="00946344" w:rsidRPr="00365534">
        <w:rPr>
          <w:rFonts w:ascii="Verdana" w:hAnsi="Verdana" w:cstheme="minorHAnsi"/>
          <w:sz w:val="20"/>
          <w:szCs w:val="20"/>
          <w:lang w:val="es-AR"/>
        </w:rPr>
        <w:t xml:space="preserve">. </w:t>
      </w:r>
      <w:r w:rsidR="00304189" w:rsidRPr="00365534">
        <w:rPr>
          <w:rFonts w:ascii="Verdana" w:hAnsi="Verdana" w:cstheme="minorHAnsi"/>
          <w:sz w:val="20"/>
          <w:szCs w:val="20"/>
          <w:lang w:val="es-AR"/>
        </w:rPr>
        <w:t xml:space="preserve">KM, </w:t>
      </w:r>
      <w:proofErr w:type="spellStart"/>
      <w:r w:rsidR="00304189" w:rsidRPr="00365534">
        <w:rPr>
          <w:rFonts w:ascii="Verdana" w:hAnsi="Verdana" w:cstheme="minorHAnsi"/>
          <w:sz w:val="20"/>
          <w:szCs w:val="20"/>
          <w:lang w:val="es-AR"/>
        </w:rPr>
        <w:t>na</w:t>
      </w:r>
      <w:proofErr w:type="spellEnd"/>
      <w:r w:rsidR="00304189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04189" w:rsidRPr="00365534">
        <w:rPr>
          <w:rFonts w:ascii="Verdana" w:hAnsi="Verdana" w:cstheme="minorHAnsi"/>
          <w:sz w:val="20"/>
          <w:szCs w:val="20"/>
          <w:lang w:val="es-AR"/>
        </w:rPr>
        <w:t>isti</w:t>
      </w:r>
      <w:proofErr w:type="spellEnd"/>
      <w:r w:rsidR="00304189" w:rsidRPr="00365534">
        <w:rPr>
          <w:rFonts w:ascii="Verdana" w:hAnsi="Verdana" w:cstheme="minorHAnsi"/>
          <w:sz w:val="20"/>
          <w:szCs w:val="20"/>
          <w:lang w:val="es-AR"/>
        </w:rPr>
        <w:t xml:space="preserve"> su </w:t>
      </w:r>
      <w:proofErr w:type="spellStart"/>
      <w:r w:rsidR="00304189" w:rsidRPr="00365534">
        <w:rPr>
          <w:rFonts w:ascii="Verdana" w:hAnsi="Verdana" w:cstheme="minorHAnsi"/>
          <w:sz w:val="20"/>
          <w:szCs w:val="20"/>
          <w:lang w:val="es-AR"/>
        </w:rPr>
        <w:t>formirane</w:t>
      </w:r>
      <w:proofErr w:type="spellEnd"/>
      <w:r w:rsidR="00304189" w:rsidRPr="00365534">
        <w:rPr>
          <w:rFonts w:ascii="Verdana" w:hAnsi="Verdana" w:cstheme="minorHAnsi"/>
          <w:sz w:val="20"/>
          <w:szCs w:val="20"/>
          <w:lang w:val="es-AR"/>
        </w:rPr>
        <w:t xml:space="preserve"> IV</w:t>
      </w:r>
      <w:r w:rsidR="00415E2B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304189" w:rsidRPr="00365534">
        <w:rPr>
          <w:rFonts w:ascii="Verdana" w:hAnsi="Verdana" w:cstheme="minorHAnsi"/>
          <w:sz w:val="20"/>
          <w:szCs w:val="20"/>
          <w:lang w:val="es-AR"/>
        </w:rPr>
        <w:t>/ RR</w:t>
      </w:r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032C11" w:rsidRPr="00365534">
        <w:rPr>
          <w:rFonts w:ascii="Verdana" w:hAnsi="Verdana" w:cstheme="minorHAnsi"/>
          <w:sz w:val="20"/>
          <w:szCs w:val="20"/>
          <w:lang w:val="es-AR"/>
        </w:rPr>
        <w:t>po</w:t>
      </w:r>
      <w:proofErr w:type="spellEnd"/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032C11" w:rsidRPr="00365534">
        <w:rPr>
          <w:rFonts w:ascii="Verdana" w:hAnsi="Verdana" w:cstheme="minorHAnsi"/>
          <w:sz w:val="20"/>
          <w:szCs w:val="20"/>
          <w:lang w:val="es-AR"/>
        </w:rPr>
        <w:t>stopi</w:t>
      </w:r>
      <w:proofErr w:type="spellEnd"/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032C11"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2,00%</w:t>
      </w:r>
      <w:r w:rsidR="00304189" w:rsidRPr="00365534">
        <w:rPr>
          <w:rFonts w:ascii="Verdana" w:hAnsi="Verdana" w:cstheme="minorHAnsi"/>
          <w:sz w:val="20"/>
          <w:szCs w:val="20"/>
          <w:lang w:val="es-AR"/>
        </w:rPr>
        <w:t xml:space="preserve">. </w:t>
      </w:r>
      <w:proofErr w:type="spellStart"/>
      <w:r w:rsidR="00415E2B" w:rsidRPr="00365534">
        <w:rPr>
          <w:rFonts w:ascii="Verdana" w:hAnsi="Verdana" w:cstheme="minorHAnsi"/>
          <w:sz w:val="20"/>
          <w:szCs w:val="20"/>
          <w:lang w:val="es-AR"/>
        </w:rPr>
        <w:t>Ovaj</w:t>
      </w:r>
      <w:proofErr w:type="spellEnd"/>
      <w:r w:rsidR="00415E2B" w:rsidRPr="00365534">
        <w:rPr>
          <w:rFonts w:ascii="Verdana" w:hAnsi="Verdana" w:cstheme="minorHAnsi"/>
          <w:sz w:val="20"/>
          <w:szCs w:val="20"/>
          <w:lang w:val="es-AR"/>
        </w:rPr>
        <w:t xml:space="preserve"> dio </w:t>
      </w:r>
      <w:proofErr w:type="spellStart"/>
      <w:r w:rsidR="00415E2B" w:rsidRPr="00365534">
        <w:rPr>
          <w:rFonts w:ascii="Verdana" w:hAnsi="Verdana" w:cstheme="minorHAnsi"/>
          <w:sz w:val="20"/>
          <w:szCs w:val="20"/>
          <w:lang w:val="es-AR"/>
        </w:rPr>
        <w:t>portfoli</w:t>
      </w:r>
      <w:r w:rsidR="00DF3B20" w:rsidRPr="00365534">
        <w:rPr>
          <w:rFonts w:ascii="Verdana" w:hAnsi="Verdana" w:cstheme="minorHAnsi"/>
          <w:sz w:val="20"/>
          <w:szCs w:val="20"/>
          <w:lang w:val="es-AR"/>
        </w:rPr>
        <w:t>j</w:t>
      </w:r>
      <w:r w:rsidR="00415E2B" w:rsidRPr="00365534">
        <w:rPr>
          <w:rFonts w:ascii="Verdana" w:hAnsi="Verdana" w:cstheme="minorHAnsi"/>
          <w:sz w:val="20"/>
          <w:szCs w:val="20"/>
          <w:lang w:val="es-AR"/>
        </w:rPr>
        <w:t>a</w:t>
      </w:r>
      <w:proofErr w:type="spellEnd"/>
      <w:r w:rsidR="00415E2B" w:rsidRPr="00365534">
        <w:rPr>
          <w:rFonts w:ascii="Verdana" w:hAnsi="Verdana" w:cstheme="minorHAnsi"/>
          <w:sz w:val="20"/>
          <w:szCs w:val="20"/>
          <w:lang w:val="es-AR"/>
        </w:rPr>
        <w:t xml:space="preserve"> u</w:t>
      </w:r>
      <w:r w:rsidR="00946344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946344" w:rsidRPr="00365534">
        <w:rPr>
          <w:rFonts w:ascii="Verdana" w:hAnsi="Verdana" w:cstheme="minorHAnsi"/>
          <w:sz w:val="20"/>
          <w:szCs w:val="20"/>
          <w:lang w:val="es-AR"/>
        </w:rPr>
        <w:t>ukupnom</w:t>
      </w:r>
      <w:proofErr w:type="spellEnd"/>
      <w:r w:rsidR="00946344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946344" w:rsidRPr="00365534">
        <w:rPr>
          <w:rFonts w:ascii="Verdana" w:hAnsi="Verdana" w:cstheme="minorHAnsi"/>
          <w:sz w:val="20"/>
          <w:szCs w:val="20"/>
          <w:lang w:val="es-AR"/>
        </w:rPr>
        <w:t>kreditnom</w:t>
      </w:r>
      <w:proofErr w:type="spellEnd"/>
      <w:r w:rsidR="00946344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946344" w:rsidRPr="00365534">
        <w:rPr>
          <w:rFonts w:ascii="Verdana" w:hAnsi="Verdana" w:cstheme="minorHAnsi"/>
          <w:sz w:val="20"/>
          <w:szCs w:val="20"/>
          <w:lang w:val="es-AR"/>
        </w:rPr>
        <w:t>portfoliju</w:t>
      </w:r>
      <w:proofErr w:type="spellEnd"/>
      <w:r w:rsidR="00946344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946344" w:rsidRPr="00365534">
        <w:rPr>
          <w:rFonts w:ascii="Verdana" w:hAnsi="Verdana" w:cstheme="minorHAnsi"/>
          <w:sz w:val="20"/>
          <w:szCs w:val="20"/>
          <w:lang w:val="es-AR"/>
        </w:rPr>
        <w:t>učestvuj</w:t>
      </w:r>
      <w:r w:rsidR="00304189" w:rsidRPr="00365534">
        <w:rPr>
          <w:rFonts w:ascii="Verdana" w:hAnsi="Verdana" w:cstheme="minorHAnsi"/>
          <w:sz w:val="20"/>
          <w:szCs w:val="20"/>
          <w:lang w:val="es-AR"/>
        </w:rPr>
        <w:t>e</w:t>
      </w:r>
      <w:proofErr w:type="spellEnd"/>
      <w:r w:rsidR="00946344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946344"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="00946344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B562E3" w:rsidRPr="00365534">
        <w:rPr>
          <w:rFonts w:ascii="Verdana" w:hAnsi="Verdana" w:cstheme="minorHAnsi"/>
          <w:sz w:val="20"/>
          <w:szCs w:val="20"/>
          <w:lang w:val="es-AR"/>
        </w:rPr>
        <w:t>1,</w:t>
      </w:r>
      <w:r w:rsidR="007923E9" w:rsidRPr="00365534">
        <w:rPr>
          <w:rFonts w:ascii="Verdana" w:hAnsi="Verdana" w:cstheme="minorHAnsi"/>
          <w:sz w:val="20"/>
          <w:szCs w:val="20"/>
          <w:lang w:val="es-AR"/>
        </w:rPr>
        <w:t>41</w:t>
      </w:r>
      <w:r w:rsidR="00946344" w:rsidRPr="00365534">
        <w:rPr>
          <w:rFonts w:ascii="Verdana" w:hAnsi="Verdana" w:cstheme="minorHAnsi"/>
          <w:sz w:val="20"/>
          <w:szCs w:val="20"/>
          <w:lang w:val="es-AR"/>
        </w:rPr>
        <w:t>%.</w:t>
      </w:r>
    </w:p>
    <w:p w14:paraId="678905FA" w14:textId="77777777" w:rsidR="00B562E3" w:rsidRPr="00365534" w:rsidRDefault="00B562E3" w:rsidP="0085691E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</w:p>
    <w:p w14:paraId="25929F8A" w14:textId="3CB37B3B" w:rsidR="00B562E3" w:rsidRPr="00365534" w:rsidRDefault="00B562E3" w:rsidP="00B562E3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portfolio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kašnjenjem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otpl</w:t>
      </w:r>
      <w:r w:rsidR="00DF3B20" w:rsidRPr="00365534">
        <w:rPr>
          <w:rFonts w:ascii="Verdana" w:hAnsi="Verdana" w:cstheme="minorHAnsi"/>
          <w:sz w:val="20"/>
          <w:szCs w:val="20"/>
          <w:lang w:val="es-AR"/>
        </w:rPr>
        <w:t>a</w:t>
      </w:r>
      <w:r w:rsidRPr="00365534">
        <w:rPr>
          <w:rFonts w:ascii="Verdana" w:hAnsi="Verdana" w:cstheme="minorHAnsi"/>
          <w:sz w:val="20"/>
          <w:szCs w:val="20"/>
          <w:lang w:val="es-AR"/>
        </w:rPr>
        <w:t>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16 do 30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dana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sastoji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se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7923E9" w:rsidRPr="00365534">
        <w:rPr>
          <w:rFonts w:ascii="Verdana" w:hAnsi="Verdana" w:cstheme="minorHAnsi"/>
          <w:sz w:val="20"/>
          <w:szCs w:val="20"/>
          <w:lang w:val="es-AR"/>
        </w:rPr>
        <w:t>12</w:t>
      </w:r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</w:t>
      </w:r>
      <w:r w:rsidR="007923E9" w:rsidRPr="00365534">
        <w:rPr>
          <w:rFonts w:ascii="Verdana" w:hAnsi="Verdana" w:cstheme="minorHAnsi"/>
          <w:sz w:val="20"/>
          <w:szCs w:val="20"/>
          <w:lang w:val="es-AR"/>
        </w:rPr>
        <w:t>ih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partij</w:t>
      </w:r>
      <w:r w:rsidR="00981370" w:rsidRPr="00365534">
        <w:rPr>
          <w:rFonts w:ascii="Verdana" w:hAnsi="Verdana" w:cstheme="minorHAnsi"/>
          <w:sz w:val="20"/>
          <w:szCs w:val="20"/>
          <w:lang w:val="es-AR"/>
        </w:rPr>
        <w:t>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ukupne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344133" w:rsidRPr="00365534">
        <w:rPr>
          <w:rFonts w:ascii="Verdana" w:hAnsi="Verdana" w:cstheme="minorHAnsi"/>
          <w:sz w:val="20"/>
          <w:szCs w:val="20"/>
          <w:lang w:val="es-AR"/>
        </w:rPr>
        <w:t>102</w:t>
      </w:r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hilj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. KM,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na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isti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su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formirane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IV / RR</w:t>
      </w:r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032C11" w:rsidRPr="00365534">
        <w:rPr>
          <w:rFonts w:ascii="Verdana" w:hAnsi="Verdana" w:cstheme="minorHAnsi"/>
          <w:sz w:val="20"/>
          <w:szCs w:val="20"/>
          <w:lang w:val="es-AR"/>
        </w:rPr>
        <w:t>glavnog</w:t>
      </w:r>
      <w:proofErr w:type="spellEnd"/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032C11" w:rsidRPr="00365534">
        <w:rPr>
          <w:rFonts w:ascii="Verdana" w:hAnsi="Verdana" w:cstheme="minorHAnsi"/>
          <w:sz w:val="20"/>
          <w:szCs w:val="20"/>
          <w:lang w:val="es-AR"/>
        </w:rPr>
        <w:t>duga</w:t>
      </w:r>
      <w:proofErr w:type="spellEnd"/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032C11"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15,00% i  </w:t>
      </w:r>
      <w:proofErr w:type="spellStart"/>
      <w:r w:rsidR="00032C11" w:rsidRPr="00365534">
        <w:rPr>
          <w:rFonts w:ascii="Verdana" w:hAnsi="Verdana" w:cstheme="minorHAnsi"/>
          <w:sz w:val="20"/>
          <w:szCs w:val="20"/>
          <w:lang w:val="es-AR"/>
        </w:rPr>
        <w:t>kamat</w:t>
      </w:r>
      <w:r w:rsidR="0034262C" w:rsidRPr="00365534">
        <w:rPr>
          <w:rFonts w:ascii="Verdana" w:hAnsi="Verdana" w:cstheme="minorHAnsi"/>
          <w:sz w:val="20"/>
          <w:szCs w:val="20"/>
          <w:lang w:val="es-AR"/>
        </w:rPr>
        <w:t>a</w:t>
      </w:r>
      <w:proofErr w:type="spellEnd"/>
      <w:r w:rsidR="0034262C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032C11"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100,00%</w:t>
      </w:r>
      <w:r w:rsidRPr="00365534">
        <w:rPr>
          <w:rFonts w:ascii="Verdana" w:hAnsi="Verdana" w:cstheme="minorHAnsi"/>
          <w:sz w:val="20"/>
          <w:szCs w:val="20"/>
          <w:lang w:val="es-AR"/>
        </w:rPr>
        <w:t xml:space="preserve">.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Ovaj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dio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portfol</w:t>
      </w:r>
      <w:r w:rsidR="00DF3B20" w:rsidRPr="00365534">
        <w:rPr>
          <w:rFonts w:ascii="Verdana" w:hAnsi="Verdana" w:cstheme="minorHAnsi"/>
          <w:sz w:val="20"/>
          <w:szCs w:val="20"/>
          <w:lang w:val="es-AR"/>
        </w:rPr>
        <w:t>j</w:t>
      </w:r>
      <w:r w:rsidRPr="00365534">
        <w:rPr>
          <w:rFonts w:ascii="Verdana" w:hAnsi="Verdana" w:cstheme="minorHAnsi"/>
          <w:sz w:val="20"/>
          <w:szCs w:val="20"/>
          <w:lang w:val="es-AR"/>
        </w:rPr>
        <w:t>ia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ukupnom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kreditnom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portfoliju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učestvuje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0,</w:t>
      </w:r>
      <w:r w:rsidR="00344133" w:rsidRPr="00365534">
        <w:rPr>
          <w:rFonts w:ascii="Verdana" w:hAnsi="Verdana" w:cstheme="minorHAnsi"/>
          <w:sz w:val="20"/>
          <w:szCs w:val="20"/>
          <w:lang w:val="es-AR"/>
        </w:rPr>
        <w:t>98</w:t>
      </w:r>
      <w:r w:rsidRPr="00365534">
        <w:rPr>
          <w:rFonts w:ascii="Verdana" w:hAnsi="Verdana" w:cstheme="minorHAnsi"/>
          <w:sz w:val="20"/>
          <w:szCs w:val="20"/>
          <w:lang w:val="es-AR"/>
        </w:rPr>
        <w:t>%.</w:t>
      </w:r>
    </w:p>
    <w:p w14:paraId="6AC7D027" w14:textId="77777777" w:rsidR="00B562E3" w:rsidRPr="00365534" w:rsidRDefault="00B562E3" w:rsidP="00B562E3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</w:p>
    <w:p w14:paraId="45705473" w14:textId="13F86363" w:rsidR="00B562E3" w:rsidRPr="00365534" w:rsidRDefault="00B562E3" w:rsidP="00B562E3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portfolio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kašnjenjem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otpl</w:t>
      </w:r>
      <w:r w:rsidR="00DF3B20" w:rsidRPr="00365534">
        <w:rPr>
          <w:rFonts w:ascii="Verdana" w:hAnsi="Verdana" w:cstheme="minorHAnsi"/>
          <w:sz w:val="20"/>
          <w:szCs w:val="20"/>
          <w:lang w:val="es-AR"/>
        </w:rPr>
        <w:t>a</w:t>
      </w:r>
      <w:r w:rsidRPr="00365534">
        <w:rPr>
          <w:rFonts w:ascii="Verdana" w:hAnsi="Verdana" w:cstheme="minorHAnsi"/>
          <w:sz w:val="20"/>
          <w:szCs w:val="20"/>
          <w:lang w:val="es-AR"/>
        </w:rPr>
        <w:t>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31 do 60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dana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sastoji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se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344133" w:rsidRPr="00365534">
        <w:rPr>
          <w:rFonts w:ascii="Verdana" w:hAnsi="Verdana" w:cstheme="minorHAnsi"/>
          <w:sz w:val="20"/>
          <w:szCs w:val="20"/>
          <w:lang w:val="es-AR"/>
        </w:rPr>
        <w:t>7</w:t>
      </w:r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</w:t>
      </w:r>
      <w:r w:rsidR="00981370" w:rsidRPr="00365534">
        <w:rPr>
          <w:rFonts w:ascii="Verdana" w:hAnsi="Verdana" w:cstheme="minorHAnsi"/>
          <w:sz w:val="20"/>
          <w:szCs w:val="20"/>
          <w:lang w:val="es-AR"/>
        </w:rPr>
        <w:t>ih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partij</w:t>
      </w:r>
      <w:r w:rsidR="00981370" w:rsidRPr="00365534">
        <w:rPr>
          <w:rFonts w:ascii="Verdana" w:hAnsi="Verdana" w:cstheme="minorHAnsi"/>
          <w:sz w:val="20"/>
          <w:szCs w:val="20"/>
          <w:lang w:val="es-AR"/>
        </w:rPr>
        <w:t xml:space="preserve">a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ukupne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344133" w:rsidRPr="00365534">
        <w:rPr>
          <w:rFonts w:ascii="Verdana" w:hAnsi="Verdana" w:cstheme="minorHAnsi"/>
          <w:sz w:val="20"/>
          <w:szCs w:val="20"/>
          <w:lang w:val="es-AR"/>
        </w:rPr>
        <w:t>28</w:t>
      </w:r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hilj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. KM,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na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isti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su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formirane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IV / RR</w:t>
      </w:r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032C11" w:rsidRPr="00365534">
        <w:rPr>
          <w:rFonts w:ascii="Verdana" w:hAnsi="Verdana" w:cstheme="minorHAnsi"/>
          <w:sz w:val="20"/>
          <w:szCs w:val="20"/>
          <w:lang w:val="es-AR"/>
        </w:rPr>
        <w:t>glavnog</w:t>
      </w:r>
      <w:proofErr w:type="spellEnd"/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032C11" w:rsidRPr="00365534">
        <w:rPr>
          <w:rFonts w:ascii="Verdana" w:hAnsi="Verdana" w:cstheme="minorHAnsi"/>
          <w:sz w:val="20"/>
          <w:szCs w:val="20"/>
          <w:lang w:val="es-AR"/>
        </w:rPr>
        <w:t>duga</w:t>
      </w:r>
      <w:proofErr w:type="spellEnd"/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032C11"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50,00% i </w:t>
      </w:r>
      <w:proofErr w:type="spellStart"/>
      <w:r w:rsidR="00032C11" w:rsidRPr="00365534">
        <w:rPr>
          <w:rFonts w:ascii="Verdana" w:hAnsi="Verdana" w:cstheme="minorHAnsi"/>
          <w:sz w:val="20"/>
          <w:szCs w:val="20"/>
          <w:lang w:val="es-AR"/>
        </w:rPr>
        <w:t>kamat</w:t>
      </w:r>
      <w:r w:rsidR="0034262C" w:rsidRPr="00365534">
        <w:rPr>
          <w:rFonts w:ascii="Verdana" w:hAnsi="Verdana" w:cstheme="minorHAnsi"/>
          <w:sz w:val="20"/>
          <w:szCs w:val="20"/>
          <w:lang w:val="es-AR"/>
        </w:rPr>
        <w:t>a</w:t>
      </w:r>
      <w:proofErr w:type="spellEnd"/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032C11"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="00032C11" w:rsidRPr="00365534">
        <w:rPr>
          <w:rFonts w:ascii="Verdana" w:hAnsi="Verdana" w:cstheme="minorHAnsi"/>
          <w:sz w:val="20"/>
          <w:szCs w:val="20"/>
          <w:lang w:val="es-AR"/>
        </w:rPr>
        <w:t xml:space="preserve"> 100,00%</w:t>
      </w:r>
      <w:r w:rsidRPr="00365534">
        <w:rPr>
          <w:rFonts w:ascii="Verdana" w:hAnsi="Verdana" w:cstheme="minorHAnsi"/>
          <w:sz w:val="20"/>
          <w:szCs w:val="20"/>
          <w:lang w:val="es-AR"/>
        </w:rPr>
        <w:t xml:space="preserve">.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Ovaj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dio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portfoli</w:t>
      </w:r>
      <w:r w:rsidR="00DF3B20" w:rsidRPr="00365534">
        <w:rPr>
          <w:rFonts w:ascii="Verdana" w:hAnsi="Verdana" w:cstheme="minorHAnsi"/>
          <w:sz w:val="20"/>
          <w:szCs w:val="20"/>
          <w:lang w:val="es-AR"/>
        </w:rPr>
        <w:t>j</w:t>
      </w:r>
      <w:r w:rsidRPr="00365534">
        <w:rPr>
          <w:rFonts w:ascii="Verdana" w:hAnsi="Verdana" w:cstheme="minorHAnsi"/>
          <w:sz w:val="20"/>
          <w:szCs w:val="20"/>
          <w:lang w:val="es-AR"/>
        </w:rPr>
        <w:t>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ukupnom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kreditnom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portfoliju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učestvuje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0,</w:t>
      </w:r>
      <w:r w:rsidR="00032C11" w:rsidRPr="00365534">
        <w:rPr>
          <w:rFonts w:ascii="Verdana" w:hAnsi="Verdana" w:cstheme="minorHAnsi"/>
          <w:sz w:val="20"/>
          <w:szCs w:val="20"/>
          <w:lang w:val="es-AR"/>
        </w:rPr>
        <w:t>2</w:t>
      </w:r>
      <w:r w:rsidR="00344133" w:rsidRPr="00365534">
        <w:rPr>
          <w:rFonts w:ascii="Verdana" w:hAnsi="Verdana" w:cstheme="minorHAnsi"/>
          <w:sz w:val="20"/>
          <w:szCs w:val="20"/>
          <w:lang w:val="es-AR"/>
        </w:rPr>
        <w:t>7</w:t>
      </w:r>
      <w:r w:rsidRPr="00365534">
        <w:rPr>
          <w:rFonts w:ascii="Verdana" w:hAnsi="Verdana" w:cstheme="minorHAnsi"/>
          <w:sz w:val="20"/>
          <w:szCs w:val="20"/>
          <w:lang w:val="es-AR"/>
        </w:rPr>
        <w:t>%.</w:t>
      </w:r>
    </w:p>
    <w:p w14:paraId="0E89539E" w14:textId="77777777" w:rsidR="00B562E3" w:rsidRPr="00365534" w:rsidRDefault="00B562E3" w:rsidP="00B562E3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</w:p>
    <w:p w14:paraId="71CB2782" w14:textId="2C5A803B" w:rsidR="00344133" w:rsidRPr="00365534" w:rsidRDefault="00B562E3" w:rsidP="00344133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portfolio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kašnjenjem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otplsti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61 do 90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dana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sastoji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se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3 </w:t>
      </w:r>
      <w:proofErr w:type="spellStart"/>
      <w:r w:rsidR="00D263CF">
        <w:rPr>
          <w:rFonts w:ascii="Verdana" w:hAnsi="Verdana" w:cstheme="minorHAnsi"/>
          <w:sz w:val="20"/>
          <w:szCs w:val="20"/>
          <w:lang w:val="es-AR"/>
        </w:rPr>
        <w:t>kreditne</w:t>
      </w:r>
      <w:proofErr w:type="spellEnd"/>
      <w:r w:rsidR="00D263CF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D263CF">
        <w:rPr>
          <w:rFonts w:ascii="Verdana" w:hAnsi="Verdana" w:cstheme="minorHAnsi"/>
          <w:sz w:val="20"/>
          <w:szCs w:val="20"/>
          <w:lang w:val="es-AR"/>
        </w:rPr>
        <w:t>partije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ukupne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6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hilj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. KM,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na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isti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su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formirane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IV / RR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glavnog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duga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80,00% i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kamata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100,00%.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Ovaj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dio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portfolija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ukupnom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kreditnom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portfoliju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učestvuje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="00344133"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="00344133" w:rsidRPr="00365534">
        <w:rPr>
          <w:rFonts w:ascii="Verdana" w:hAnsi="Verdana" w:cstheme="minorHAnsi"/>
          <w:sz w:val="20"/>
          <w:szCs w:val="20"/>
          <w:lang w:val="es-AR"/>
        </w:rPr>
        <w:t xml:space="preserve"> 0,06%.</w:t>
      </w:r>
    </w:p>
    <w:p w14:paraId="0EB735AB" w14:textId="19B79CEA" w:rsidR="00B562E3" w:rsidRPr="00365534" w:rsidRDefault="00B562E3" w:rsidP="0085691E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</w:p>
    <w:p w14:paraId="5EBC5704" w14:textId="1F931764" w:rsidR="00946344" w:rsidRPr="00365534" w:rsidRDefault="00946344" w:rsidP="0085691E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portfolio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kašnjenjem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otplati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91 do 180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dana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sastoji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se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365534" w:rsidRPr="00365534">
        <w:rPr>
          <w:rFonts w:ascii="Verdana" w:hAnsi="Verdana" w:cstheme="minorHAnsi"/>
          <w:sz w:val="20"/>
          <w:szCs w:val="20"/>
          <w:lang w:val="es-AR"/>
        </w:rPr>
        <w:t>2</w:t>
      </w:r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</w:t>
      </w:r>
      <w:r w:rsidR="00D263CF">
        <w:rPr>
          <w:rFonts w:ascii="Verdana" w:hAnsi="Verdana" w:cstheme="minorHAnsi"/>
          <w:sz w:val="20"/>
          <w:szCs w:val="20"/>
          <w:lang w:val="es-AR"/>
        </w:rPr>
        <w:t>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partij</w:t>
      </w:r>
      <w:r w:rsidR="00D263CF">
        <w:rPr>
          <w:rFonts w:ascii="Verdana" w:hAnsi="Verdana" w:cstheme="minorHAnsi"/>
          <w:sz w:val="20"/>
          <w:szCs w:val="20"/>
          <w:lang w:val="es-AR"/>
        </w:rPr>
        <w:t>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ukupne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9E462A" w:rsidRPr="00365534">
        <w:rPr>
          <w:rFonts w:ascii="Verdana" w:hAnsi="Verdana" w:cstheme="minorHAnsi"/>
          <w:sz w:val="20"/>
          <w:szCs w:val="20"/>
          <w:lang w:val="es-AR"/>
        </w:rPr>
        <w:t xml:space="preserve">13 </w:t>
      </w:r>
      <w:proofErr w:type="spellStart"/>
      <w:r w:rsidR="00B562E3" w:rsidRPr="00365534">
        <w:rPr>
          <w:rFonts w:ascii="Verdana" w:hAnsi="Verdana" w:cstheme="minorHAnsi"/>
          <w:sz w:val="20"/>
          <w:szCs w:val="20"/>
          <w:lang w:val="es-AR"/>
        </w:rPr>
        <w:t>hilj</w:t>
      </w:r>
      <w:proofErr w:type="spellEnd"/>
      <w:r w:rsidR="00B562E3" w:rsidRPr="00365534">
        <w:rPr>
          <w:rFonts w:ascii="Verdana" w:hAnsi="Verdana" w:cstheme="minorHAnsi"/>
          <w:sz w:val="20"/>
          <w:szCs w:val="20"/>
          <w:lang w:val="es-AR"/>
        </w:rPr>
        <w:t xml:space="preserve">. KM, </w:t>
      </w:r>
      <w:proofErr w:type="spellStart"/>
      <w:r w:rsidR="00B562E3" w:rsidRPr="00365534">
        <w:rPr>
          <w:rFonts w:ascii="Verdana" w:hAnsi="Verdana" w:cstheme="minorHAnsi"/>
          <w:sz w:val="20"/>
          <w:szCs w:val="20"/>
          <w:lang w:val="es-AR"/>
        </w:rPr>
        <w:t>na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isti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su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formitrane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100% IV</w:t>
      </w:r>
      <w:r w:rsidR="00415E2B"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Pr="00365534">
        <w:rPr>
          <w:rFonts w:ascii="Verdana" w:hAnsi="Verdana" w:cstheme="minorHAnsi"/>
          <w:sz w:val="20"/>
          <w:szCs w:val="20"/>
          <w:lang w:val="es-AR"/>
        </w:rPr>
        <w:t>/ RR</w:t>
      </w:r>
      <w:r w:rsidR="00304189" w:rsidRPr="00365534">
        <w:rPr>
          <w:rFonts w:ascii="Verdana" w:hAnsi="Verdana" w:cstheme="minorHAnsi"/>
          <w:sz w:val="20"/>
          <w:szCs w:val="20"/>
          <w:lang w:val="es-AR"/>
        </w:rPr>
        <w:t xml:space="preserve">. </w:t>
      </w:r>
      <w:proofErr w:type="spellStart"/>
      <w:r w:rsidR="00415E2B" w:rsidRPr="00365534">
        <w:rPr>
          <w:rFonts w:ascii="Verdana" w:hAnsi="Verdana" w:cstheme="minorHAnsi"/>
          <w:sz w:val="20"/>
          <w:szCs w:val="20"/>
          <w:lang w:val="es-AR"/>
        </w:rPr>
        <w:t>Ovaj</w:t>
      </w:r>
      <w:proofErr w:type="spellEnd"/>
      <w:r w:rsidR="00415E2B" w:rsidRPr="00365534">
        <w:rPr>
          <w:rFonts w:ascii="Verdana" w:hAnsi="Verdana" w:cstheme="minorHAnsi"/>
          <w:sz w:val="20"/>
          <w:szCs w:val="20"/>
          <w:lang w:val="es-AR"/>
        </w:rPr>
        <w:t xml:space="preserve"> dio </w:t>
      </w:r>
      <w:proofErr w:type="spellStart"/>
      <w:r w:rsidR="00415E2B" w:rsidRPr="00365534">
        <w:rPr>
          <w:rFonts w:ascii="Verdana" w:hAnsi="Verdana" w:cstheme="minorHAnsi"/>
          <w:sz w:val="20"/>
          <w:szCs w:val="20"/>
          <w:lang w:val="es-AR"/>
        </w:rPr>
        <w:t>portfoli</w:t>
      </w:r>
      <w:r w:rsidR="00DF3B20" w:rsidRPr="00365534">
        <w:rPr>
          <w:rFonts w:ascii="Verdana" w:hAnsi="Verdana" w:cstheme="minorHAnsi"/>
          <w:sz w:val="20"/>
          <w:szCs w:val="20"/>
          <w:lang w:val="es-AR"/>
        </w:rPr>
        <w:t>j</w:t>
      </w:r>
      <w:r w:rsidR="00415E2B" w:rsidRPr="00365534">
        <w:rPr>
          <w:rFonts w:ascii="Verdana" w:hAnsi="Verdana" w:cstheme="minorHAnsi"/>
          <w:sz w:val="20"/>
          <w:szCs w:val="20"/>
          <w:lang w:val="es-AR"/>
        </w:rPr>
        <w:t>a</w:t>
      </w:r>
      <w:proofErr w:type="spellEnd"/>
      <w:r w:rsidR="00415E2B" w:rsidRPr="00365534">
        <w:rPr>
          <w:rFonts w:ascii="Verdana" w:hAnsi="Verdana" w:cstheme="minorHAnsi"/>
          <w:sz w:val="20"/>
          <w:szCs w:val="20"/>
          <w:lang w:val="es-AR"/>
        </w:rPr>
        <w:t xml:space="preserve"> u</w:t>
      </w:r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ukupnom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kreditnom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portfoliju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učestvuje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B562E3" w:rsidRPr="00365534">
        <w:rPr>
          <w:rFonts w:ascii="Verdana" w:hAnsi="Verdana" w:cstheme="minorHAnsi"/>
          <w:sz w:val="20"/>
          <w:szCs w:val="20"/>
          <w:lang w:val="es-AR"/>
        </w:rPr>
        <w:t>0,</w:t>
      </w:r>
      <w:r w:rsidR="00344133" w:rsidRPr="00365534">
        <w:rPr>
          <w:rFonts w:ascii="Verdana" w:hAnsi="Verdana" w:cstheme="minorHAnsi"/>
          <w:sz w:val="20"/>
          <w:szCs w:val="20"/>
          <w:lang w:val="es-AR"/>
        </w:rPr>
        <w:t>13</w:t>
      </w:r>
      <w:r w:rsidRPr="00365534">
        <w:rPr>
          <w:rFonts w:ascii="Verdana" w:hAnsi="Verdana" w:cstheme="minorHAnsi"/>
          <w:sz w:val="20"/>
          <w:szCs w:val="20"/>
          <w:lang w:val="es-AR"/>
        </w:rPr>
        <w:t>%.</w:t>
      </w:r>
    </w:p>
    <w:p w14:paraId="77E85556" w14:textId="77777777" w:rsidR="0085691E" w:rsidRPr="00365534" w:rsidRDefault="0085691E" w:rsidP="0085691E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</w:p>
    <w:p w14:paraId="1DDE1EC4" w14:textId="045FAD06" w:rsidR="00B562E3" w:rsidRPr="00365534" w:rsidRDefault="00B562E3" w:rsidP="00B562E3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portfolio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kašnjenjem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otplati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preko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180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dana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sastoji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se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od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344133" w:rsidRPr="00365534">
        <w:rPr>
          <w:rFonts w:ascii="Verdana" w:hAnsi="Verdana" w:cstheme="minorHAnsi"/>
          <w:sz w:val="20"/>
          <w:szCs w:val="20"/>
          <w:lang w:val="es-AR"/>
        </w:rPr>
        <w:t>31</w:t>
      </w:r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</w:t>
      </w:r>
      <w:r w:rsidR="00981370" w:rsidRPr="00365534">
        <w:rPr>
          <w:rFonts w:ascii="Verdana" w:hAnsi="Verdana" w:cstheme="minorHAnsi"/>
          <w:sz w:val="20"/>
          <w:szCs w:val="20"/>
          <w:lang w:val="es-AR"/>
        </w:rPr>
        <w:t>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partij</w:t>
      </w:r>
      <w:r w:rsidR="00981370" w:rsidRPr="00365534">
        <w:rPr>
          <w:rFonts w:ascii="Verdana" w:hAnsi="Verdana" w:cstheme="minorHAnsi"/>
          <w:sz w:val="20"/>
          <w:szCs w:val="20"/>
          <w:lang w:val="es-AR"/>
        </w:rPr>
        <w:t>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ukupne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vrijednosti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344133" w:rsidRPr="00365534">
        <w:rPr>
          <w:rFonts w:ascii="Verdana" w:hAnsi="Verdana" w:cstheme="minorHAnsi"/>
          <w:sz w:val="20"/>
          <w:szCs w:val="20"/>
          <w:lang w:val="es-AR"/>
        </w:rPr>
        <w:t>202</w:t>
      </w:r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hilj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. KM,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na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isti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su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formitrane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100% IV / RR.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Ovaj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dio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portfoli</w:t>
      </w:r>
      <w:r w:rsidR="00816994" w:rsidRPr="00365534">
        <w:rPr>
          <w:rFonts w:ascii="Verdana" w:hAnsi="Verdana" w:cstheme="minorHAnsi"/>
          <w:sz w:val="20"/>
          <w:szCs w:val="20"/>
          <w:lang w:val="es-AR"/>
        </w:rPr>
        <w:t>j</w:t>
      </w:r>
      <w:r w:rsidRPr="00365534">
        <w:rPr>
          <w:rFonts w:ascii="Verdana" w:hAnsi="Verdana" w:cstheme="minorHAnsi"/>
          <w:sz w:val="20"/>
          <w:szCs w:val="20"/>
          <w:lang w:val="es-AR"/>
        </w:rPr>
        <w:t>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u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ukupnom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kreditnom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portfoliju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učestvuje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proofErr w:type="spellStart"/>
      <w:r w:rsidRPr="00365534">
        <w:rPr>
          <w:rFonts w:ascii="Verdana" w:hAnsi="Verdana" w:cstheme="minorHAnsi"/>
          <w:sz w:val="20"/>
          <w:szCs w:val="20"/>
          <w:lang w:val="es-AR"/>
        </w:rPr>
        <w:t>sa</w:t>
      </w:r>
      <w:proofErr w:type="spellEnd"/>
      <w:r w:rsidRPr="00365534">
        <w:rPr>
          <w:rFonts w:ascii="Verdana" w:hAnsi="Verdana" w:cstheme="minorHAnsi"/>
          <w:sz w:val="20"/>
          <w:szCs w:val="20"/>
          <w:lang w:val="es-AR"/>
        </w:rPr>
        <w:t xml:space="preserve"> </w:t>
      </w:r>
      <w:r w:rsidR="00344133" w:rsidRPr="00365534">
        <w:rPr>
          <w:rFonts w:ascii="Verdana" w:hAnsi="Verdana" w:cstheme="minorHAnsi"/>
          <w:sz w:val="20"/>
          <w:szCs w:val="20"/>
          <w:lang w:val="es-AR"/>
        </w:rPr>
        <w:t>1.95</w:t>
      </w:r>
      <w:r w:rsidRPr="00365534">
        <w:rPr>
          <w:rFonts w:ascii="Verdana" w:hAnsi="Verdana" w:cstheme="minorHAnsi"/>
          <w:sz w:val="20"/>
          <w:szCs w:val="20"/>
          <w:lang w:val="es-AR"/>
        </w:rPr>
        <w:t>%.</w:t>
      </w:r>
    </w:p>
    <w:p w14:paraId="6B2F69FE" w14:textId="77777777" w:rsidR="00EB58A1" w:rsidRDefault="00EB58A1" w:rsidP="00B562E3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AR"/>
        </w:rPr>
      </w:pPr>
    </w:p>
    <w:p w14:paraId="46B98CAF" w14:textId="0382F46C" w:rsidR="00565222" w:rsidRPr="00777200" w:rsidRDefault="00145C44" w:rsidP="00AA2A12">
      <w:pPr>
        <w:pStyle w:val="Heading1"/>
        <w:numPr>
          <w:ilvl w:val="0"/>
          <w:numId w:val="39"/>
        </w:numPr>
        <w:tabs>
          <w:tab w:val="left" w:pos="360"/>
        </w:tabs>
        <w:spacing w:before="0" w:after="240" w:line="240" w:lineRule="auto"/>
        <w:ind w:left="360"/>
        <w:jc w:val="both"/>
        <w:rPr>
          <w:rFonts w:ascii="Verdana" w:hAnsi="Verdana" w:cs="Times New Roman"/>
          <w:color w:val="auto"/>
          <w:sz w:val="20"/>
          <w:szCs w:val="20"/>
          <w:lang w:val="es-AR"/>
        </w:rPr>
      </w:pPr>
      <w:bookmarkStart w:id="13" w:name="_Toc72918247"/>
      <w:proofErr w:type="spellStart"/>
      <w:r w:rsidRPr="00777200">
        <w:rPr>
          <w:rFonts w:ascii="Verdana" w:hAnsi="Verdana" w:cs="Times New Roman"/>
          <w:color w:val="auto"/>
          <w:sz w:val="20"/>
          <w:szCs w:val="20"/>
          <w:lang w:val="es-AR"/>
        </w:rPr>
        <w:t>Značajni</w:t>
      </w:r>
      <w:proofErr w:type="spellEnd"/>
      <w:r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</w:t>
      </w:r>
      <w:proofErr w:type="spellStart"/>
      <w:r w:rsidRPr="00777200">
        <w:rPr>
          <w:rFonts w:ascii="Verdana" w:hAnsi="Verdana" w:cs="Times New Roman"/>
          <w:color w:val="auto"/>
          <w:sz w:val="20"/>
          <w:szCs w:val="20"/>
          <w:lang w:val="es-AR"/>
        </w:rPr>
        <w:t>događaji</w:t>
      </w:r>
      <w:proofErr w:type="spellEnd"/>
      <w:r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</w:t>
      </w:r>
      <w:proofErr w:type="spellStart"/>
      <w:r w:rsidRPr="00777200">
        <w:rPr>
          <w:rFonts w:ascii="Verdana" w:hAnsi="Verdana" w:cs="Times New Roman"/>
          <w:color w:val="auto"/>
          <w:sz w:val="20"/>
          <w:szCs w:val="20"/>
          <w:lang w:val="es-AR"/>
        </w:rPr>
        <w:t>nastali</w:t>
      </w:r>
      <w:proofErr w:type="spellEnd"/>
      <w:r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u </w:t>
      </w:r>
      <w:bookmarkEnd w:id="13"/>
      <w:proofErr w:type="spellStart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>period</w:t>
      </w:r>
      <w:r w:rsidR="00816994" w:rsidRPr="00777200">
        <w:rPr>
          <w:rFonts w:ascii="Verdana" w:hAnsi="Verdana" w:cs="Times New Roman"/>
          <w:color w:val="auto"/>
          <w:sz w:val="20"/>
          <w:szCs w:val="20"/>
          <w:lang w:val="es-AR"/>
        </w:rPr>
        <w:t>u</w:t>
      </w:r>
      <w:proofErr w:type="spellEnd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</w:t>
      </w:r>
      <w:proofErr w:type="spellStart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>od</w:t>
      </w:r>
      <w:proofErr w:type="spellEnd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</w:t>
      </w:r>
      <w:proofErr w:type="spellStart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>datuma</w:t>
      </w:r>
      <w:proofErr w:type="spellEnd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</w:t>
      </w:r>
      <w:proofErr w:type="spellStart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>završetka</w:t>
      </w:r>
      <w:proofErr w:type="spellEnd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</w:t>
      </w:r>
      <w:proofErr w:type="spellStart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>poslovne</w:t>
      </w:r>
      <w:proofErr w:type="spellEnd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</w:t>
      </w:r>
      <w:proofErr w:type="spellStart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>godine</w:t>
      </w:r>
      <w:proofErr w:type="spellEnd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do </w:t>
      </w:r>
      <w:proofErr w:type="spellStart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>datuma</w:t>
      </w:r>
      <w:proofErr w:type="spellEnd"/>
      <w:r w:rsidR="009632FD"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</w:t>
      </w:r>
      <w:proofErr w:type="spellStart"/>
      <w:r w:rsidR="001B2F1C" w:rsidRPr="00777200">
        <w:rPr>
          <w:rFonts w:ascii="Verdana" w:hAnsi="Verdana" w:cs="Times New Roman"/>
          <w:color w:val="auto"/>
          <w:sz w:val="20"/>
          <w:szCs w:val="20"/>
          <w:lang w:val="es-AR"/>
        </w:rPr>
        <w:t>izrade</w:t>
      </w:r>
      <w:proofErr w:type="spellEnd"/>
      <w:r w:rsidR="001B2F1C"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</w:t>
      </w:r>
      <w:proofErr w:type="spellStart"/>
      <w:r w:rsidR="001B2F1C" w:rsidRPr="00777200">
        <w:rPr>
          <w:rFonts w:ascii="Verdana" w:hAnsi="Verdana" w:cs="Times New Roman"/>
          <w:color w:val="auto"/>
          <w:sz w:val="20"/>
          <w:szCs w:val="20"/>
          <w:lang w:val="es-AR"/>
        </w:rPr>
        <w:t>Godišnjeg</w:t>
      </w:r>
      <w:proofErr w:type="spellEnd"/>
      <w:r w:rsidR="001B2F1C"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</w:t>
      </w:r>
      <w:proofErr w:type="spellStart"/>
      <w:r w:rsidR="001B2F1C" w:rsidRPr="00777200">
        <w:rPr>
          <w:rFonts w:ascii="Verdana" w:hAnsi="Verdana" w:cs="Times New Roman"/>
          <w:color w:val="auto"/>
          <w:sz w:val="20"/>
          <w:szCs w:val="20"/>
          <w:lang w:val="es-AR"/>
        </w:rPr>
        <w:t>izvještaja</w:t>
      </w:r>
      <w:proofErr w:type="spellEnd"/>
      <w:r w:rsidR="001B2F1C"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o </w:t>
      </w:r>
      <w:proofErr w:type="spellStart"/>
      <w:r w:rsidR="001B2F1C" w:rsidRPr="00777200">
        <w:rPr>
          <w:rFonts w:ascii="Verdana" w:hAnsi="Verdana" w:cs="Times New Roman"/>
          <w:color w:val="auto"/>
          <w:sz w:val="20"/>
          <w:szCs w:val="20"/>
          <w:lang w:val="es-AR"/>
        </w:rPr>
        <w:t>poslovanju</w:t>
      </w:r>
      <w:proofErr w:type="spellEnd"/>
      <w:r w:rsidR="001B2F1C"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</w:t>
      </w:r>
      <w:proofErr w:type="spellStart"/>
      <w:r w:rsidR="001B2F1C" w:rsidRPr="00777200">
        <w:rPr>
          <w:rFonts w:ascii="Verdana" w:hAnsi="Verdana" w:cs="Times New Roman"/>
          <w:color w:val="auto"/>
          <w:sz w:val="20"/>
          <w:szCs w:val="20"/>
          <w:lang w:val="es-AR"/>
        </w:rPr>
        <w:t>za</w:t>
      </w:r>
      <w:proofErr w:type="spellEnd"/>
      <w:r w:rsidR="001B2F1C"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 202</w:t>
      </w:r>
      <w:r w:rsidR="00365534">
        <w:rPr>
          <w:rFonts w:ascii="Verdana" w:hAnsi="Verdana" w:cs="Times New Roman"/>
          <w:color w:val="auto"/>
          <w:sz w:val="20"/>
          <w:szCs w:val="20"/>
          <w:lang w:val="es-AR"/>
        </w:rPr>
        <w:t>4</w:t>
      </w:r>
      <w:r w:rsidR="001B2F1C" w:rsidRPr="00777200">
        <w:rPr>
          <w:rFonts w:ascii="Verdana" w:hAnsi="Verdana" w:cs="Times New Roman"/>
          <w:color w:val="auto"/>
          <w:sz w:val="20"/>
          <w:szCs w:val="20"/>
          <w:lang w:val="es-AR"/>
        </w:rPr>
        <w:t xml:space="preserve">. </w:t>
      </w:r>
      <w:proofErr w:type="spellStart"/>
      <w:r w:rsidR="001B2F1C" w:rsidRPr="00777200">
        <w:rPr>
          <w:rFonts w:ascii="Verdana" w:hAnsi="Verdana" w:cs="Times New Roman"/>
          <w:color w:val="auto"/>
          <w:sz w:val="20"/>
          <w:szCs w:val="20"/>
          <w:lang w:val="es-AR"/>
        </w:rPr>
        <w:t>godinu</w:t>
      </w:r>
      <w:proofErr w:type="spellEnd"/>
    </w:p>
    <w:p w14:paraId="0EC4E280" w14:textId="031A7835" w:rsidR="00145C44" w:rsidRPr="00425127" w:rsidRDefault="00145C44" w:rsidP="0085691E">
      <w:pPr>
        <w:spacing w:after="240" w:line="240" w:lineRule="auto"/>
        <w:jc w:val="both"/>
        <w:rPr>
          <w:rFonts w:ascii="Verdana" w:hAnsi="Verdana" w:cstheme="minorHAnsi"/>
          <w:sz w:val="20"/>
          <w:szCs w:val="20"/>
          <w:lang w:val="sr-Latn-BA"/>
        </w:rPr>
      </w:pPr>
      <w:r w:rsidRPr="00425127">
        <w:rPr>
          <w:rFonts w:ascii="Verdana" w:hAnsi="Verdana" w:cstheme="minorHAnsi"/>
          <w:sz w:val="20"/>
          <w:szCs w:val="20"/>
          <w:lang w:val="sr-Latn-BA"/>
        </w:rPr>
        <w:t xml:space="preserve">Od završetka poslovne godine do datuma predaje finansijskog izvještaja </w:t>
      </w:r>
      <w:r w:rsidR="003710D3" w:rsidRPr="00425127">
        <w:rPr>
          <w:rFonts w:ascii="Verdana" w:hAnsi="Verdana" w:cstheme="minorHAnsi"/>
          <w:sz w:val="20"/>
          <w:szCs w:val="20"/>
          <w:lang w:val="sr-Latn-BA"/>
        </w:rPr>
        <w:t>u Društvu su se desili sljedeći</w:t>
      </w:r>
      <w:r w:rsidRPr="00425127">
        <w:rPr>
          <w:rFonts w:ascii="Verdana" w:hAnsi="Verdana" w:cstheme="minorHAnsi"/>
          <w:sz w:val="20"/>
          <w:szCs w:val="20"/>
          <w:lang w:val="sr-Latn-BA"/>
        </w:rPr>
        <w:t xml:space="preserve"> značajn</w:t>
      </w:r>
      <w:r w:rsidR="003710D3" w:rsidRPr="00425127">
        <w:rPr>
          <w:rFonts w:ascii="Verdana" w:hAnsi="Verdana" w:cstheme="minorHAnsi"/>
          <w:sz w:val="20"/>
          <w:szCs w:val="20"/>
          <w:lang w:val="sr-Latn-BA"/>
        </w:rPr>
        <w:t>iji</w:t>
      </w:r>
      <w:r w:rsidRPr="00425127">
        <w:rPr>
          <w:rFonts w:ascii="Verdana" w:hAnsi="Verdana" w:cstheme="minorHAnsi"/>
          <w:sz w:val="20"/>
          <w:szCs w:val="20"/>
          <w:lang w:val="sr-Latn-BA"/>
        </w:rPr>
        <w:t xml:space="preserve"> poslovni događa</w:t>
      </w:r>
      <w:r w:rsidR="003710D3" w:rsidRPr="00425127">
        <w:rPr>
          <w:rFonts w:ascii="Verdana" w:hAnsi="Verdana" w:cstheme="minorHAnsi"/>
          <w:sz w:val="20"/>
          <w:szCs w:val="20"/>
          <w:lang w:val="sr-Latn-BA"/>
        </w:rPr>
        <w:t>ji:</w:t>
      </w:r>
    </w:p>
    <w:p w14:paraId="1BCBD472" w14:textId="3FA7442C" w:rsidR="004B31BF" w:rsidRDefault="004B31BF" w:rsidP="00487B90">
      <w:pPr>
        <w:pStyle w:val="ListParagraph"/>
        <w:numPr>
          <w:ilvl w:val="0"/>
          <w:numId w:val="22"/>
        </w:numPr>
        <w:spacing w:after="0"/>
        <w:ind w:left="450" w:hanging="450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Izrađeni </w:t>
      </w:r>
      <w:r w:rsidR="00C60886" w:rsidRPr="00425127">
        <w:rPr>
          <w:rFonts w:ascii="Verdana" w:hAnsi="Verdana" w:cs="Arial"/>
          <w:sz w:val="20"/>
          <w:szCs w:val="20"/>
          <w:lang w:val="sr-Latn-BA"/>
        </w:rPr>
        <w:t>su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 i usvojeni od strane Upravnog odbora </w:t>
      </w:r>
      <w:r w:rsidR="00C60886" w:rsidRPr="00425127">
        <w:rPr>
          <w:rFonts w:ascii="Verdana" w:hAnsi="Verdana" w:cs="Arial"/>
          <w:sz w:val="20"/>
          <w:szCs w:val="20"/>
          <w:lang w:val="sr-Latn-BA"/>
        </w:rPr>
        <w:t>I</w:t>
      </w:r>
      <w:r w:rsidRPr="00425127">
        <w:rPr>
          <w:rFonts w:ascii="Verdana" w:hAnsi="Verdana" w:cs="Arial"/>
          <w:sz w:val="20"/>
          <w:szCs w:val="20"/>
          <w:lang w:val="sr-Latn-BA"/>
        </w:rPr>
        <w:t>zvještaji o poslovanju</w:t>
      </w:r>
      <w:r w:rsidR="00C60886" w:rsidRPr="00425127">
        <w:rPr>
          <w:rFonts w:ascii="Verdana" w:hAnsi="Verdana" w:cs="Arial"/>
          <w:sz w:val="20"/>
          <w:szCs w:val="20"/>
          <w:lang w:val="sr-Latn-BA"/>
        </w:rPr>
        <w:t xml:space="preserve"> Društva u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 202</w:t>
      </w:r>
      <w:r w:rsidR="00365534">
        <w:rPr>
          <w:rFonts w:ascii="Verdana" w:hAnsi="Verdana" w:cs="Arial"/>
          <w:sz w:val="20"/>
          <w:szCs w:val="20"/>
          <w:lang w:val="sr-Latn-BA"/>
        </w:rPr>
        <w:t>4</w:t>
      </w:r>
      <w:r w:rsidRPr="00425127">
        <w:rPr>
          <w:rFonts w:ascii="Verdana" w:hAnsi="Verdana" w:cs="Arial"/>
          <w:sz w:val="20"/>
          <w:szCs w:val="20"/>
          <w:lang w:val="sr-Latn-BA"/>
        </w:rPr>
        <w:t>. godin</w:t>
      </w:r>
      <w:r w:rsidR="00C60886" w:rsidRPr="00425127">
        <w:rPr>
          <w:rFonts w:ascii="Verdana" w:hAnsi="Verdana" w:cs="Arial"/>
          <w:sz w:val="20"/>
          <w:szCs w:val="20"/>
          <w:lang w:val="sr-Latn-BA"/>
        </w:rPr>
        <w:t>i</w:t>
      </w:r>
      <w:r w:rsidR="00365534">
        <w:rPr>
          <w:rFonts w:ascii="Verdana" w:hAnsi="Verdana" w:cs="Arial"/>
          <w:sz w:val="20"/>
          <w:szCs w:val="20"/>
          <w:lang w:val="sr-Latn-BA"/>
        </w:rPr>
        <w:t>,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 ist</w:t>
      </w:r>
      <w:r w:rsidR="00365534">
        <w:rPr>
          <w:rFonts w:ascii="Verdana" w:hAnsi="Verdana" w:cs="Arial"/>
          <w:sz w:val="20"/>
          <w:szCs w:val="20"/>
          <w:lang w:val="sr-Latn-BA"/>
        </w:rPr>
        <w:t xml:space="preserve">i objavljeni na Web stranici Društva i </w:t>
      </w:r>
      <w:r w:rsidRPr="00425127">
        <w:rPr>
          <w:rFonts w:ascii="Verdana" w:hAnsi="Verdana" w:cs="Arial"/>
          <w:sz w:val="20"/>
          <w:szCs w:val="20"/>
          <w:lang w:val="sr-Latn-BA"/>
        </w:rPr>
        <w:t>dostavljeni u APIF</w:t>
      </w:r>
      <w:r w:rsidR="00365534">
        <w:rPr>
          <w:rFonts w:ascii="Verdana" w:hAnsi="Verdana" w:cs="Arial"/>
          <w:sz w:val="20"/>
          <w:szCs w:val="20"/>
          <w:lang w:val="sr-Latn-BA"/>
        </w:rPr>
        <w:t xml:space="preserve">, Banjalučkoj berzi i </w:t>
      </w:r>
      <w:r w:rsidRPr="00425127">
        <w:rPr>
          <w:rFonts w:ascii="Verdana" w:hAnsi="Verdana" w:cs="Arial"/>
          <w:sz w:val="20"/>
          <w:szCs w:val="20"/>
          <w:lang w:val="sr-Latn-BA"/>
        </w:rPr>
        <w:t>Agenciju za bankarstvo Republike Srpske.</w:t>
      </w:r>
    </w:p>
    <w:p w14:paraId="0928CEB4" w14:textId="5B269B9D" w:rsidR="008E4DCD" w:rsidRPr="00425127" w:rsidRDefault="00316BE9" w:rsidP="00487B90">
      <w:pPr>
        <w:pStyle w:val="ListParagraph"/>
        <w:numPr>
          <w:ilvl w:val="0"/>
          <w:numId w:val="22"/>
        </w:numPr>
        <w:spacing w:after="0"/>
        <w:ind w:left="450" w:hanging="450"/>
        <w:rPr>
          <w:rFonts w:ascii="Verdana" w:hAnsi="Verdana" w:cs="Arial"/>
          <w:sz w:val="20"/>
          <w:szCs w:val="20"/>
          <w:lang w:val="sr-Latn-BA"/>
        </w:rPr>
      </w:pPr>
      <w:r>
        <w:rPr>
          <w:rFonts w:ascii="Verdana" w:hAnsi="Verdana" w:cs="Arial"/>
          <w:sz w:val="20"/>
          <w:szCs w:val="20"/>
          <w:lang w:val="sr-Latn-BA"/>
        </w:rPr>
        <w:t>Na dan 04.03.2025. godine, n</w:t>
      </w:r>
      <w:r w:rsidR="008E4DCD">
        <w:rPr>
          <w:rFonts w:ascii="Verdana" w:hAnsi="Verdana" w:cs="Arial"/>
          <w:sz w:val="20"/>
          <w:szCs w:val="20"/>
          <w:lang w:val="sr-Latn-BA"/>
        </w:rPr>
        <w:t xml:space="preserve">a snagu je stupila Odluka ABRS o ocjeni održivosti poslovnog modela </w:t>
      </w:r>
      <w:proofErr w:type="spellStart"/>
      <w:r w:rsidR="008E4DCD">
        <w:rPr>
          <w:rFonts w:ascii="Verdana" w:hAnsi="Verdana" w:cs="Arial"/>
          <w:sz w:val="20"/>
          <w:szCs w:val="20"/>
          <w:lang w:val="sr-Latn-BA"/>
        </w:rPr>
        <w:t>mikrokreditne</w:t>
      </w:r>
      <w:proofErr w:type="spellEnd"/>
      <w:r w:rsidR="008E4DCD">
        <w:rPr>
          <w:rFonts w:ascii="Verdana" w:hAnsi="Verdana" w:cs="Arial"/>
          <w:sz w:val="20"/>
          <w:szCs w:val="20"/>
          <w:lang w:val="sr-Latn-BA"/>
        </w:rPr>
        <w:t xml:space="preserve"> organizacije (,,SL. gl. Br. 18/2025), </w:t>
      </w:r>
      <w:r>
        <w:rPr>
          <w:rFonts w:ascii="Verdana" w:hAnsi="Verdana" w:cs="Arial"/>
          <w:sz w:val="20"/>
          <w:szCs w:val="20"/>
          <w:lang w:val="sr-Latn-BA"/>
        </w:rPr>
        <w:t xml:space="preserve">a primjenjuje se </w:t>
      </w:r>
      <w:r w:rsidR="008E4DCD">
        <w:rPr>
          <w:rFonts w:ascii="Verdana" w:hAnsi="Verdana" w:cs="Arial"/>
          <w:sz w:val="20"/>
          <w:szCs w:val="20"/>
          <w:lang w:val="sr-Latn-BA"/>
        </w:rPr>
        <w:t>30.06.2025. godine.</w:t>
      </w:r>
    </w:p>
    <w:p w14:paraId="67C74A33" w14:textId="77777777" w:rsidR="00B77E79" w:rsidRPr="00425127" w:rsidRDefault="00B77E79" w:rsidP="00487B90">
      <w:pPr>
        <w:pStyle w:val="ListParagraph"/>
        <w:spacing w:after="0"/>
        <w:ind w:left="450" w:hanging="450"/>
        <w:rPr>
          <w:rFonts w:ascii="Verdana" w:hAnsi="Verdana" w:cstheme="minorHAnsi"/>
          <w:sz w:val="20"/>
          <w:szCs w:val="20"/>
          <w:lang w:val="sr-Latn-BA"/>
        </w:rPr>
      </w:pPr>
    </w:p>
    <w:p w14:paraId="0F827A0C" w14:textId="4EB09815" w:rsidR="008955E0" w:rsidRPr="00425127" w:rsidRDefault="00836FB9" w:rsidP="00C60886">
      <w:pPr>
        <w:spacing w:after="0"/>
        <w:jc w:val="both"/>
        <w:rPr>
          <w:rFonts w:ascii="Verdana" w:hAnsi="Verdana" w:cstheme="minorHAnsi"/>
          <w:sz w:val="20"/>
          <w:szCs w:val="20"/>
          <w:lang w:val="sr-Latn-BA"/>
        </w:rPr>
      </w:pPr>
      <w:r w:rsidRPr="00425127">
        <w:rPr>
          <w:rFonts w:ascii="Verdana" w:hAnsi="Verdana" w:cstheme="minorHAnsi"/>
          <w:sz w:val="20"/>
          <w:szCs w:val="20"/>
          <w:lang w:val="sr-Latn-RS"/>
        </w:rPr>
        <w:t>S</w:t>
      </w:r>
      <w:proofErr w:type="spellStart"/>
      <w:r w:rsidR="00145C44" w:rsidRPr="00425127">
        <w:rPr>
          <w:rFonts w:ascii="Verdana" w:hAnsi="Verdana" w:cstheme="minorHAnsi"/>
          <w:sz w:val="20"/>
          <w:szCs w:val="20"/>
          <w:lang w:val="sr-Latn-BA"/>
        </w:rPr>
        <w:t>jednice</w:t>
      </w:r>
      <w:proofErr w:type="spellEnd"/>
      <w:r w:rsidR="00145C44" w:rsidRPr="00425127">
        <w:rPr>
          <w:rFonts w:ascii="Verdana" w:hAnsi="Verdana" w:cstheme="minorHAnsi"/>
          <w:sz w:val="20"/>
          <w:szCs w:val="20"/>
          <w:lang w:val="sr-Latn-BA"/>
        </w:rPr>
        <w:t xml:space="preserve"> Upravnog odbora Društva održavaju </w:t>
      </w:r>
      <w:r w:rsidRPr="00425127">
        <w:rPr>
          <w:rFonts w:ascii="Verdana" w:hAnsi="Verdana" w:cstheme="minorHAnsi"/>
          <w:sz w:val="20"/>
          <w:szCs w:val="20"/>
          <w:lang w:val="sr-Latn-BA"/>
        </w:rPr>
        <w:t xml:space="preserve">se </w:t>
      </w:r>
      <w:r w:rsidR="00145C44" w:rsidRPr="00425127">
        <w:rPr>
          <w:rFonts w:ascii="Verdana" w:hAnsi="Verdana" w:cstheme="minorHAnsi"/>
          <w:sz w:val="20"/>
          <w:szCs w:val="20"/>
          <w:lang w:val="sr-Latn-BA"/>
        </w:rPr>
        <w:t>po potrebi, svi poslovni događaji se blagovremeno iznose pred članove Upravnog odbora koji zatim donose odluku po svim</w:t>
      </w:r>
      <w:r w:rsidR="003E2575" w:rsidRPr="00425127">
        <w:rPr>
          <w:rFonts w:ascii="Verdana" w:hAnsi="Verdana" w:cstheme="minorHAnsi"/>
          <w:sz w:val="20"/>
          <w:szCs w:val="20"/>
          <w:lang w:val="sr-Latn-BA"/>
        </w:rPr>
        <w:t xml:space="preserve"> </w:t>
      </w:r>
      <w:r w:rsidR="00145C44" w:rsidRPr="00425127">
        <w:rPr>
          <w:rFonts w:ascii="Verdana" w:hAnsi="Verdana" w:cstheme="minorHAnsi"/>
          <w:sz w:val="20"/>
          <w:szCs w:val="20"/>
          <w:lang w:val="sr-Latn-BA"/>
        </w:rPr>
        <w:t xml:space="preserve"> pitanjima.</w:t>
      </w:r>
    </w:p>
    <w:p w14:paraId="5B3EDBF4" w14:textId="77777777" w:rsidR="00145089" w:rsidRPr="00425127" w:rsidRDefault="00145089" w:rsidP="0014508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BA"/>
        </w:rPr>
      </w:pPr>
    </w:p>
    <w:p w14:paraId="46C8F54B" w14:textId="77777777" w:rsidR="00145089" w:rsidRPr="00425127" w:rsidRDefault="00145089" w:rsidP="0014508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BA"/>
        </w:rPr>
      </w:pPr>
    </w:p>
    <w:p w14:paraId="1EA0A6FA" w14:textId="6ACF38AF" w:rsidR="008955E0" w:rsidRPr="00777200" w:rsidRDefault="00E606B5" w:rsidP="00E606B5">
      <w:pPr>
        <w:pStyle w:val="Heading1"/>
        <w:numPr>
          <w:ilvl w:val="0"/>
          <w:numId w:val="0"/>
        </w:numPr>
        <w:spacing w:before="0" w:line="240" w:lineRule="auto"/>
        <w:jc w:val="both"/>
        <w:rPr>
          <w:rFonts w:ascii="Verdana" w:hAnsi="Verdana" w:cs="Times New Roman"/>
          <w:color w:val="auto"/>
          <w:sz w:val="22"/>
          <w:szCs w:val="22"/>
          <w:lang w:val="it-IT"/>
        </w:rPr>
      </w:pPr>
      <w:r>
        <w:rPr>
          <w:rFonts w:ascii="Verdana" w:hAnsi="Verdana" w:cs="Times New Roman"/>
          <w:color w:val="auto"/>
          <w:sz w:val="22"/>
          <w:szCs w:val="22"/>
          <w:lang w:val="it-IT"/>
        </w:rPr>
        <w:t xml:space="preserve">9. </w:t>
      </w:r>
      <w:r w:rsidR="00B04EAE" w:rsidRPr="00777200">
        <w:rPr>
          <w:rFonts w:ascii="Verdana" w:hAnsi="Verdana" w:cs="Times New Roman"/>
          <w:color w:val="auto"/>
          <w:sz w:val="22"/>
          <w:szCs w:val="22"/>
          <w:lang w:val="it-IT"/>
        </w:rPr>
        <w:t>VRSTA IZLOŽENOSTI RIZICIMA PRISUTNIM U POSLOVANJU</w:t>
      </w:r>
    </w:p>
    <w:p w14:paraId="76E2DB20" w14:textId="77777777" w:rsidR="00145089" w:rsidRPr="00777200" w:rsidRDefault="00145089" w:rsidP="00145089">
      <w:pPr>
        <w:rPr>
          <w:rFonts w:ascii="Verdana" w:hAnsi="Verdana"/>
          <w:sz w:val="20"/>
          <w:szCs w:val="20"/>
          <w:lang w:val="it-IT"/>
        </w:rPr>
      </w:pPr>
    </w:p>
    <w:p w14:paraId="4D201457" w14:textId="70183187" w:rsidR="001D6CD9" w:rsidRDefault="008955E0" w:rsidP="00145089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Članovi Upravnog odbora Društva su na sjednici održanoj </w:t>
      </w:r>
      <w:r w:rsidRPr="00425127">
        <w:rPr>
          <w:rFonts w:ascii="Verdana" w:hAnsi="Verdana" w:cs="Arial"/>
          <w:sz w:val="20"/>
          <w:szCs w:val="20"/>
          <w:lang w:val="sr-Latn-CS" w:eastAsia="sr-Latn-BA"/>
        </w:rPr>
        <w:t>26.07.2017.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 godine usvojili Strategiju i Politiku upravljanja rizicima. Ovim dokumentom propisuju se bliži uslovi i način </w:t>
      </w:r>
    </w:p>
    <w:p w14:paraId="4ADFB3F7" w14:textId="68FD0119" w:rsidR="008955E0" w:rsidRDefault="008955E0" w:rsidP="00145089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identifikacije, mjerenja i procjene rizika kojima je </w:t>
      </w:r>
      <w:r w:rsidR="005D4549" w:rsidRPr="00425127">
        <w:rPr>
          <w:rFonts w:ascii="Verdana" w:hAnsi="Verdana" w:cs="Arial"/>
          <w:sz w:val="20"/>
          <w:szCs w:val="20"/>
          <w:lang w:val="sr-Latn-BA"/>
        </w:rPr>
        <w:t>D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ruštvo izloženo u svom poslovanju, kao i upravljanje tim rizicima. </w:t>
      </w:r>
    </w:p>
    <w:p w14:paraId="0307E03A" w14:textId="744D2980" w:rsidR="008955E0" w:rsidRPr="00425127" w:rsidRDefault="00580BF3" w:rsidP="001D6CD9">
      <w:pPr>
        <w:pStyle w:val="Heading2"/>
        <w:spacing w:before="240" w:after="160" w:line="240" w:lineRule="auto"/>
        <w:jc w:val="both"/>
        <w:rPr>
          <w:rFonts w:ascii="Verdana" w:hAnsi="Verdana" w:cs="Arial"/>
          <w:color w:val="auto"/>
          <w:sz w:val="20"/>
          <w:szCs w:val="20"/>
          <w:lang w:val="sr-Latn-BA"/>
        </w:rPr>
      </w:pPr>
      <w:bookmarkStart w:id="14" w:name="_Toc10630603"/>
      <w:bookmarkStart w:id="15" w:name="_Toc72918249"/>
      <w:r w:rsidRPr="00425127">
        <w:rPr>
          <w:rFonts w:ascii="Verdana" w:hAnsi="Verdana" w:cs="Arial"/>
          <w:b/>
          <w:color w:val="auto"/>
          <w:sz w:val="20"/>
          <w:szCs w:val="20"/>
          <w:lang w:val="sr-Latn-BA"/>
        </w:rPr>
        <w:t>a.</w:t>
      </w:r>
      <w:r w:rsidR="00BF35EA" w:rsidRPr="00425127">
        <w:rPr>
          <w:rFonts w:ascii="Verdana" w:hAnsi="Verdana" w:cs="Arial"/>
          <w:color w:val="auto"/>
          <w:sz w:val="20"/>
          <w:szCs w:val="20"/>
          <w:lang w:val="sr-Latn-BA"/>
        </w:rPr>
        <w:t xml:space="preserve"> </w:t>
      </w:r>
      <w:r w:rsidR="008955E0" w:rsidRPr="00425127">
        <w:rPr>
          <w:rFonts w:ascii="Verdana" w:hAnsi="Verdana" w:cs="Arial"/>
          <w:b/>
          <w:color w:val="auto"/>
          <w:sz w:val="20"/>
          <w:szCs w:val="20"/>
          <w:lang w:val="sr-Latn-BA"/>
        </w:rPr>
        <w:t>Likvidnosni rizik</w:t>
      </w:r>
      <w:bookmarkEnd w:id="14"/>
      <w:bookmarkEnd w:id="15"/>
    </w:p>
    <w:p w14:paraId="6031CE36" w14:textId="0AF36CDF" w:rsidR="008955E0" w:rsidRPr="00425127" w:rsidRDefault="008955E0" w:rsidP="001D6CD9">
      <w:pPr>
        <w:spacing w:before="24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Rizik likvidnosti je mogućnost nastanka negativnih efekata na finansijski rezultat i kapital Društva usled nesposobnosti Društva da ispunjava svoje dospjele obaveze, i to zbog: </w:t>
      </w:r>
    </w:p>
    <w:p w14:paraId="0CF2ADB3" w14:textId="4291A1BD" w:rsidR="008955E0" w:rsidRPr="00425127" w:rsidRDefault="008955E0" w:rsidP="00AA3177">
      <w:pPr>
        <w:pStyle w:val="ListParagraph"/>
        <w:numPr>
          <w:ilvl w:val="1"/>
          <w:numId w:val="21"/>
        </w:numPr>
        <w:spacing w:before="240" w:after="160"/>
        <w:ind w:left="450" w:hanging="450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povlačenja postojećih izvora finansiranja, odnosno nemogućnosti pribavljanja novih izvora finansiranja (rizik likvidnosti izvora sredstava), ili </w:t>
      </w:r>
    </w:p>
    <w:p w14:paraId="3C0A7BE6" w14:textId="0688D13F" w:rsidR="008955E0" w:rsidRPr="00425127" w:rsidRDefault="008955E0" w:rsidP="00AA3177">
      <w:pPr>
        <w:pStyle w:val="ListParagraph"/>
        <w:numPr>
          <w:ilvl w:val="1"/>
          <w:numId w:val="21"/>
        </w:numPr>
        <w:spacing w:before="240" w:after="0"/>
        <w:ind w:left="450" w:hanging="450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otežanog pretvaranja imovine u likvidna sredstva zbog poremećaja na tržištu (tržišni rizik likvidnosti). </w:t>
      </w:r>
    </w:p>
    <w:p w14:paraId="794009AF" w14:textId="26220376" w:rsidR="008955E0" w:rsidRPr="00425127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>Društvo je dužno da utvrđuje i održava odgovarajući nivo rezerve likvidnosti u skladu sa analizom ročne neusklađenosti njenih bilansnih obaveza i potraživanja i vanbilansnih stavki (gap analiza) za unapred utvrđene periode koji uključuju i period od jednog dana. Za održavanje odgovarajućeg ni</w:t>
      </w:r>
      <w:r w:rsidR="005D4549" w:rsidRPr="00425127">
        <w:rPr>
          <w:rFonts w:ascii="Verdana" w:hAnsi="Verdana" w:cs="Arial"/>
          <w:sz w:val="20"/>
          <w:szCs w:val="20"/>
          <w:lang w:val="sr-Latn-BA"/>
        </w:rPr>
        <w:t>v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oa likvidnosti koriste se različite tehnike za ublažavanje rizika likvidnosti. </w:t>
      </w:r>
    </w:p>
    <w:p w14:paraId="28C06454" w14:textId="32251DF1" w:rsidR="008955E0" w:rsidRPr="00425127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Nivo likvidnosti Društva iskazuje se pokazateljem njene likvidnosti. Pokazatelj likvidnosti Društva predstavlja odnos zbira likvidnih potraživanja Društva prvog i drugog reda, s jedne strane, </w:t>
      </w:r>
      <w:r w:rsidR="005D4549" w:rsidRPr="00425127">
        <w:rPr>
          <w:rFonts w:ascii="Verdana" w:hAnsi="Verdana" w:cs="Arial"/>
          <w:sz w:val="20"/>
          <w:szCs w:val="20"/>
          <w:lang w:val="sr-Latn-BA"/>
        </w:rPr>
        <w:t xml:space="preserve">te 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zbira obaveza Društva po viđenju ili bez ugovorenog roka dospeća i obaveza Društva sa ugovorenim rokom dospeća u narednih mjesec dana od dana vršenja obračuna pokazatelja likvidnosti, s druge strane. </w:t>
      </w:r>
    </w:p>
    <w:p w14:paraId="77D5B7C3" w14:textId="77777777" w:rsidR="008955E0" w:rsidRPr="00425127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Društvo je dužno da nivo likvidnosti održava tako da pokazatelj likvidnosti: </w:t>
      </w:r>
    </w:p>
    <w:p w14:paraId="5CF7BE75" w14:textId="2F4EF07C" w:rsidR="008955E0" w:rsidRPr="009F4801" w:rsidRDefault="008955E0" w:rsidP="00BC7083">
      <w:pPr>
        <w:pStyle w:val="ListParagraph"/>
        <w:numPr>
          <w:ilvl w:val="0"/>
          <w:numId w:val="18"/>
        </w:numPr>
        <w:tabs>
          <w:tab w:val="left" w:pos="360"/>
        </w:tabs>
        <w:spacing w:before="240" w:after="0"/>
        <w:ind w:left="36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9F4801">
        <w:rPr>
          <w:rFonts w:ascii="Verdana" w:hAnsi="Verdana" w:cs="Arial"/>
          <w:sz w:val="20"/>
          <w:szCs w:val="20"/>
          <w:lang w:val="es-AR"/>
        </w:rPr>
        <w:t>iznosi</w:t>
      </w:r>
      <w:proofErr w:type="spellEnd"/>
      <w:r w:rsidRPr="009F4801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9F4801">
        <w:rPr>
          <w:rFonts w:ascii="Verdana" w:hAnsi="Verdana" w:cs="Arial"/>
          <w:sz w:val="20"/>
          <w:szCs w:val="20"/>
          <w:lang w:val="es-AR"/>
        </w:rPr>
        <w:t>najmanje</w:t>
      </w:r>
      <w:proofErr w:type="spellEnd"/>
      <w:r w:rsidRPr="009F4801">
        <w:rPr>
          <w:rFonts w:ascii="Verdana" w:hAnsi="Verdana" w:cs="Arial"/>
          <w:sz w:val="20"/>
          <w:szCs w:val="20"/>
          <w:lang w:val="es-AR"/>
        </w:rPr>
        <w:t xml:space="preserve"> 1,0 – </w:t>
      </w:r>
      <w:proofErr w:type="spellStart"/>
      <w:r w:rsidRPr="009F4801">
        <w:rPr>
          <w:rFonts w:ascii="Verdana" w:hAnsi="Verdana" w:cs="Arial"/>
          <w:sz w:val="20"/>
          <w:szCs w:val="20"/>
          <w:lang w:val="es-AR"/>
        </w:rPr>
        <w:t>kad</w:t>
      </w:r>
      <w:proofErr w:type="spellEnd"/>
      <w:r w:rsidRPr="009F4801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9F4801">
        <w:rPr>
          <w:rFonts w:ascii="Verdana" w:hAnsi="Verdana" w:cs="Arial"/>
          <w:sz w:val="20"/>
          <w:szCs w:val="20"/>
          <w:lang w:val="es-AR"/>
        </w:rPr>
        <w:t>obračunat</w:t>
      </w:r>
      <w:proofErr w:type="spellEnd"/>
      <w:r w:rsidRPr="009F4801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9F4801">
        <w:rPr>
          <w:rFonts w:ascii="Verdana" w:hAnsi="Verdana" w:cs="Arial"/>
          <w:sz w:val="20"/>
          <w:szCs w:val="20"/>
          <w:lang w:val="es-AR"/>
        </w:rPr>
        <w:t>kao</w:t>
      </w:r>
      <w:proofErr w:type="spellEnd"/>
      <w:r w:rsidRPr="009F4801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9F4801">
        <w:rPr>
          <w:rFonts w:ascii="Verdana" w:hAnsi="Verdana" w:cs="Arial"/>
          <w:sz w:val="20"/>
          <w:szCs w:val="20"/>
          <w:lang w:val="es-AR"/>
        </w:rPr>
        <w:t>prosjek</w:t>
      </w:r>
      <w:proofErr w:type="spellEnd"/>
      <w:r w:rsidRPr="009F4801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9F4801">
        <w:rPr>
          <w:rFonts w:ascii="Verdana" w:hAnsi="Verdana" w:cs="Arial"/>
          <w:sz w:val="20"/>
          <w:szCs w:val="20"/>
          <w:lang w:val="es-AR"/>
        </w:rPr>
        <w:t>pokazatelja</w:t>
      </w:r>
      <w:proofErr w:type="spellEnd"/>
      <w:r w:rsidRPr="009F4801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9F4801">
        <w:rPr>
          <w:rFonts w:ascii="Verdana" w:hAnsi="Verdana" w:cs="Arial"/>
          <w:sz w:val="20"/>
          <w:szCs w:val="20"/>
          <w:lang w:val="es-AR"/>
        </w:rPr>
        <w:t>likvidnosti</w:t>
      </w:r>
      <w:proofErr w:type="spellEnd"/>
      <w:r w:rsidRPr="009F4801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9F4801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9F4801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9F4801">
        <w:rPr>
          <w:rFonts w:ascii="Verdana" w:hAnsi="Verdana" w:cs="Arial"/>
          <w:sz w:val="20"/>
          <w:szCs w:val="20"/>
          <w:lang w:val="es-AR"/>
        </w:rPr>
        <w:t>sve</w:t>
      </w:r>
      <w:proofErr w:type="spellEnd"/>
      <w:r w:rsidR="009F4801" w:rsidRPr="009F4801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9F4801">
        <w:rPr>
          <w:rFonts w:ascii="Verdana" w:hAnsi="Verdana" w:cs="Arial"/>
          <w:sz w:val="20"/>
          <w:szCs w:val="20"/>
          <w:lang w:val="es-AR"/>
        </w:rPr>
        <w:t>radne</w:t>
      </w:r>
      <w:proofErr w:type="spellEnd"/>
      <w:r w:rsidRPr="009F4801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9F4801">
        <w:rPr>
          <w:rFonts w:ascii="Verdana" w:hAnsi="Verdana" w:cs="Arial"/>
          <w:sz w:val="20"/>
          <w:szCs w:val="20"/>
          <w:lang w:val="es-AR"/>
        </w:rPr>
        <w:t>dane</w:t>
      </w:r>
      <w:proofErr w:type="spellEnd"/>
      <w:r w:rsidRPr="009F4801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9F4801">
        <w:rPr>
          <w:rFonts w:ascii="Verdana" w:hAnsi="Verdana" w:cs="Arial"/>
          <w:sz w:val="20"/>
          <w:szCs w:val="20"/>
          <w:lang w:val="es-AR"/>
        </w:rPr>
        <w:t>mjesecu</w:t>
      </w:r>
      <w:proofErr w:type="spellEnd"/>
      <w:r w:rsidRPr="009F4801">
        <w:rPr>
          <w:rFonts w:ascii="Verdana" w:hAnsi="Verdana" w:cs="Arial"/>
          <w:sz w:val="20"/>
          <w:szCs w:val="20"/>
          <w:lang w:val="es-AR"/>
        </w:rPr>
        <w:t>;</w:t>
      </w:r>
    </w:p>
    <w:p w14:paraId="275269D8" w14:textId="44192AD2" w:rsidR="008955E0" w:rsidRPr="00425127" w:rsidRDefault="008955E0" w:rsidP="00BC7083">
      <w:pPr>
        <w:pStyle w:val="ListParagraph"/>
        <w:numPr>
          <w:ilvl w:val="0"/>
          <w:numId w:val="18"/>
        </w:numPr>
        <w:tabs>
          <w:tab w:val="left" w:pos="360"/>
        </w:tabs>
        <w:spacing w:before="240" w:after="0"/>
        <w:ind w:left="1170" w:hanging="117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ne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bude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manji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od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0,9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duže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od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tri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uzastopna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radna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dana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</w:p>
    <w:p w14:paraId="1FB3470E" w14:textId="2148E38A" w:rsidR="008955E0" w:rsidRPr="00425127" w:rsidRDefault="008955E0" w:rsidP="00BC7083">
      <w:pPr>
        <w:pStyle w:val="ListParagraph"/>
        <w:numPr>
          <w:ilvl w:val="0"/>
          <w:numId w:val="18"/>
        </w:numPr>
        <w:tabs>
          <w:tab w:val="left" w:pos="360"/>
        </w:tabs>
        <w:spacing w:before="240" w:after="0"/>
        <w:ind w:left="720" w:hanging="72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iznosi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najmanje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0,8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kad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obračunat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jedan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radni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dan.</w:t>
      </w:r>
    </w:p>
    <w:p w14:paraId="3BB9B7C8" w14:textId="77777777" w:rsidR="008955E0" w:rsidRPr="00425127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>Od osnivanja do danas Društvo nije bilo izloženo likvidnosnom riziku, jer raspoloživa sredstva i plasmani su vremenski usklađeni sa aspekta plasiranih kredita i samog iznosa njihovih dospijeća. Osim toga, zaštitom od kreditnog rizika eliminisan je likvidnosni rizik i na strani otežanog pretvaranja potraživanja po osnovu plasiranih mikrokredita u novac.</w:t>
      </w:r>
    </w:p>
    <w:p w14:paraId="5ECC495F" w14:textId="77777777" w:rsidR="008955E0" w:rsidRPr="00425127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Društvo nije izloženo likvidnosnom riziku, jer je pokazatelj likvidnosti u svakom periodu godine veći od 1, što je granica likvidnosti. To znači da je likvidna aktiva uvijek veća od obaveza koje dospijevaju u istom periodu. </w:t>
      </w:r>
    </w:p>
    <w:p w14:paraId="5E27B9EC" w14:textId="77777777" w:rsidR="008955E0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Sa aspekta upravljanja aktivom i izvorima finansiranja, osnovna strategija upravljanja likvidnošću jeste prvenstveno usklađivanje dospijeća plasmana i izvora. </w:t>
      </w:r>
    </w:p>
    <w:p w14:paraId="3514689A" w14:textId="1734574E" w:rsidR="008955E0" w:rsidRPr="00425127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Aktivnim upravljanjem portfelja mikrokredita postignut je stepen naplate preko 95%, što je jedna od tehnika upravljanja rizikom likvidnosti, što u konačnici garantuje sposobnost </w:t>
      </w:r>
      <w:r w:rsidRPr="00425127">
        <w:rPr>
          <w:rFonts w:ascii="Verdana" w:hAnsi="Verdana" w:cs="Arial"/>
          <w:sz w:val="20"/>
          <w:szCs w:val="20"/>
          <w:lang w:val="sr-Latn-BA"/>
        </w:rPr>
        <w:lastRenderedPageBreak/>
        <w:t xml:space="preserve">obezbjeđivanja sredstava za plaćanje obaveza u budućem periodu po uzetim kreditima i emitovanim obveznicama.  </w:t>
      </w:r>
    </w:p>
    <w:p w14:paraId="54C89EB6" w14:textId="7307E24C" w:rsidR="00772453" w:rsidRPr="00425127" w:rsidRDefault="00580BF3" w:rsidP="00145089">
      <w:pPr>
        <w:pStyle w:val="Heading2"/>
        <w:spacing w:before="240" w:line="240" w:lineRule="auto"/>
        <w:jc w:val="both"/>
        <w:rPr>
          <w:rFonts w:ascii="Verdana" w:hAnsi="Verdana"/>
          <w:sz w:val="20"/>
          <w:szCs w:val="20"/>
          <w:lang w:val="sr-Latn-BA"/>
        </w:rPr>
      </w:pPr>
      <w:bookmarkStart w:id="16" w:name="_Toc10630604"/>
      <w:bookmarkStart w:id="17" w:name="_Toc72918250"/>
      <w:r w:rsidRPr="00425127">
        <w:rPr>
          <w:rFonts w:ascii="Verdana" w:hAnsi="Verdana" w:cs="Arial"/>
          <w:b/>
          <w:color w:val="auto"/>
          <w:sz w:val="20"/>
          <w:szCs w:val="20"/>
          <w:lang w:val="sr-Latn-BA"/>
        </w:rPr>
        <w:t>b.</w:t>
      </w:r>
      <w:r w:rsidRPr="00425127">
        <w:rPr>
          <w:rFonts w:ascii="Verdana" w:hAnsi="Verdana" w:cs="Arial"/>
          <w:color w:val="auto"/>
          <w:sz w:val="20"/>
          <w:szCs w:val="20"/>
          <w:lang w:val="sr-Latn-BA"/>
        </w:rPr>
        <w:t xml:space="preserve"> </w:t>
      </w:r>
      <w:r w:rsidR="00BF35EA" w:rsidRPr="00425127">
        <w:rPr>
          <w:rFonts w:ascii="Verdana" w:hAnsi="Verdana" w:cs="Arial"/>
          <w:color w:val="auto"/>
          <w:sz w:val="20"/>
          <w:szCs w:val="20"/>
          <w:lang w:val="sr-Latn-BA"/>
        </w:rPr>
        <w:t xml:space="preserve"> </w:t>
      </w:r>
      <w:r w:rsidR="008955E0" w:rsidRPr="00425127">
        <w:rPr>
          <w:rFonts w:ascii="Verdana" w:hAnsi="Verdana" w:cs="Arial"/>
          <w:b/>
          <w:color w:val="auto"/>
          <w:sz w:val="20"/>
          <w:szCs w:val="20"/>
          <w:lang w:val="sr-Latn-BA"/>
        </w:rPr>
        <w:t>Kreditni rizik</w:t>
      </w:r>
      <w:bookmarkEnd w:id="16"/>
      <w:bookmarkEnd w:id="17"/>
    </w:p>
    <w:p w14:paraId="231F6717" w14:textId="77777777" w:rsidR="008955E0" w:rsidRPr="00425127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Kreditni rizik je mogućnost nastanka negativnih efekata na finansijski rezultat i kapital Društva usljed neizvršavanja obaveza dužnika prema Društvu. </w:t>
      </w:r>
    </w:p>
    <w:p w14:paraId="773BCEC7" w14:textId="77777777" w:rsidR="001D6CD9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Radi preuzimanja kreditnog rizika i upravljanja tim rizikom Društvo je uspostavilo odgovarajući kreditni proces, koji obuhvata proces odobravanja plasmana i proces </w:t>
      </w:r>
    </w:p>
    <w:p w14:paraId="72438126" w14:textId="4C789B88" w:rsidR="008955E0" w:rsidRPr="00425127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upravljanja ovim rizikom. Društvo identifikuje izloženost kreditnom riziku u sklopu procedure za ocjenu zahtjeva za kredit. Društo se u većini slučajeva angažuje u oblasti „malih kredita“, znači kredita u pojedinačnom iznosu do 10.000 KM. </w:t>
      </w:r>
    </w:p>
    <w:p w14:paraId="2DAA891D" w14:textId="77777777" w:rsidR="00772453" w:rsidRPr="00425127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Specifični rizici koji mogu dovesti do nastanka kreditnog rizika su: </w:t>
      </w:r>
    </w:p>
    <w:p w14:paraId="762A370B" w14:textId="15DEACA5" w:rsidR="00772453" w:rsidRPr="00425127" w:rsidRDefault="008955E0" w:rsidP="00BC7083">
      <w:pPr>
        <w:pStyle w:val="ListParagraph"/>
        <w:numPr>
          <w:ilvl w:val="0"/>
          <w:numId w:val="19"/>
        </w:numPr>
        <w:tabs>
          <w:tab w:val="left" w:pos="709"/>
        </w:tabs>
        <w:spacing w:before="240" w:after="0"/>
        <w:ind w:left="45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smrt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korisnika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kredita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</w:p>
    <w:p w14:paraId="557B5BC2" w14:textId="0378B3A8" w:rsidR="00772453" w:rsidRPr="00425127" w:rsidRDefault="008955E0" w:rsidP="00BC7083">
      <w:pPr>
        <w:pStyle w:val="ListParagraph"/>
        <w:numPr>
          <w:ilvl w:val="0"/>
          <w:numId w:val="19"/>
        </w:numPr>
        <w:tabs>
          <w:tab w:val="left" w:pos="709"/>
        </w:tabs>
        <w:spacing w:before="240" w:after="0"/>
        <w:ind w:left="45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gubitak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zaposlenja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odnosno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gubitak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stalnih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prihoda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kojih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se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finansiraju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obaveze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kreditu</w:t>
      </w:r>
      <w:proofErr w:type="spellEnd"/>
      <w:r w:rsidR="00EC71D2" w:rsidRPr="00425127">
        <w:rPr>
          <w:rFonts w:ascii="Verdana" w:hAnsi="Verdana" w:cs="Arial"/>
          <w:sz w:val="20"/>
          <w:szCs w:val="20"/>
          <w:lang w:val="es-AR"/>
        </w:rPr>
        <w:t>,</w:t>
      </w:r>
    </w:p>
    <w:p w14:paraId="22BE930E" w14:textId="58EFA19F" w:rsidR="008955E0" w:rsidRPr="00425127" w:rsidRDefault="008955E0" w:rsidP="00BC7083">
      <w:pPr>
        <w:pStyle w:val="ListParagraph"/>
        <w:numPr>
          <w:ilvl w:val="0"/>
          <w:numId w:val="19"/>
        </w:numPr>
        <w:tabs>
          <w:tab w:val="left" w:pos="709"/>
        </w:tabs>
        <w:spacing w:before="240" w:after="0"/>
        <w:ind w:left="45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drugi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slučajevi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zbog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kojih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klijent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može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doći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situaciji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da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ne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izmiruje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obaveze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kreditu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. </w:t>
      </w:r>
    </w:p>
    <w:p w14:paraId="041C4A7E" w14:textId="77777777" w:rsidR="008955E0" w:rsidRPr="00425127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Društvo se štiti od uticaja kreditnog rizika na svoje poslovanje prije svega u konstantnoj komunikaciji odnosno pritisku naplate na klijenta, sekundarno kroz adekvatne kolatrale na plasirana kreditna sredstva. Uglavnom su u pitanju mjenice, jemci te administrativne zabrane. Pored toga, Društvo je razvilo odgovarajuću politiku naplate, veoma ažurnu, kojom se svi klijenti prate i pozivaju na redovnoj osnovi kako bi se osigurala pravovremena naplata. U slučaju kada se plasirani krediti ne naplaćuju, Društvo koristi instrumente osiguranja kojima naplaćuje svoja potraživanja a za potrebe naplate putem suda angažovana je advokatska kancelarija iz Bijeljine.   </w:t>
      </w:r>
    </w:p>
    <w:p w14:paraId="7AA4EB7A" w14:textId="34B9A280" w:rsidR="008955E0" w:rsidRPr="00425127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I kao što je prethodno rečeno, procenat naplate kredita je preko 95%, što je osnovni pokazatelj efikasne naplate. </w:t>
      </w:r>
    </w:p>
    <w:p w14:paraId="04B4B2E6" w14:textId="10817785" w:rsidR="00772453" w:rsidRPr="00425127" w:rsidRDefault="00580BF3" w:rsidP="00145089">
      <w:pPr>
        <w:pStyle w:val="Heading2"/>
        <w:spacing w:before="240" w:line="240" w:lineRule="auto"/>
        <w:jc w:val="both"/>
        <w:rPr>
          <w:rFonts w:ascii="Verdana" w:hAnsi="Verdana"/>
          <w:sz w:val="20"/>
          <w:szCs w:val="20"/>
          <w:lang w:val="sr-Latn-BA"/>
        </w:rPr>
      </w:pPr>
      <w:bookmarkStart w:id="18" w:name="_Toc10630605"/>
      <w:bookmarkStart w:id="19" w:name="_Toc72918251"/>
      <w:r w:rsidRPr="00425127">
        <w:rPr>
          <w:rFonts w:ascii="Verdana" w:hAnsi="Verdana" w:cs="Arial"/>
          <w:b/>
          <w:color w:val="auto"/>
          <w:sz w:val="20"/>
          <w:szCs w:val="20"/>
          <w:lang w:val="sr-Latn-BA"/>
        </w:rPr>
        <w:t>c.</w:t>
      </w:r>
      <w:r w:rsidR="00BF35EA" w:rsidRPr="00425127">
        <w:rPr>
          <w:rFonts w:ascii="Verdana" w:hAnsi="Verdana" w:cs="Arial"/>
          <w:color w:val="auto"/>
          <w:sz w:val="20"/>
          <w:szCs w:val="20"/>
          <w:lang w:val="sr-Latn-BA"/>
        </w:rPr>
        <w:t xml:space="preserve"> </w:t>
      </w:r>
      <w:r w:rsidR="008955E0" w:rsidRPr="00425127">
        <w:rPr>
          <w:rFonts w:ascii="Verdana" w:eastAsia="ArialNarrow,Bold" w:hAnsi="Verdana" w:cs="Arial"/>
          <w:b/>
          <w:color w:val="auto"/>
          <w:sz w:val="20"/>
          <w:szCs w:val="20"/>
          <w:lang w:val="sr-Latn-BA"/>
        </w:rPr>
        <w:t>Kamatni rizik</w:t>
      </w:r>
      <w:bookmarkEnd w:id="18"/>
      <w:bookmarkEnd w:id="19"/>
    </w:p>
    <w:p w14:paraId="7A5AC652" w14:textId="14A035AD" w:rsidR="008955E0" w:rsidRPr="00425127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>Kamatni rizik je rizik od mogućeg nastanka negativnih efekata na finansijski rezultat i kapital Društva usljed promjena kamatnih stopa. Društvo</w:t>
      </w:r>
      <w:r w:rsidR="001A4661">
        <w:rPr>
          <w:rFonts w:ascii="Verdana" w:hAnsi="Verdana" w:cs="Arial"/>
          <w:sz w:val="20"/>
          <w:szCs w:val="20"/>
          <w:lang w:val="sr-Latn-BA"/>
        </w:rPr>
        <w:t xml:space="preserve"> nastoji  da 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 upravlja različitim oblicima kamatnog rizika, </w:t>
      </w:r>
      <w:r w:rsidR="001A4661">
        <w:rPr>
          <w:rFonts w:ascii="Verdana" w:hAnsi="Verdana" w:cs="Arial"/>
          <w:sz w:val="20"/>
          <w:szCs w:val="20"/>
          <w:lang w:val="sr-Latn-BA"/>
        </w:rPr>
        <w:t>kao što su</w:t>
      </w:r>
      <w:r w:rsidRPr="00425127">
        <w:rPr>
          <w:rFonts w:ascii="Verdana" w:hAnsi="Verdana" w:cs="Arial"/>
          <w:sz w:val="20"/>
          <w:szCs w:val="20"/>
          <w:lang w:val="sr-Latn-BA"/>
        </w:rPr>
        <w:t>:</w:t>
      </w:r>
    </w:p>
    <w:p w14:paraId="07772A6F" w14:textId="7C18371C" w:rsidR="008955E0" w:rsidRPr="00425127" w:rsidRDefault="00BD5868" w:rsidP="00AA3177">
      <w:pPr>
        <w:pStyle w:val="ListParagraph"/>
        <w:numPr>
          <w:ilvl w:val="0"/>
          <w:numId w:val="3"/>
        </w:numPr>
        <w:tabs>
          <w:tab w:val="left" w:pos="540"/>
          <w:tab w:val="left" w:pos="630"/>
        </w:tabs>
        <w:spacing w:before="240" w:after="0"/>
        <w:ind w:left="540" w:hanging="54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</w:t>
      </w:r>
      <w:r w:rsidR="008955E0" w:rsidRPr="00425127">
        <w:rPr>
          <w:rFonts w:ascii="Verdana" w:hAnsi="Verdana" w:cs="Arial"/>
          <w:sz w:val="20"/>
          <w:szCs w:val="20"/>
          <w:lang w:val="es-AR"/>
        </w:rPr>
        <w:t>izikom</w:t>
      </w:r>
      <w:proofErr w:type="spellEnd"/>
      <w:r w:rsidR="008955E0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8955E0" w:rsidRPr="00425127">
        <w:rPr>
          <w:rFonts w:ascii="Verdana" w:hAnsi="Verdana" w:cs="Arial"/>
          <w:sz w:val="20"/>
          <w:szCs w:val="20"/>
          <w:lang w:val="es-AR"/>
        </w:rPr>
        <w:t>vremenske</w:t>
      </w:r>
      <w:proofErr w:type="spellEnd"/>
      <w:r w:rsidR="008955E0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8955E0" w:rsidRPr="00425127">
        <w:rPr>
          <w:rFonts w:ascii="Verdana" w:hAnsi="Verdana" w:cs="Arial"/>
          <w:sz w:val="20"/>
          <w:szCs w:val="20"/>
          <w:lang w:val="es-AR"/>
        </w:rPr>
        <w:t>neusklađenosti</w:t>
      </w:r>
      <w:proofErr w:type="spellEnd"/>
      <w:r w:rsidR="008955E0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8955E0" w:rsidRPr="00425127">
        <w:rPr>
          <w:rFonts w:ascii="Verdana" w:hAnsi="Verdana" w:cs="Arial"/>
          <w:sz w:val="20"/>
          <w:szCs w:val="20"/>
          <w:lang w:val="es-AR"/>
        </w:rPr>
        <w:t>dospeća</w:t>
      </w:r>
      <w:proofErr w:type="spellEnd"/>
      <w:r w:rsidR="008955E0"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="008955E0" w:rsidRPr="00425127">
        <w:rPr>
          <w:rFonts w:ascii="Verdana" w:hAnsi="Verdana" w:cs="Arial"/>
          <w:sz w:val="20"/>
          <w:szCs w:val="20"/>
          <w:lang w:val="es-AR"/>
        </w:rPr>
        <w:t>ponovnog</w:t>
      </w:r>
      <w:proofErr w:type="spellEnd"/>
      <w:r w:rsidR="008955E0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8955E0" w:rsidRPr="00425127">
        <w:rPr>
          <w:rFonts w:ascii="Verdana" w:hAnsi="Verdana" w:cs="Arial"/>
          <w:sz w:val="20"/>
          <w:szCs w:val="20"/>
          <w:lang w:val="es-AR"/>
        </w:rPr>
        <w:t>određivanja</w:t>
      </w:r>
      <w:proofErr w:type="spellEnd"/>
      <w:r w:rsidR="008955E0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8955E0" w:rsidRPr="00425127">
        <w:rPr>
          <w:rFonts w:ascii="Verdana" w:hAnsi="Verdana" w:cs="Arial"/>
          <w:sz w:val="20"/>
          <w:szCs w:val="20"/>
          <w:lang w:val="es-AR"/>
        </w:rPr>
        <w:t>c</w:t>
      </w:r>
      <w:r w:rsidR="00760454" w:rsidRPr="00425127">
        <w:rPr>
          <w:rFonts w:ascii="Verdana" w:hAnsi="Verdana" w:cs="Arial"/>
          <w:sz w:val="20"/>
          <w:szCs w:val="20"/>
          <w:lang w:val="es-AR"/>
        </w:rPr>
        <w:t>ij</w:t>
      </w:r>
      <w:r w:rsidR="008955E0" w:rsidRPr="00425127">
        <w:rPr>
          <w:rFonts w:ascii="Verdana" w:hAnsi="Verdana" w:cs="Arial"/>
          <w:sz w:val="20"/>
          <w:szCs w:val="20"/>
          <w:lang w:val="es-AR"/>
        </w:rPr>
        <w:t>ena</w:t>
      </w:r>
      <w:proofErr w:type="spellEnd"/>
      <w:r w:rsidR="008955E0" w:rsidRPr="00425127">
        <w:rPr>
          <w:rFonts w:ascii="Verdana" w:hAnsi="Verdana" w:cs="Arial"/>
          <w:sz w:val="20"/>
          <w:szCs w:val="20"/>
          <w:lang w:val="es-AR"/>
        </w:rPr>
        <w:t xml:space="preserve"> (</w:t>
      </w:r>
      <w:proofErr w:type="spellStart"/>
      <w:r w:rsidR="008955E0" w:rsidRPr="00425127">
        <w:rPr>
          <w:rFonts w:ascii="Verdana" w:hAnsi="Verdana" w:cs="Arial"/>
          <w:sz w:val="20"/>
          <w:szCs w:val="20"/>
          <w:lang w:val="es-AR"/>
        </w:rPr>
        <w:t>repricing</w:t>
      </w:r>
      <w:proofErr w:type="spellEnd"/>
      <w:r w:rsidR="008955E0"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="008955E0" w:rsidRPr="00425127">
        <w:rPr>
          <w:rFonts w:ascii="Verdana" w:hAnsi="Verdana" w:cs="Arial"/>
          <w:sz w:val="20"/>
          <w:szCs w:val="20"/>
          <w:lang w:val="es-AR"/>
        </w:rPr>
        <w:t>risk</w:t>
      </w:r>
      <w:proofErr w:type="spellEnd"/>
      <w:r w:rsidR="008955E0" w:rsidRPr="00425127">
        <w:rPr>
          <w:rFonts w:ascii="Verdana" w:hAnsi="Verdana" w:cs="Arial"/>
          <w:sz w:val="20"/>
          <w:szCs w:val="20"/>
          <w:lang w:val="es-AR"/>
        </w:rPr>
        <w:t xml:space="preserve">); </w:t>
      </w:r>
    </w:p>
    <w:p w14:paraId="01A39482" w14:textId="01199D57" w:rsidR="008955E0" w:rsidRPr="00425127" w:rsidRDefault="008955E0" w:rsidP="00AA3177">
      <w:pPr>
        <w:pStyle w:val="ListParagraph"/>
        <w:numPr>
          <w:ilvl w:val="0"/>
          <w:numId w:val="3"/>
        </w:numPr>
        <w:tabs>
          <w:tab w:val="left" w:pos="540"/>
          <w:tab w:val="left" w:pos="630"/>
        </w:tabs>
        <w:spacing w:before="240" w:after="0"/>
        <w:ind w:left="540" w:hanging="54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rizikom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krive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prinosa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(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yield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curve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risk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),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kome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izložena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usljed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promene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oblika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krive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prinosa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>;</w:t>
      </w:r>
    </w:p>
    <w:p w14:paraId="7B84EAD5" w14:textId="6137FA0C" w:rsidR="008955E0" w:rsidRPr="00425127" w:rsidRDefault="008955E0" w:rsidP="00AA3177">
      <w:pPr>
        <w:pStyle w:val="ListParagraph"/>
        <w:numPr>
          <w:ilvl w:val="0"/>
          <w:numId w:val="3"/>
        </w:numPr>
        <w:tabs>
          <w:tab w:val="left" w:pos="540"/>
          <w:tab w:val="left" w:pos="630"/>
        </w:tabs>
        <w:spacing w:before="240" w:after="0"/>
        <w:ind w:left="540" w:hanging="54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baznim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rizikom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(basis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risk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),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kome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izložena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zbog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različitih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referentnih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kamatnih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stopa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kod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kamatno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osetljivih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pozicija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sličnim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karakteristikama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što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se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tiče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dospeća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ili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ponovnog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određivanja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cijena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</w:p>
    <w:p w14:paraId="3531E2A5" w14:textId="4A229CE8" w:rsidR="008955E0" w:rsidRPr="00425127" w:rsidRDefault="008955E0" w:rsidP="00AA3177">
      <w:pPr>
        <w:pStyle w:val="ListParagraph"/>
        <w:numPr>
          <w:ilvl w:val="0"/>
          <w:numId w:val="3"/>
        </w:numPr>
        <w:tabs>
          <w:tab w:val="left" w:pos="540"/>
          <w:tab w:val="left" w:pos="630"/>
        </w:tabs>
        <w:spacing w:before="240" w:after="0"/>
        <w:ind w:left="540" w:hanging="54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rizikom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opcija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(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optionality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risk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),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kome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je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izložena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zbog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ugovornih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odredaba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vezi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s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kamatno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osetljivim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pozicijama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(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krediti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s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mogućnošću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prijevremene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otplate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dr.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). </w:t>
      </w:r>
    </w:p>
    <w:p w14:paraId="3F2F3FC8" w14:textId="20E923F1" w:rsidR="008955E0" w:rsidRDefault="00EC71D2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Društvo će raditi na </w:t>
      </w:r>
      <w:r w:rsidR="008955E0" w:rsidRPr="00425127">
        <w:rPr>
          <w:rFonts w:ascii="Verdana" w:hAnsi="Verdana" w:cs="Arial"/>
          <w:sz w:val="20"/>
          <w:szCs w:val="20"/>
          <w:lang w:val="sr-Latn-BA"/>
        </w:rPr>
        <w:t>uspostav</w:t>
      </w:r>
      <w:r w:rsidRPr="00425127">
        <w:rPr>
          <w:rFonts w:ascii="Verdana" w:hAnsi="Verdana" w:cs="Arial"/>
          <w:sz w:val="20"/>
          <w:szCs w:val="20"/>
          <w:lang w:val="sr-Latn-BA"/>
        </w:rPr>
        <w:t>ljanju</w:t>
      </w:r>
      <w:r w:rsidR="008955E0" w:rsidRPr="00425127">
        <w:rPr>
          <w:rFonts w:ascii="Verdana" w:hAnsi="Verdana" w:cs="Arial"/>
          <w:sz w:val="20"/>
          <w:szCs w:val="20"/>
          <w:lang w:val="sr-Latn-BA"/>
        </w:rPr>
        <w:t xml:space="preserve"> procedure za mjerenje, odnosno procenu kamatnog rizika koje obuhvataju značajne izvore kamatnog rizika.</w:t>
      </w:r>
    </w:p>
    <w:p w14:paraId="12AEA6F6" w14:textId="77777777" w:rsidR="008955E0" w:rsidRPr="00425127" w:rsidRDefault="008955E0" w:rsidP="0014508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>Izvori finansiranja su usklađeni sa plasmanima s obzirom na dospijeće, čime Društvo eliminiše repricing rizik. Sa aspekta vrste kamatne stope, društvo planira u narednom periodu da se zadužuje po fiksnoj kamatnoj stopi i plasira mikrokredite takođe po fiksnoj kamatnoj stopi, čime se štiti od izloženosti baznom riziku.</w:t>
      </w:r>
    </w:p>
    <w:p w14:paraId="07264003" w14:textId="77777777" w:rsidR="004F37B6" w:rsidRDefault="008955E0" w:rsidP="001D6CD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lastRenderedPageBreak/>
        <w:t xml:space="preserve">Kretanje kamatnih stopa na tržištu nema uticaja na uslove kreditnog zaduživanja. Svi krediti su odobreni po fiksnoj kamatnoj stopi i do dospijeća ne podliježu promjeni kamatne stope. Eventualni rast tržišnih kamatnih stopa nema efekata na izmjenu uslova budućih kreditnih aranžmana jer se konstantnim jačanjem bilansnih pokazatelja </w:t>
      </w:r>
      <w:r w:rsidR="00F50362" w:rsidRPr="00425127">
        <w:rPr>
          <w:rFonts w:ascii="Verdana" w:hAnsi="Verdana" w:cs="Arial"/>
          <w:sz w:val="20"/>
          <w:szCs w:val="20"/>
          <w:lang w:val="sr-Latn-BA"/>
        </w:rPr>
        <w:t>D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ruštva povećava bonitet </w:t>
      </w:r>
      <w:r w:rsidR="00F50362" w:rsidRPr="00425127">
        <w:rPr>
          <w:rFonts w:ascii="Verdana" w:hAnsi="Verdana" w:cs="Arial"/>
          <w:sz w:val="20"/>
          <w:szCs w:val="20"/>
          <w:lang w:val="sr-Latn-BA"/>
        </w:rPr>
        <w:t>D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ruštva kod </w:t>
      </w:r>
      <w:r w:rsidR="001A4661">
        <w:rPr>
          <w:rFonts w:ascii="Verdana" w:hAnsi="Verdana" w:cs="Arial"/>
          <w:sz w:val="20"/>
          <w:szCs w:val="20"/>
          <w:lang w:val="sr-Latn-BA"/>
        </w:rPr>
        <w:t>povjerilaca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, a time se utiče i na smanjenje kamate </w:t>
      </w:r>
      <w:r w:rsidR="001A4661">
        <w:rPr>
          <w:rFonts w:ascii="Verdana" w:hAnsi="Verdana" w:cs="Arial"/>
          <w:sz w:val="20"/>
          <w:szCs w:val="20"/>
          <w:lang w:val="sr-Latn-BA"/>
        </w:rPr>
        <w:t xml:space="preserve">na pozajmljena sredstva. </w:t>
      </w:r>
      <w:r w:rsidRPr="00425127">
        <w:rPr>
          <w:rFonts w:ascii="Verdana" w:hAnsi="Verdana" w:cs="Arial"/>
          <w:sz w:val="20"/>
          <w:szCs w:val="20"/>
          <w:lang w:val="sr-Latn-BA"/>
        </w:rPr>
        <w:t>Sa druge strane</w:t>
      </w:r>
      <w:r w:rsidR="00F50362" w:rsidRPr="00425127">
        <w:rPr>
          <w:rFonts w:ascii="Verdana" w:hAnsi="Verdana" w:cs="Arial"/>
          <w:sz w:val="20"/>
          <w:szCs w:val="20"/>
          <w:lang w:val="sr-Latn-BA"/>
        </w:rPr>
        <w:t>,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 svi mikrokrediti se odobravaju takođe po fiksnoj kamatnoj stopi koja se ne mijenja za cijelo vrijeme trajanja ugovora o mikrokreditu. </w:t>
      </w:r>
      <w:r w:rsidR="004F37B6">
        <w:rPr>
          <w:rFonts w:ascii="Verdana" w:hAnsi="Verdana" w:cs="Arial"/>
          <w:sz w:val="20"/>
          <w:szCs w:val="20"/>
          <w:lang w:val="sr-Latn-BA"/>
        </w:rPr>
        <w:t xml:space="preserve"> </w:t>
      </w:r>
    </w:p>
    <w:p w14:paraId="506491CD" w14:textId="29824F3A" w:rsidR="008955E0" w:rsidRPr="00425127" w:rsidRDefault="008955E0" w:rsidP="001D6CD9">
      <w:pPr>
        <w:spacing w:before="240"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>Uzimajući u obzir stranu plasmana i zaduživanja</w:t>
      </w:r>
      <w:r w:rsidR="007C7CA9">
        <w:rPr>
          <w:rFonts w:ascii="Verdana" w:hAnsi="Verdana" w:cs="Arial"/>
          <w:sz w:val="20"/>
          <w:szCs w:val="20"/>
          <w:lang w:val="sr-Latn-BA"/>
        </w:rPr>
        <w:t>,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 kretanje tržišnih kamatnih stopa nema uticaja na buduće kamatne prihode i kamatne rashode. Osim toga, kretanje kamatnih stopa nema uticaj na vrijednost finansijske aktive jer </w:t>
      </w:r>
      <w:r w:rsidR="00F50362" w:rsidRPr="00425127">
        <w:rPr>
          <w:rFonts w:ascii="Verdana" w:hAnsi="Verdana" w:cs="Arial"/>
          <w:sz w:val="20"/>
          <w:szCs w:val="20"/>
          <w:lang w:val="sr-Latn-BA"/>
        </w:rPr>
        <w:t>D</w:t>
      </w:r>
      <w:r w:rsidRPr="00425127">
        <w:rPr>
          <w:rFonts w:ascii="Verdana" w:hAnsi="Verdana" w:cs="Arial"/>
          <w:sz w:val="20"/>
          <w:szCs w:val="20"/>
          <w:lang w:val="sr-Latn-BA"/>
        </w:rPr>
        <w:t>ruštvo nema ulaganja/plasmane u hartije od vrijednosti. Ročna struktura izvora sredstava i kreditnih plasmana nije u direktnoj ili indirektnoj povezanosti sa kretanjem kamatnih stopa na tržištu, te stoga promjene kamatnih stopa ne mogu imati uticaj na njih.</w:t>
      </w:r>
    </w:p>
    <w:p w14:paraId="52F45F35" w14:textId="77777777" w:rsidR="005422D2" w:rsidRPr="00425127" w:rsidRDefault="005422D2" w:rsidP="001D6CD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sr-Latn-BA"/>
        </w:rPr>
      </w:pPr>
      <w:bookmarkStart w:id="20" w:name="_Toc10630606"/>
      <w:bookmarkStart w:id="21" w:name="_Toc72918252"/>
    </w:p>
    <w:p w14:paraId="50D81AE8" w14:textId="56A270BC" w:rsidR="00772453" w:rsidRPr="00425127" w:rsidRDefault="00580BF3" w:rsidP="0085691E">
      <w:pPr>
        <w:spacing w:after="0" w:line="240" w:lineRule="auto"/>
        <w:jc w:val="both"/>
        <w:rPr>
          <w:rFonts w:ascii="Verdana" w:eastAsia="ArialNarrow,Bold" w:hAnsi="Verdana" w:cs="Arial"/>
          <w:b/>
          <w:sz w:val="20"/>
          <w:szCs w:val="20"/>
          <w:lang w:val="sr-Latn-BA"/>
        </w:rPr>
      </w:pPr>
      <w:r w:rsidRPr="00425127">
        <w:rPr>
          <w:rFonts w:ascii="Verdana" w:hAnsi="Verdana" w:cs="Arial"/>
          <w:b/>
          <w:sz w:val="20"/>
          <w:szCs w:val="20"/>
          <w:lang w:val="sr-Latn-BA"/>
        </w:rPr>
        <w:t>d.</w:t>
      </w:r>
      <w:r w:rsidR="00BF35EA" w:rsidRPr="00425127">
        <w:rPr>
          <w:rFonts w:ascii="Verdana" w:hAnsi="Verdana" w:cs="Arial"/>
          <w:sz w:val="20"/>
          <w:szCs w:val="20"/>
          <w:lang w:val="sr-Latn-BA"/>
        </w:rPr>
        <w:t xml:space="preserve"> </w:t>
      </w:r>
      <w:r w:rsidR="008955E0" w:rsidRPr="00425127">
        <w:rPr>
          <w:rFonts w:ascii="Verdana" w:eastAsia="ArialNarrow,Bold" w:hAnsi="Verdana" w:cs="Arial"/>
          <w:b/>
          <w:sz w:val="20"/>
          <w:szCs w:val="20"/>
          <w:lang w:val="sr-Latn-BA"/>
        </w:rPr>
        <w:t>Rizik koncentracije</w:t>
      </w:r>
      <w:bookmarkEnd w:id="20"/>
      <w:bookmarkEnd w:id="21"/>
    </w:p>
    <w:p w14:paraId="1E67045C" w14:textId="77777777" w:rsidR="0085691E" w:rsidRPr="00425127" w:rsidRDefault="0085691E" w:rsidP="0085691E">
      <w:pPr>
        <w:spacing w:after="0" w:line="240" w:lineRule="auto"/>
        <w:jc w:val="both"/>
        <w:rPr>
          <w:rFonts w:ascii="Verdana" w:hAnsi="Verdana"/>
          <w:sz w:val="20"/>
          <w:szCs w:val="20"/>
          <w:lang w:val="sr-Latn-BA"/>
        </w:rPr>
      </w:pPr>
    </w:p>
    <w:p w14:paraId="34368BBB" w14:textId="77777777" w:rsidR="008955E0" w:rsidRPr="00425127" w:rsidRDefault="008955E0" w:rsidP="008955E0">
      <w:pPr>
        <w:spacing w:after="0"/>
        <w:jc w:val="both"/>
        <w:rPr>
          <w:rFonts w:ascii="Verdana" w:eastAsia="ArialNarrow,Bold" w:hAnsi="Verdana" w:cs="Arial"/>
          <w:bCs/>
          <w:sz w:val="20"/>
          <w:szCs w:val="20"/>
          <w:lang w:val="sr-Latn-BA"/>
        </w:rPr>
      </w:pPr>
      <w:r w:rsidRPr="00425127">
        <w:rPr>
          <w:rFonts w:ascii="Verdana" w:eastAsia="ArialNarrow,Bold" w:hAnsi="Verdana" w:cs="Arial"/>
          <w:bCs/>
          <w:sz w:val="20"/>
          <w:szCs w:val="20"/>
          <w:lang w:val="sr-Latn-BA"/>
        </w:rPr>
        <w:t xml:space="preserve">Rizik koncentracije je rizik koji direktno ili indirektno proizlazi iz izloženosti Društva prema istom ili sličnom izvoru nastanka rizika, odnosno istoj ili sličnoj vrsti rizika. Rizik koncentracije odnosi se na: </w:t>
      </w:r>
    </w:p>
    <w:p w14:paraId="711EF64A" w14:textId="77777777" w:rsidR="0085691E" w:rsidRPr="00425127" w:rsidRDefault="0085691E" w:rsidP="008955E0">
      <w:pPr>
        <w:spacing w:after="0"/>
        <w:jc w:val="both"/>
        <w:rPr>
          <w:rFonts w:ascii="Verdana" w:eastAsia="ArialNarrow,Bold" w:hAnsi="Verdana" w:cs="Arial"/>
          <w:bCs/>
          <w:sz w:val="20"/>
          <w:szCs w:val="20"/>
          <w:lang w:val="sr-Latn-BA"/>
        </w:rPr>
      </w:pPr>
    </w:p>
    <w:p w14:paraId="2B9B53AF" w14:textId="0C0273F4" w:rsidR="008955E0" w:rsidRPr="00425127" w:rsidRDefault="008955E0" w:rsidP="00BC7083">
      <w:pPr>
        <w:pStyle w:val="ListParagraph"/>
        <w:numPr>
          <w:ilvl w:val="0"/>
          <w:numId w:val="20"/>
        </w:numPr>
        <w:tabs>
          <w:tab w:val="left" w:pos="709"/>
        </w:tabs>
        <w:ind w:left="36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velike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izloženosti</w:t>
      </w:r>
      <w:proofErr w:type="spellEnd"/>
      <w:r w:rsidR="007C7CA9">
        <w:rPr>
          <w:rFonts w:ascii="Verdana" w:hAnsi="Verdana" w:cs="Arial"/>
          <w:sz w:val="20"/>
          <w:szCs w:val="20"/>
          <w:lang w:val="es-AR"/>
        </w:rPr>
        <w:t>,</w:t>
      </w:r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</w:p>
    <w:p w14:paraId="00E636BF" w14:textId="77777777" w:rsidR="008955E0" w:rsidRPr="00425127" w:rsidRDefault="008955E0" w:rsidP="00BC7083">
      <w:pPr>
        <w:pStyle w:val="ListParagraph"/>
        <w:numPr>
          <w:ilvl w:val="0"/>
          <w:numId w:val="20"/>
        </w:numPr>
        <w:tabs>
          <w:tab w:val="left" w:pos="709"/>
        </w:tabs>
        <w:ind w:left="360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grupe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izloženosti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istim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ili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sličnim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faktorima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rizika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kao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što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su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privredni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sektori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geografska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područja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vrste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proizvoda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sl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>. i</w:t>
      </w:r>
    </w:p>
    <w:p w14:paraId="1ACEEC85" w14:textId="0D8D2015" w:rsidR="008955E0" w:rsidRPr="00425127" w:rsidRDefault="008955E0" w:rsidP="00BC7083">
      <w:pPr>
        <w:pStyle w:val="ListParagraph"/>
        <w:numPr>
          <w:ilvl w:val="0"/>
          <w:numId w:val="20"/>
        </w:numPr>
        <w:tabs>
          <w:tab w:val="left" w:pos="709"/>
        </w:tabs>
        <w:ind w:left="360"/>
        <w:rPr>
          <w:rFonts w:ascii="Verdana" w:hAnsi="Verdana" w:cs="Arial"/>
          <w:sz w:val="20"/>
          <w:szCs w:val="20"/>
          <w:lang w:val="es-AR"/>
        </w:rPr>
      </w:pPr>
      <w:r w:rsidRPr="00425127">
        <w:rPr>
          <w:rFonts w:ascii="Verdana" w:hAnsi="Verdana" w:cs="Arial"/>
          <w:sz w:val="20"/>
          <w:szCs w:val="20"/>
          <w:lang w:val="es-AR"/>
        </w:rPr>
        <w:t xml:space="preserve">instrumente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kreditne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zaštite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uključujući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ročnu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valutnu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neusklađenost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između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velikih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izloženosti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instrumenata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kreditne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zaštite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tih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izloženosti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. </w:t>
      </w:r>
    </w:p>
    <w:p w14:paraId="7A148B62" w14:textId="77777777" w:rsidR="00772453" w:rsidRPr="00425127" w:rsidRDefault="00772453" w:rsidP="007C7CA9">
      <w:pPr>
        <w:pStyle w:val="ListParagraph"/>
        <w:spacing w:after="0"/>
        <w:ind w:left="360" w:firstLine="0"/>
        <w:rPr>
          <w:rFonts w:ascii="Verdana" w:eastAsia="ArialNarrow,Bold" w:hAnsi="Verdana" w:cs="Arial"/>
          <w:bCs/>
          <w:sz w:val="20"/>
          <w:szCs w:val="20"/>
          <w:lang w:val="sr-Latn-BA"/>
        </w:rPr>
      </w:pPr>
    </w:p>
    <w:p w14:paraId="0F546776" w14:textId="77777777" w:rsidR="008955E0" w:rsidRPr="00425127" w:rsidRDefault="008955E0" w:rsidP="008955E0">
      <w:pPr>
        <w:jc w:val="both"/>
        <w:rPr>
          <w:rFonts w:ascii="Verdana" w:eastAsia="ArialNarrow,Bold" w:hAnsi="Verdana" w:cs="Arial"/>
          <w:bCs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>Kontrola</w:t>
      </w:r>
      <w:r w:rsidRPr="00425127">
        <w:rPr>
          <w:rFonts w:ascii="Verdana" w:eastAsia="ArialNarrow,Bold" w:hAnsi="Verdana" w:cs="Arial"/>
          <w:bCs/>
          <w:sz w:val="20"/>
          <w:szCs w:val="20"/>
          <w:lang w:val="sr-Latn-BA"/>
        </w:rPr>
        <w:t xml:space="preserve"> rizika koncentracije vrši se uspostavljanjem odgovarajućih limita izloženosti koji joj omogućavaju diversifikaciju kreditnog portfolija. Ublažavanje rizika koncentracije </w:t>
      </w:r>
      <w:r w:rsidRPr="00425127">
        <w:rPr>
          <w:rFonts w:ascii="Verdana" w:hAnsi="Verdana" w:cs="Arial"/>
          <w:sz w:val="20"/>
          <w:szCs w:val="20"/>
          <w:lang w:val="sr-Latn-BA"/>
        </w:rPr>
        <w:t>Društva</w:t>
      </w:r>
      <w:r w:rsidRPr="00425127">
        <w:rPr>
          <w:rFonts w:ascii="Verdana" w:eastAsia="ArialNarrow,Bold" w:hAnsi="Verdana" w:cs="Arial"/>
          <w:bCs/>
          <w:sz w:val="20"/>
          <w:szCs w:val="20"/>
          <w:lang w:val="sr-Latn-BA"/>
        </w:rPr>
        <w:t xml:space="preserve"> sprovodi aktivnim upravljanjem kreditnim portfoliom, kao i prilagođavanjem uspostavljenih limita. </w:t>
      </w:r>
    </w:p>
    <w:p w14:paraId="3411E13D" w14:textId="29601B2A" w:rsidR="008955E0" w:rsidRPr="00425127" w:rsidRDefault="008955E0" w:rsidP="008955E0">
      <w:pPr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Velika izloženost Društva prema jednom licu ili grupi povezanih lica jeste izloženost </w:t>
      </w:r>
      <w:r w:rsidR="004A1829" w:rsidRPr="00425127">
        <w:rPr>
          <w:rFonts w:ascii="Verdana" w:hAnsi="Verdana" w:cs="Arial"/>
          <w:sz w:val="20"/>
          <w:szCs w:val="20"/>
          <w:lang w:val="sr-Latn-BA"/>
        </w:rPr>
        <w:t xml:space="preserve">od 30 hilj. KM. </w:t>
      </w:r>
    </w:p>
    <w:p w14:paraId="2CFAA84E" w14:textId="2E6BB9B4" w:rsidR="008955E0" w:rsidRPr="00425127" w:rsidRDefault="008955E0" w:rsidP="008955E0">
      <w:pPr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Izloženost Društva prema jednom licu ili grupi povezanih lica ne smije preći </w:t>
      </w:r>
      <w:r w:rsidR="004A1829" w:rsidRPr="00425127">
        <w:rPr>
          <w:rFonts w:ascii="Verdana" w:hAnsi="Verdana" w:cs="Arial"/>
          <w:sz w:val="20"/>
          <w:szCs w:val="20"/>
          <w:lang w:val="sr-Latn-BA"/>
        </w:rPr>
        <w:t>50 hilj. KM.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 </w:t>
      </w:r>
    </w:p>
    <w:p w14:paraId="271790F1" w14:textId="4EB57F4B" w:rsidR="008955E0" w:rsidRPr="00425127" w:rsidRDefault="009A6AEC" w:rsidP="008955E0">
      <w:pPr>
        <w:jc w:val="both"/>
        <w:rPr>
          <w:rFonts w:ascii="Verdana" w:eastAsia="ArialNarrow,Bold" w:hAnsi="Verdana" w:cs="Arial"/>
          <w:bCs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Društvo </w:t>
      </w:r>
      <w:r w:rsidR="007C7CA9">
        <w:rPr>
          <w:rFonts w:ascii="Verdana" w:hAnsi="Verdana" w:cs="Arial"/>
          <w:sz w:val="20"/>
          <w:szCs w:val="20"/>
          <w:lang w:val="sr-Latn-BA"/>
        </w:rPr>
        <w:t xml:space="preserve">se 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izloženo </w:t>
      </w:r>
      <w:r w:rsidR="008955E0" w:rsidRPr="00425127">
        <w:rPr>
          <w:rFonts w:ascii="Verdana" w:hAnsi="Verdana" w:cs="Arial"/>
          <w:sz w:val="20"/>
          <w:szCs w:val="20"/>
          <w:lang w:val="sr-Latn-BA"/>
        </w:rPr>
        <w:t xml:space="preserve">prema povezanim licima </w:t>
      </w:r>
      <w:r w:rsidRPr="00425127">
        <w:rPr>
          <w:rFonts w:ascii="Verdana" w:hAnsi="Verdana" w:cs="Arial"/>
          <w:sz w:val="20"/>
          <w:szCs w:val="20"/>
          <w:lang w:val="sr-Latn-BA"/>
        </w:rPr>
        <w:t>po osnovu obaveza na pribavljene izvora sredstava,</w:t>
      </w:r>
      <w:r w:rsidR="008955E0" w:rsidRPr="00425127">
        <w:rPr>
          <w:rFonts w:ascii="Verdana" w:hAnsi="Verdana" w:cs="Arial"/>
          <w:sz w:val="20"/>
          <w:szCs w:val="20"/>
          <w:lang w:val="sr-Latn-BA"/>
        </w:rPr>
        <w:t xml:space="preserve">. </w:t>
      </w:r>
    </w:p>
    <w:p w14:paraId="4E202C27" w14:textId="30462554" w:rsidR="008955E0" w:rsidRPr="00425127" w:rsidRDefault="00580BF3" w:rsidP="00BF35EA">
      <w:pPr>
        <w:pStyle w:val="Heading2"/>
        <w:jc w:val="both"/>
        <w:rPr>
          <w:rFonts w:ascii="Verdana" w:eastAsia="ArialNarrow,Bold" w:hAnsi="Verdana" w:cs="Arial"/>
          <w:b/>
          <w:color w:val="auto"/>
          <w:sz w:val="20"/>
          <w:szCs w:val="20"/>
          <w:lang w:val="sr-Latn-BA"/>
        </w:rPr>
      </w:pPr>
      <w:bookmarkStart w:id="22" w:name="_Toc10630607"/>
      <w:bookmarkStart w:id="23" w:name="_Toc72918253"/>
      <w:r w:rsidRPr="00425127">
        <w:rPr>
          <w:rFonts w:ascii="Verdana" w:hAnsi="Verdana" w:cs="Arial"/>
          <w:b/>
          <w:color w:val="auto"/>
          <w:sz w:val="20"/>
          <w:szCs w:val="20"/>
          <w:lang w:val="sr-Latn-BA"/>
        </w:rPr>
        <w:t>e.</w:t>
      </w:r>
      <w:r w:rsidRPr="00425127">
        <w:rPr>
          <w:rFonts w:ascii="Verdana" w:hAnsi="Verdana" w:cs="Arial"/>
          <w:color w:val="auto"/>
          <w:sz w:val="20"/>
          <w:szCs w:val="20"/>
          <w:lang w:val="sr-Latn-BA"/>
        </w:rPr>
        <w:t xml:space="preserve"> </w:t>
      </w:r>
      <w:r w:rsidR="00BF35EA" w:rsidRPr="00425127">
        <w:rPr>
          <w:rFonts w:ascii="Verdana" w:hAnsi="Verdana" w:cs="Arial"/>
          <w:color w:val="auto"/>
          <w:sz w:val="20"/>
          <w:szCs w:val="20"/>
          <w:lang w:val="sr-Latn-BA"/>
        </w:rPr>
        <w:t xml:space="preserve"> </w:t>
      </w:r>
      <w:r w:rsidR="008955E0" w:rsidRPr="00425127">
        <w:rPr>
          <w:rFonts w:ascii="Verdana" w:eastAsia="ArialNarrow,Bold" w:hAnsi="Verdana" w:cs="Arial"/>
          <w:b/>
          <w:color w:val="auto"/>
          <w:sz w:val="20"/>
          <w:szCs w:val="20"/>
          <w:lang w:val="sr-Latn-BA"/>
        </w:rPr>
        <w:t>Rizik zemlje</w:t>
      </w:r>
      <w:bookmarkEnd w:id="22"/>
      <w:bookmarkEnd w:id="23"/>
    </w:p>
    <w:p w14:paraId="4A927F8B" w14:textId="77777777" w:rsidR="00772453" w:rsidRPr="00425127" w:rsidRDefault="00772453" w:rsidP="00082E9A">
      <w:pPr>
        <w:spacing w:after="0"/>
        <w:rPr>
          <w:rFonts w:ascii="Verdana" w:hAnsi="Verdana"/>
          <w:sz w:val="20"/>
          <w:szCs w:val="20"/>
          <w:lang w:val="sr-Latn-BA"/>
        </w:rPr>
      </w:pPr>
    </w:p>
    <w:p w14:paraId="434AB803" w14:textId="77777777" w:rsidR="008955E0" w:rsidRPr="00425127" w:rsidRDefault="008955E0" w:rsidP="00772453">
      <w:pPr>
        <w:jc w:val="both"/>
        <w:rPr>
          <w:rFonts w:ascii="Verdana" w:eastAsia="ArialNarrow,Bold" w:hAnsi="Verdana" w:cs="Arial"/>
          <w:bCs/>
          <w:sz w:val="20"/>
          <w:szCs w:val="20"/>
          <w:lang w:val="sr-Latn-BA"/>
        </w:rPr>
      </w:pPr>
      <w:r w:rsidRPr="00425127">
        <w:rPr>
          <w:rFonts w:ascii="Verdana" w:eastAsia="ArialNarrow,Bold" w:hAnsi="Verdana" w:cs="Arial"/>
          <w:bCs/>
          <w:sz w:val="20"/>
          <w:szCs w:val="20"/>
          <w:lang w:val="sr-Latn-BA"/>
        </w:rPr>
        <w:t xml:space="preserve">Rizik zemlje je rizik koji se odnosi na zemlju porijekla lica prema kome je Društvo izloženo, odnosno rizik mogućnosti nastanka negativnih efekata na finansijski rezultat i kapital Društva zbog nemogućnosti Društva da naplati potraživanja od ovog lica iz razloga koji su posljedica političkih, ekonomskih ili socijalnih prilika u zemlji porjekla tog lica. Rizik zemlje obuhvata sljedeće rizike: </w:t>
      </w:r>
    </w:p>
    <w:p w14:paraId="4DD85389" w14:textId="77777777" w:rsidR="00CC0F23" w:rsidRDefault="008955E0" w:rsidP="00BC7083">
      <w:pPr>
        <w:pStyle w:val="ListParagraph"/>
        <w:numPr>
          <w:ilvl w:val="0"/>
          <w:numId w:val="3"/>
        </w:numPr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političko-ekonomski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rizik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pod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kojim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se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podrazumijeva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mogućnost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ostvarivanja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gubitka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zbog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spriječenosti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Društva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da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naplati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potraživanja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usljed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ograničenja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utvrđenih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aktima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</w:p>
    <w:p w14:paraId="2482132C" w14:textId="39174C56" w:rsidR="008955E0" w:rsidRPr="00425127" w:rsidRDefault="008955E0" w:rsidP="00BC7083">
      <w:pPr>
        <w:pStyle w:val="ListParagraph"/>
        <w:numPr>
          <w:ilvl w:val="0"/>
          <w:numId w:val="3"/>
        </w:numPr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državnih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drugih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organa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države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por</w:t>
      </w:r>
      <w:r w:rsidR="007C7CA9">
        <w:rPr>
          <w:rFonts w:ascii="Verdana" w:hAnsi="Verdana" w:cs="Arial"/>
          <w:sz w:val="20"/>
          <w:szCs w:val="20"/>
          <w:lang w:val="es-AR"/>
        </w:rPr>
        <w:t>ij</w:t>
      </w:r>
      <w:r w:rsidRPr="00425127">
        <w:rPr>
          <w:rFonts w:ascii="Verdana" w:hAnsi="Verdana" w:cs="Arial"/>
          <w:sz w:val="20"/>
          <w:szCs w:val="20"/>
          <w:lang w:val="es-AR"/>
        </w:rPr>
        <w:t>ekla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dužnika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kao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opštih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sistemskih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prilika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toj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državi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</w:p>
    <w:p w14:paraId="2D264EC9" w14:textId="5CE8A48D" w:rsidR="008955E0" w:rsidRDefault="008955E0" w:rsidP="00BC7083">
      <w:pPr>
        <w:pStyle w:val="ListParagraph"/>
        <w:numPr>
          <w:ilvl w:val="0"/>
          <w:numId w:val="3"/>
        </w:numPr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rizik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transfera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pod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kojim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se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podrazumeva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mogućnost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ostvarenja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gubitka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zbog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sprečenosti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Društva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da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naplati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potraživanja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iskazana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valuti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nije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zvanična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valuta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države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porijekla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dužnika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,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to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usljed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ograničenja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plaćanja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obaveza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prema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povjeriocima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iz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drugih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država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u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određenoj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valuti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koja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su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utvrđena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aktima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državnih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drugih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dužnika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države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por</w:t>
      </w:r>
      <w:r w:rsidR="008019E3">
        <w:rPr>
          <w:rFonts w:ascii="Verdana" w:hAnsi="Verdana" w:cs="Arial"/>
          <w:sz w:val="20"/>
          <w:szCs w:val="20"/>
          <w:lang w:val="es-AR"/>
        </w:rPr>
        <w:t>i</w:t>
      </w:r>
      <w:r w:rsidRPr="00425127">
        <w:rPr>
          <w:rFonts w:ascii="Verdana" w:hAnsi="Verdana" w:cs="Arial"/>
          <w:sz w:val="20"/>
          <w:szCs w:val="20"/>
          <w:lang w:val="es-AR"/>
        </w:rPr>
        <w:t>jekla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>.</w:t>
      </w:r>
    </w:p>
    <w:p w14:paraId="31A939A8" w14:textId="49F1B6AC" w:rsidR="008955E0" w:rsidRPr="00425127" w:rsidRDefault="009A6AEC" w:rsidP="00772453">
      <w:pPr>
        <w:jc w:val="both"/>
        <w:rPr>
          <w:rFonts w:ascii="Verdana" w:eastAsia="ArialNarrow,Bold" w:hAnsi="Verdana" w:cs="Arial"/>
          <w:bCs/>
          <w:sz w:val="20"/>
          <w:szCs w:val="20"/>
          <w:lang w:val="sr-Latn-BA"/>
        </w:rPr>
      </w:pPr>
      <w:r w:rsidRPr="00425127">
        <w:rPr>
          <w:rFonts w:ascii="Verdana" w:eastAsia="ArialNarrow,Bold" w:hAnsi="Verdana" w:cs="Arial"/>
          <w:bCs/>
          <w:sz w:val="20"/>
          <w:szCs w:val="20"/>
          <w:lang w:val="sr-Latn-BA"/>
        </w:rPr>
        <w:lastRenderedPageBreak/>
        <w:t xml:space="preserve">U </w:t>
      </w:r>
      <w:r w:rsidR="008955E0" w:rsidRPr="00425127">
        <w:rPr>
          <w:rFonts w:ascii="Verdana" w:eastAsia="ArialNarrow,Bold" w:hAnsi="Verdana" w:cs="Arial"/>
          <w:bCs/>
          <w:sz w:val="20"/>
          <w:szCs w:val="20"/>
          <w:lang w:val="sr-Latn-BA"/>
        </w:rPr>
        <w:t>202</w:t>
      </w:r>
      <w:r w:rsidR="008019E3">
        <w:rPr>
          <w:rFonts w:ascii="Verdana" w:eastAsia="ArialNarrow,Bold" w:hAnsi="Verdana" w:cs="Arial"/>
          <w:bCs/>
          <w:sz w:val="20"/>
          <w:szCs w:val="20"/>
          <w:lang w:val="sr-Latn-BA"/>
        </w:rPr>
        <w:t>2</w:t>
      </w:r>
      <w:r w:rsidRPr="00425127">
        <w:rPr>
          <w:rFonts w:ascii="Verdana" w:eastAsia="ArialNarrow,Bold" w:hAnsi="Verdana" w:cs="Arial"/>
          <w:bCs/>
          <w:sz w:val="20"/>
          <w:szCs w:val="20"/>
          <w:lang w:val="sr-Latn-BA"/>
        </w:rPr>
        <w:t>.</w:t>
      </w:r>
      <w:r w:rsidR="008955E0" w:rsidRPr="00425127">
        <w:rPr>
          <w:rFonts w:ascii="Verdana" w:eastAsia="ArialNarrow,Bold" w:hAnsi="Verdana" w:cs="Arial"/>
          <w:bCs/>
          <w:sz w:val="20"/>
          <w:szCs w:val="20"/>
          <w:lang w:val="sr-Latn-BA"/>
        </w:rPr>
        <w:t xml:space="preserve"> godin</w:t>
      </w:r>
      <w:r w:rsidRPr="00425127">
        <w:rPr>
          <w:rFonts w:ascii="Verdana" w:eastAsia="ArialNarrow,Bold" w:hAnsi="Verdana" w:cs="Arial"/>
          <w:bCs/>
          <w:sz w:val="20"/>
          <w:szCs w:val="20"/>
          <w:lang w:val="sr-Latn-BA"/>
        </w:rPr>
        <w:t>i</w:t>
      </w:r>
      <w:r w:rsidR="008955E0" w:rsidRPr="00425127">
        <w:rPr>
          <w:rFonts w:ascii="Verdana" w:eastAsia="ArialNarrow,Bold" w:hAnsi="Verdana" w:cs="Arial"/>
          <w:bCs/>
          <w:sz w:val="20"/>
          <w:szCs w:val="20"/>
          <w:lang w:val="sr-Latn-BA"/>
        </w:rPr>
        <w:t xml:space="preserve"> za ocjenu kreditnog rejtinga Standars &amp; Poor</w:t>
      </w:r>
      <w:r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 xml:space="preserve">’ş </w:t>
      </w:r>
      <w:proofErr w:type="spellStart"/>
      <w:r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>potvrdila</w:t>
      </w:r>
      <w:proofErr w:type="spellEnd"/>
      <w:r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 xml:space="preserve"> je </w:t>
      </w:r>
      <w:proofErr w:type="spellStart"/>
      <w:r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>Bosni</w:t>
      </w:r>
      <w:proofErr w:type="spellEnd"/>
      <w:r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 xml:space="preserve"> i</w:t>
      </w:r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>Hercegovini</w:t>
      </w:r>
      <w:proofErr w:type="spellEnd"/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>suvereni</w:t>
      </w:r>
      <w:proofErr w:type="spellEnd"/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>kreditni</w:t>
      </w:r>
      <w:proofErr w:type="spellEnd"/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>rejting</w:t>
      </w:r>
      <w:proofErr w:type="spellEnd"/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 xml:space="preserve"> </w:t>
      </w:r>
      <w:r w:rsidR="008019E3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>,,</w:t>
      </w:r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>B</w:t>
      </w:r>
      <w:r w:rsidR="008019E3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>’’</w:t>
      </w:r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>sa</w:t>
      </w:r>
      <w:proofErr w:type="spellEnd"/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="008019E3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>pozitivnim</w:t>
      </w:r>
      <w:proofErr w:type="spellEnd"/>
      <w:r w:rsidR="008019E3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 xml:space="preserve"> ,,</w:t>
      </w:r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>izgledima</w:t>
      </w:r>
      <w:proofErr w:type="spellEnd"/>
      <w:r w:rsidR="008955E0" w:rsidRPr="00777200">
        <w:rPr>
          <w:rFonts w:ascii="Verdana" w:hAnsi="Verdana" w:cs="Arial"/>
          <w:color w:val="000000"/>
          <w:sz w:val="20"/>
          <w:szCs w:val="20"/>
          <w:shd w:val="clear" w:color="auto" w:fill="FFFFFF"/>
          <w:lang w:val="es-AR"/>
        </w:rPr>
        <w:t xml:space="preserve">”. </w:t>
      </w:r>
    </w:p>
    <w:p w14:paraId="36C2F615" w14:textId="57521FBF" w:rsidR="002160AF" w:rsidRDefault="008955E0" w:rsidP="002160AF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>U odnosu na zemlje okruženja BiH ima nešto lošiji kreditni rejting š</w:t>
      </w:r>
      <w:r w:rsidR="00F50362" w:rsidRPr="00425127">
        <w:rPr>
          <w:rFonts w:ascii="Verdana" w:hAnsi="Verdana" w:cs="Arial"/>
          <w:sz w:val="20"/>
          <w:szCs w:val="20"/>
          <w:lang w:val="sr-Latn-BA"/>
        </w:rPr>
        <w:t>t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o je ujedno i odraz veće rizičnosti zemlje. Ovim rizikom Društvo ne može upravljati jer nije u njenoj nadležnosti i mogućnosti.  </w:t>
      </w:r>
    </w:p>
    <w:p w14:paraId="669526AA" w14:textId="77777777" w:rsidR="002160AF" w:rsidRDefault="002160AF" w:rsidP="002160AF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</w:p>
    <w:p w14:paraId="0D48D48E" w14:textId="3ED062AC" w:rsidR="008955E0" w:rsidRPr="00425127" w:rsidRDefault="00580BF3" w:rsidP="002160AF">
      <w:pPr>
        <w:pStyle w:val="Heading2"/>
        <w:spacing w:line="240" w:lineRule="auto"/>
        <w:jc w:val="both"/>
        <w:rPr>
          <w:rFonts w:ascii="Verdana" w:hAnsi="Verdana" w:cs="Arial"/>
          <w:b/>
          <w:color w:val="auto"/>
          <w:sz w:val="20"/>
          <w:szCs w:val="20"/>
          <w:lang w:val="sr-Latn-BA"/>
        </w:rPr>
      </w:pPr>
      <w:bookmarkStart w:id="24" w:name="_Toc10630608"/>
      <w:bookmarkStart w:id="25" w:name="_Toc72918254"/>
      <w:r w:rsidRPr="00425127">
        <w:rPr>
          <w:rFonts w:ascii="Verdana" w:hAnsi="Verdana" w:cs="Arial"/>
          <w:b/>
          <w:color w:val="auto"/>
          <w:sz w:val="20"/>
          <w:szCs w:val="20"/>
          <w:lang w:val="sr-Latn-BA"/>
        </w:rPr>
        <w:t>f.</w:t>
      </w:r>
      <w:r w:rsidR="00BF35EA" w:rsidRPr="00425127">
        <w:rPr>
          <w:rFonts w:ascii="Verdana" w:hAnsi="Verdana" w:cs="Arial"/>
          <w:color w:val="auto"/>
          <w:sz w:val="20"/>
          <w:szCs w:val="20"/>
          <w:lang w:val="sr-Latn-BA"/>
        </w:rPr>
        <w:t xml:space="preserve"> </w:t>
      </w:r>
      <w:r w:rsidR="008955E0" w:rsidRPr="00425127">
        <w:rPr>
          <w:rFonts w:ascii="Verdana" w:hAnsi="Verdana" w:cs="Arial"/>
          <w:b/>
          <w:color w:val="auto"/>
          <w:sz w:val="20"/>
          <w:szCs w:val="20"/>
          <w:lang w:val="sr-Latn-BA"/>
        </w:rPr>
        <w:t>Operativni rizik</w:t>
      </w:r>
      <w:bookmarkEnd w:id="24"/>
      <w:bookmarkEnd w:id="25"/>
    </w:p>
    <w:p w14:paraId="22A31F7C" w14:textId="77777777" w:rsidR="00772453" w:rsidRPr="00425127" w:rsidRDefault="00772453" w:rsidP="002160AF">
      <w:pPr>
        <w:spacing w:after="0" w:line="240" w:lineRule="auto"/>
        <w:rPr>
          <w:rFonts w:ascii="Verdana" w:hAnsi="Verdana"/>
          <w:sz w:val="20"/>
          <w:szCs w:val="20"/>
          <w:lang w:val="sr-Latn-BA"/>
        </w:rPr>
      </w:pPr>
    </w:p>
    <w:p w14:paraId="3E0EFC84" w14:textId="77777777" w:rsidR="008955E0" w:rsidRDefault="008955E0" w:rsidP="002160AF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Operativni rizik je rizik od mogućeg nastanka negativnih efekata na finansijski rezultat i kapital Društva usljed propusta (nenamjernih i namjernih) u radu zaposlenih, neodgovarajućih unutrašnjih procedura i procesa, neadekvatnog upravljanja informacionim i drugim sistemima u Društvu, kao i usljed nastupanja nepredvidivih eksternih događaja. Veliki je broj uzroka koji dovode do nastanka ovog rizika i nivoi na kojima se pojavljuju. </w:t>
      </w:r>
    </w:p>
    <w:p w14:paraId="2F98420F" w14:textId="77777777" w:rsidR="002160AF" w:rsidRPr="00425127" w:rsidRDefault="002160AF" w:rsidP="002160AF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</w:p>
    <w:p w14:paraId="5FFA1EE1" w14:textId="77777777" w:rsidR="008955E0" w:rsidRPr="00425127" w:rsidRDefault="008955E0" w:rsidP="00772453">
      <w:pPr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Kada govorimo o zaposlenima to uključuje gubitke izazvane zbog prevara, neovlaštene radnje, prekoračenja ovlaštenja i gubiti zbog njihovog lošeg ponašanja. </w:t>
      </w:r>
    </w:p>
    <w:p w14:paraId="197F9028" w14:textId="5B4CE233" w:rsidR="008955E0" w:rsidRPr="00425127" w:rsidRDefault="008955E0" w:rsidP="00772453">
      <w:pPr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>U drugu kategoriju spadaju gubi</w:t>
      </w:r>
      <w:r w:rsidR="00F50362" w:rsidRPr="00425127">
        <w:rPr>
          <w:rFonts w:ascii="Verdana" w:hAnsi="Verdana" w:cs="Arial"/>
          <w:sz w:val="20"/>
          <w:szCs w:val="20"/>
          <w:lang w:val="sr-Latn-BA"/>
        </w:rPr>
        <w:t>c</w:t>
      </w:r>
      <w:r w:rsidRPr="00425127">
        <w:rPr>
          <w:rFonts w:ascii="Verdana" w:hAnsi="Verdana" w:cs="Arial"/>
          <w:sz w:val="20"/>
          <w:szCs w:val="20"/>
          <w:lang w:val="sr-Latn-BA"/>
        </w:rPr>
        <w:t xml:space="preserve">i koji nastaju zbog grešaka, tj.nedostatka softvera, hardvera, razvoja sistema, u servisiranju i sl. </w:t>
      </w:r>
    </w:p>
    <w:p w14:paraId="4DCA1005" w14:textId="77777777" w:rsidR="008955E0" w:rsidRPr="00425127" w:rsidRDefault="008955E0" w:rsidP="00772453">
      <w:pPr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Procesne radnje uključuju gubitke zbog neadekvatne poslovne prakse, nenamjernih grešaka, neadekvatne obrade informacija. </w:t>
      </w:r>
    </w:p>
    <w:p w14:paraId="5BD56037" w14:textId="77777777" w:rsidR="008955E0" w:rsidRPr="00425127" w:rsidRDefault="008955E0" w:rsidP="00772453">
      <w:pPr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Na kraju, spoljašnji događaji su prirodne nesreće, promjene političkih i ekonomskih uslova, promjene u zakonodavstvu, ili događaji nastali od strane klijenata i poslovnih partnera. </w:t>
      </w:r>
    </w:p>
    <w:p w14:paraId="23D8F400" w14:textId="77777777" w:rsidR="008955E0" w:rsidRPr="00425127" w:rsidRDefault="008955E0" w:rsidP="00772453">
      <w:pPr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Operativni rizik uključuje i pravni rizik. </w:t>
      </w:r>
    </w:p>
    <w:p w14:paraId="55156B8E" w14:textId="77777777" w:rsidR="008955E0" w:rsidRPr="00425127" w:rsidRDefault="008955E0" w:rsidP="00772453">
      <w:pPr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Društvo je dužno da identifikuje i procijeni događaje i izvore zbog kojih mogu nastati gubici u vezi sa operativnim rizikom, uzimajući u obzir sve značajne unutrašnje i spoljne faktore. Društvo mjeri, odnosno procjenjuje izloženost operativnom riziku uzimajući u obzir mogućnost, odnosno učestalost nastanka tog rizika, kao i njegov potencijalni uticaj na MKD, s posebnim osvrtom na događaje za koje je malo vjerovatno da će nastati ali mogu izazvati velike materijalne gubitke. </w:t>
      </w:r>
    </w:p>
    <w:p w14:paraId="0716D0EB" w14:textId="77777777" w:rsidR="00E30756" w:rsidRPr="00425127" w:rsidRDefault="008955E0" w:rsidP="00772453">
      <w:pPr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>Vrste operativnih rizika koji se mogu ispoljiti su:</w:t>
      </w:r>
    </w:p>
    <w:p w14:paraId="72909AC5" w14:textId="5E7EE9D4" w:rsidR="00E30756" w:rsidRPr="00425127" w:rsidRDefault="008955E0" w:rsidP="00BC7083">
      <w:pPr>
        <w:pStyle w:val="ListParagraph"/>
        <w:numPr>
          <w:ilvl w:val="0"/>
          <w:numId w:val="3"/>
        </w:numPr>
        <w:tabs>
          <w:tab w:val="left" w:pos="630"/>
        </w:tabs>
        <w:ind w:left="630" w:hanging="619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propusti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greške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zaposlenih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prilikom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odobrenja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mikrokredita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prilikom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evidentiranja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poslovnih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događaja</w:t>
      </w:r>
      <w:proofErr w:type="spellEnd"/>
      <w:r w:rsidR="002160AF">
        <w:rPr>
          <w:rFonts w:ascii="Verdana" w:hAnsi="Verdana" w:cs="Arial"/>
          <w:sz w:val="20"/>
          <w:szCs w:val="20"/>
          <w:lang w:val="es-AR"/>
        </w:rPr>
        <w:t>,</w:t>
      </w:r>
    </w:p>
    <w:p w14:paraId="631A2362" w14:textId="77B5C89D" w:rsidR="00E30756" w:rsidRPr="00425127" w:rsidRDefault="008955E0" w:rsidP="00BC7083">
      <w:pPr>
        <w:pStyle w:val="ListParagraph"/>
        <w:numPr>
          <w:ilvl w:val="0"/>
          <w:numId w:val="3"/>
        </w:numPr>
        <w:tabs>
          <w:tab w:val="left" w:pos="630"/>
        </w:tabs>
        <w:ind w:left="630" w:hanging="619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pogrešne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procedure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procesi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i </w:t>
      </w:r>
    </w:p>
    <w:p w14:paraId="31CC1256" w14:textId="019E448B" w:rsidR="008955E0" w:rsidRPr="00425127" w:rsidRDefault="008955E0" w:rsidP="00BC7083">
      <w:pPr>
        <w:pStyle w:val="ListParagraph"/>
        <w:numPr>
          <w:ilvl w:val="0"/>
          <w:numId w:val="3"/>
        </w:numPr>
        <w:tabs>
          <w:tab w:val="left" w:pos="630"/>
        </w:tabs>
        <w:ind w:left="630" w:hanging="619"/>
        <w:rPr>
          <w:rFonts w:ascii="Verdana" w:hAnsi="Verdana" w:cs="Arial"/>
          <w:sz w:val="20"/>
          <w:szCs w:val="20"/>
          <w:lang w:val="es-AR"/>
        </w:rPr>
      </w:pP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pravni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 xml:space="preserve"> </w:t>
      </w:r>
      <w:proofErr w:type="spellStart"/>
      <w:r w:rsidRPr="00425127">
        <w:rPr>
          <w:rFonts w:ascii="Verdana" w:hAnsi="Verdana" w:cs="Arial"/>
          <w:sz w:val="20"/>
          <w:szCs w:val="20"/>
          <w:lang w:val="es-AR"/>
        </w:rPr>
        <w:t>rizik</w:t>
      </w:r>
      <w:proofErr w:type="spellEnd"/>
      <w:r w:rsidRPr="00425127">
        <w:rPr>
          <w:rFonts w:ascii="Verdana" w:hAnsi="Verdana" w:cs="Arial"/>
          <w:sz w:val="20"/>
          <w:szCs w:val="20"/>
          <w:lang w:val="es-AR"/>
        </w:rPr>
        <w:t>.</w:t>
      </w:r>
    </w:p>
    <w:p w14:paraId="0CF75981" w14:textId="77777777" w:rsidR="00CC0F23" w:rsidRDefault="008955E0" w:rsidP="00772453">
      <w:pPr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Propusti i greške zaposlenih minimizirani su implementacijom softvera za podršku poslovanju, koji svojim modulima i načinom rada ne dozvoljava da se transakcija sa greškom realizuje. </w:t>
      </w:r>
    </w:p>
    <w:p w14:paraId="7CE8285B" w14:textId="573B34F4" w:rsidR="008955E0" w:rsidRPr="00425127" w:rsidRDefault="008955E0" w:rsidP="00772453">
      <w:pPr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 xml:space="preserve">Potpuno otklanjanje ovog faktora operativnog rizika vrši se putem kontrole koju u ime upravnog odbora vrši odbor za reviziju, gdje se svi poslovni procesi i izvršene radnje pregledaju i kontrolišu. </w:t>
      </w:r>
    </w:p>
    <w:p w14:paraId="04CC3417" w14:textId="485B2CEA" w:rsidR="00C35CA7" w:rsidRPr="00425127" w:rsidRDefault="008955E0" w:rsidP="004160BA">
      <w:pPr>
        <w:spacing w:line="240" w:lineRule="auto"/>
        <w:jc w:val="both"/>
        <w:rPr>
          <w:rFonts w:ascii="Verdana" w:hAnsi="Verdana" w:cs="Arial"/>
          <w:sz w:val="20"/>
          <w:szCs w:val="20"/>
          <w:lang w:val="sr-Latn-BA"/>
        </w:rPr>
      </w:pPr>
      <w:r w:rsidRPr="00425127">
        <w:rPr>
          <w:rFonts w:ascii="Verdana" w:hAnsi="Verdana" w:cs="Arial"/>
          <w:sz w:val="20"/>
          <w:szCs w:val="20"/>
          <w:lang w:val="sr-Latn-BA"/>
        </w:rPr>
        <w:t>Procedure i procesi su normativno uređeni kroz sistem internih akata i sistematizaciju radnih mjesta koja definiše sve aktere i izvršioce pojedinih radnji u poslovnim procesima.</w:t>
      </w:r>
    </w:p>
    <w:p w14:paraId="4B17F391" w14:textId="77777777" w:rsidR="004603AA" w:rsidRDefault="004603AA" w:rsidP="00E606B5">
      <w:pPr>
        <w:pStyle w:val="Heading1"/>
        <w:numPr>
          <w:ilvl w:val="0"/>
          <w:numId w:val="0"/>
        </w:numPr>
        <w:spacing w:before="0" w:after="160" w:line="240" w:lineRule="auto"/>
        <w:jc w:val="both"/>
        <w:rPr>
          <w:rFonts w:ascii="Verdana" w:hAnsi="Verdana" w:cs="Times New Roman"/>
          <w:color w:val="auto"/>
          <w:sz w:val="22"/>
          <w:szCs w:val="22"/>
          <w:lang w:val="sr-Latn-BA"/>
        </w:rPr>
      </w:pPr>
      <w:bookmarkStart w:id="26" w:name="_Toc72918255"/>
    </w:p>
    <w:p w14:paraId="731F856E" w14:textId="4BC120E6" w:rsidR="00EA4BB0" w:rsidRPr="00D77A4C" w:rsidRDefault="00E606B5" w:rsidP="00E606B5">
      <w:pPr>
        <w:pStyle w:val="Heading1"/>
        <w:numPr>
          <w:ilvl w:val="0"/>
          <w:numId w:val="0"/>
        </w:numPr>
        <w:spacing w:before="0" w:after="160" w:line="240" w:lineRule="auto"/>
        <w:jc w:val="both"/>
        <w:rPr>
          <w:rFonts w:ascii="Verdana" w:hAnsi="Verdana" w:cs="Times New Roman"/>
          <w:color w:val="auto"/>
          <w:sz w:val="22"/>
          <w:szCs w:val="22"/>
          <w:lang w:val="sr-Latn-BA"/>
        </w:rPr>
      </w:pPr>
      <w:r w:rsidRPr="00D77A4C">
        <w:rPr>
          <w:rFonts w:ascii="Verdana" w:hAnsi="Verdana" w:cs="Times New Roman"/>
          <w:color w:val="auto"/>
          <w:sz w:val="22"/>
          <w:szCs w:val="22"/>
          <w:lang w:val="sr-Latn-BA"/>
        </w:rPr>
        <w:t xml:space="preserve">10. </w:t>
      </w:r>
      <w:r w:rsidR="002F7CBD" w:rsidRPr="00D77A4C">
        <w:rPr>
          <w:rFonts w:ascii="Verdana" w:hAnsi="Verdana" w:cs="Times New Roman"/>
          <w:color w:val="auto"/>
          <w:sz w:val="22"/>
          <w:szCs w:val="22"/>
          <w:lang w:val="sr-Latn-BA"/>
        </w:rPr>
        <w:t>SUDSKI POSTUPCI</w:t>
      </w:r>
      <w:bookmarkEnd w:id="26"/>
    </w:p>
    <w:p w14:paraId="0A2DA502" w14:textId="77777777" w:rsidR="004603AA" w:rsidRDefault="004603AA" w:rsidP="00997CC3">
      <w:pPr>
        <w:pStyle w:val="ListParagraph"/>
        <w:spacing w:afterLines="60" w:after="144"/>
        <w:ind w:left="0" w:firstLine="0"/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</w:pPr>
    </w:p>
    <w:p w14:paraId="34DD4726" w14:textId="0C4AE1C1" w:rsidR="00EA4BB0" w:rsidRDefault="00012F5B" w:rsidP="00997CC3">
      <w:pPr>
        <w:pStyle w:val="ListParagraph"/>
        <w:spacing w:afterLines="60" w:after="144"/>
        <w:ind w:left="0" w:firstLine="0"/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</w:pPr>
      <w:r w:rsidRPr="00425127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lastRenderedPageBreak/>
        <w:t xml:space="preserve">Društvo </w:t>
      </w:r>
      <w:r w:rsidR="00737509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na  31.12.202</w:t>
      </w:r>
      <w:r w:rsidR="00F842C0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4</w:t>
      </w:r>
      <w:r w:rsidR="00737509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. godine </w:t>
      </w:r>
      <w:r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nema sudskih sporova u kojima je tužena stran</w:t>
      </w:r>
      <w:r w:rsidR="00737509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a, dok na drugoj strani Društvo </w:t>
      </w:r>
      <w:r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 </w:t>
      </w:r>
      <w:r w:rsidR="00F304F2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po osnovu naplate </w:t>
      </w:r>
      <w:r w:rsidR="00737509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dospjelih kreditnih potraživanja od  korisnika vodi </w:t>
      </w:r>
      <w:r w:rsidR="00E63DB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2</w:t>
      </w:r>
      <w:r w:rsidR="00D263CF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4</w:t>
      </w:r>
      <w:r w:rsidR="002A3CC3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 </w:t>
      </w:r>
      <w:r w:rsidR="00737509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sudskih sporova</w:t>
      </w:r>
      <w:r w:rsidR="00304C74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 (</w:t>
      </w:r>
      <w:r w:rsidR="00757A9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što predstavlja </w:t>
      </w:r>
      <w:r w:rsidR="00304C74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1,</w:t>
      </w:r>
      <w:r w:rsidR="00D263CF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93</w:t>
      </w:r>
      <w:r w:rsidR="00304C74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% od ukupnog broja kredit</w:t>
      </w:r>
      <w:r w:rsidR="00D263CF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nih partija</w:t>
      </w:r>
      <w:r w:rsidR="00757A9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 na dan 31.12.202</w:t>
      </w:r>
      <w:r w:rsidR="00E63DB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4</w:t>
      </w:r>
      <w:r w:rsidR="00757A9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. godine</w:t>
      </w:r>
      <w:r w:rsidR="00304C74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)</w:t>
      </w:r>
      <w:r w:rsidR="00737509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 u </w:t>
      </w:r>
      <w:proofErr w:type="spellStart"/>
      <w:r w:rsidR="00737509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vrijednosti</w:t>
      </w:r>
      <w:proofErr w:type="spellEnd"/>
      <w:r w:rsidR="00737509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 </w:t>
      </w:r>
      <w:r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od</w:t>
      </w:r>
      <w:r w:rsidR="007A34EE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 </w:t>
      </w:r>
      <w:r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 </w:t>
      </w:r>
      <w:r w:rsidR="00E63DB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129</w:t>
      </w:r>
      <w:r w:rsidR="00F304F2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.hilj.</w:t>
      </w:r>
      <w:r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 KM</w:t>
      </w:r>
      <w:r w:rsidR="00304C74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 (</w:t>
      </w:r>
      <w:r w:rsidR="00757A9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što predstavlja </w:t>
      </w:r>
      <w:r w:rsidR="00304C74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1,</w:t>
      </w:r>
      <w:r w:rsidR="00E63DB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24</w:t>
      </w:r>
      <w:r w:rsidR="00304C74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% od ukupnog </w:t>
      </w:r>
      <w:r w:rsidR="00757A9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iznosa </w:t>
      </w:r>
      <w:r w:rsidR="00304C74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kredit</w:t>
      </w:r>
      <w:r w:rsidR="00E63DB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nih </w:t>
      </w:r>
      <w:proofErr w:type="spellStart"/>
      <w:r w:rsidR="00E63DB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potraživnja</w:t>
      </w:r>
      <w:proofErr w:type="spellEnd"/>
      <w:r w:rsidR="00E63DB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 </w:t>
      </w:r>
      <w:r w:rsidR="00757A9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 xml:space="preserve"> na dan 31.12.202</w:t>
      </w:r>
      <w:r w:rsidR="00E63DB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4</w:t>
      </w:r>
      <w:r w:rsidR="00757A9F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. godine</w:t>
      </w:r>
      <w:r w:rsidR="00304C74"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)</w:t>
      </w:r>
      <w:r w:rsidRPr="00BB4522"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  <w:t>.</w:t>
      </w:r>
    </w:p>
    <w:p w14:paraId="44A25823" w14:textId="77777777" w:rsidR="00DB66E3" w:rsidRPr="00425127" w:rsidRDefault="00DB66E3" w:rsidP="00997CC3">
      <w:pPr>
        <w:pStyle w:val="ListParagraph"/>
        <w:spacing w:afterLines="60" w:after="144"/>
        <w:ind w:left="0" w:firstLine="0"/>
        <w:rPr>
          <w:rFonts w:ascii="Verdana" w:hAnsi="Verdana" w:cs="Arial"/>
          <w:bCs/>
          <w:iCs/>
          <w:color w:val="000000"/>
          <w:sz w:val="20"/>
          <w:szCs w:val="20"/>
          <w:lang w:val="sr-Latn-CS"/>
        </w:rPr>
      </w:pPr>
    </w:p>
    <w:p w14:paraId="4BDB6FEA" w14:textId="0B949CE7" w:rsidR="0085691E" w:rsidRPr="00D77A4C" w:rsidRDefault="00E606B5" w:rsidP="00E606B5">
      <w:pPr>
        <w:pStyle w:val="Heading1"/>
        <w:numPr>
          <w:ilvl w:val="0"/>
          <w:numId w:val="0"/>
        </w:numPr>
        <w:spacing w:after="160" w:line="240" w:lineRule="auto"/>
        <w:jc w:val="both"/>
        <w:rPr>
          <w:rFonts w:ascii="Verdana" w:hAnsi="Verdana"/>
          <w:sz w:val="20"/>
          <w:szCs w:val="20"/>
          <w:lang w:val="it-IT"/>
        </w:rPr>
      </w:pPr>
      <w:bookmarkStart w:id="27" w:name="_Toc72918256"/>
      <w:r w:rsidRPr="00D77A4C">
        <w:rPr>
          <w:rFonts w:ascii="Verdana" w:hAnsi="Verdana" w:cs="Times New Roman"/>
          <w:color w:val="auto"/>
          <w:sz w:val="22"/>
          <w:szCs w:val="22"/>
          <w:lang w:val="it-IT"/>
        </w:rPr>
        <w:t xml:space="preserve">11. </w:t>
      </w:r>
      <w:r w:rsidR="002F7CBD" w:rsidRPr="00D77A4C">
        <w:rPr>
          <w:rFonts w:ascii="Verdana" w:hAnsi="Verdana" w:cs="Times New Roman"/>
          <w:color w:val="auto"/>
          <w:sz w:val="22"/>
          <w:szCs w:val="22"/>
          <w:lang w:val="it-IT"/>
        </w:rPr>
        <w:t>TRANSAKCIJE SA POVEZANIM LICIMA</w:t>
      </w:r>
      <w:bookmarkEnd w:id="27"/>
    </w:p>
    <w:p w14:paraId="085A7640" w14:textId="77777777" w:rsidR="00DB66E3" w:rsidRDefault="00DB66E3" w:rsidP="00DC0D79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53366E97" w14:textId="231C1B92" w:rsidR="00AF407E" w:rsidRPr="00777200" w:rsidRDefault="00AF407E" w:rsidP="00DC0D79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777200">
        <w:rPr>
          <w:rFonts w:ascii="Verdana" w:hAnsi="Verdana"/>
          <w:sz w:val="20"/>
          <w:szCs w:val="20"/>
          <w:lang w:val="it-IT"/>
        </w:rPr>
        <w:t>Povezana lica sa Društvom s</w:t>
      </w:r>
      <w:r w:rsidR="00AC2914" w:rsidRPr="00777200">
        <w:rPr>
          <w:rFonts w:ascii="Verdana" w:hAnsi="Verdana"/>
          <w:sz w:val="20"/>
          <w:szCs w:val="20"/>
          <w:lang w:val="it-IT"/>
        </w:rPr>
        <w:t xml:space="preserve">u osnivači </w:t>
      </w:r>
      <w:r w:rsidR="00415CA4" w:rsidRPr="00777200">
        <w:rPr>
          <w:rFonts w:ascii="Verdana" w:hAnsi="Verdana"/>
          <w:sz w:val="20"/>
          <w:szCs w:val="20"/>
          <w:lang w:val="it-IT"/>
        </w:rPr>
        <w:t>dru</w:t>
      </w:r>
      <w:r w:rsidR="00425127" w:rsidRPr="00777200">
        <w:rPr>
          <w:rFonts w:ascii="Verdana" w:hAnsi="Verdana"/>
          <w:sz w:val="20"/>
          <w:szCs w:val="20"/>
          <w:lang w:val="it-IT"/>
        </w:rPr>
        <w:t>š</w:t>
      </w:r>
      <w:r w:rsidR="00415CA4" w:rsidRPr="00777200">
        <w:rPr>
          <w:rFonts w:ascii="Verdana" w:hAnsi="Verdana"/>
          <w:sz w:val="20"/>
          <w:szCs w:val="20"/>
          <w:lang w:val="it-IT"/>
        </w:rPr>
        <w:t xml:space="preserve">tva, </w:t>
      </w:r>
      <w:r w:rsidRPr="00777200">
        <w:rPr>
          <w:rFonts w:ascii="Verdana" w:hAnsi="Verdana"/>
          <w:sz w:val="20"/>
          <w:szCs w:val="20"/>
          <w:lang w:val="it-IT"/>
        </w:rPr>
        <w:t>članovi Upravnog odbora</w:t>
      </w:r>
      <w:r w:rsidR="00415CA4" w:rsidRPr="00777200">
        <w:rPr>
          <w:rFonts w:ascii="Verdana" w:hAnsi="Verdana"/>
          <w:sz w:val="20"/>
          <w:szCs w:val="20"/>
          <w:lang w:val="it-IT"/>
        </w:rPr>
        <w:t xml:space="preserve">, članovi Odbora za reviziju </w:t>
      </w:r>
      <w:r w:rsidRPr="00777200">
        <w:rPr>
          <w:rFonts w:ascii="Verdana" w:hAnsi="Verdana"/>
          <w:sz w:val="20"/>
          <w:szCs w:val="20"/>
          <w:lang w:val="it-IT"/>
        </w:rPr>
        <w:t>i sa njima povezana pravna i fizička lica</w:t>
      </w:r>
      <w:r w:rsidR="004B48F4" w:rsidRPr="00777200">
        <w:rPr>
          <w:rFonts w:ascii="Verdana" w:hAnsi="Verdana"/>
          <w:sz w:val="20"/>
          <w:szCs w:val="20"/>
          <w:lang w:val="it-IT"/>
        </w:rPr>
        <w:t>.</w:t>
      </w:r>
    </w:p>
    <w:p w14:paraId="25611B47" w14:textId="0042E788" w:rsidR="002F7CBD" w:rsidRDefault="002F7CBD" w:rsidP="00DC0D79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777200">
        <w:rPr>
          <w:rFonts w:ascii="Verdana" w:hAnsi="Verdana"/>
          <w:sz w:val="20"/>
          <w:szCs w:val="20"/>
          <w:lang w:val="it-IT"/>
        </w:rPr>
        <w:t>Društvo je u 202</w:t>
      </w:r>
      <w:r w:rsidR="00F842C0">
        <w:rPr>
          <w:rFonts w:ascii="Verdana" w:hAnsi="Verdana"/>
          <w:sz w:val="20"/>
          <w:szCs w:val="20"/>
          <w:lang w:val="it-IT"/>
        </w:rPr>
        <w:t>4</w:t>
      </w:r>
      <w:r w:rsidRPr="00777200">
        <w:rPr>
          <w:rFonts w:ascii="Verdana" w:hAnsi="Verdana"/>
          <w:sz w:val="20"/>
          <w:szCs w:val="20"/>
          <w:lang w:val="it-IT"/>
        </w:rPr>
        <w:t xml:space="preserve">. godini </w:t>
      </w:r>
      <w:r w:rsidR="00D33C0A" w:rsidRPr="00777200">
        <w:rPr>
          <w:rFonts w:ascii="Verdana" w:hAnsi="Verdana"/>
          <w:sz w:val="20"/>
          <w:szCs w:val="20"/>
          <w:lang w:val="it-IT"/>
        </w:rPr>
        <w:t xml:space="preserve">ostvarilo </w:t>
      </w:r>
      <w:r w:rsidRPr="00777200">
        <w:rPr>
          <w:rFonts w:ascii="Verdana" w:hAnsi="Verdana"/>
          <w:sz w:val="20"/>
          <w:szCs w:val="20"/>
          <w:lang w:val="it-IT"/>
        </w:rPr>
        <w:t xml:space="preserve">transakcije sa povezanim </w:t>
      </w:r>
      <w:r w:rsidR="00D33C0A" w:rsidRPr="00777200">
        <w:rPr>
          <w:rFonts w:ascii="Verdana" w:hAnsi="Verdana"/>
          <w:sz w:val="20"/>
          <w:szCs w:val="20"/>
          <w:lang w:val="it-IT"/>
        </w:rPr>
        <w:t xml:space="preserve">pravnim </w:t>
      </w:r>
      <w:r w:rsidR="00317408" w:rsidRPr="00777200">
        <w:rPr>
          <w:rFonts w:ascii="Verdana" w:hAnsi="Verdana"/>
          <w:sz w:val="20"/>
          <w:szCs w:val="20"/>
          <w:lang w:val="it-IT"/>
        </w:rPr>
        <w:t>i</w:t>
      </w:r>
      <w:r w:rsidR="00D33C0A" w:rsidRPr="00777200">
        <w:rPr>
          <w:rFonts w:ascii="Verdana" w:hAnsi="Verdana"/>
          <w:sz w:val="20"/>
          <w:szCs w:val="20"/>
          <w:lang w:val="it-IT"/>
        </w:rPr>
        <w:t xml:space="preserve"> fizičkim licima u domenu pozajmljivanja sredstava za potrebe finansiranja kreditnog portfolija i u domenu zakupa poslovnog prostora.</w:t>
      </w:r>
    </w:p>
    <w:p w14:paraId="3BCFB6E7" w14:textId="77777777" w:rsidR="003E2E81" w:rsidRDefault="003E2E81" w:rsidP="00DC0D79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20078AD7" w14:textId="27C7D012" w:rsidR="003E2E81" w:rsidRDefault="003E2E81" w:rsidP="00DC0D79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3E2E81">
        <w:rPr>
          <w:noProof/>
        </w:rPr>
        <w:drawing>
          <wp:inline distT="0" distB="0" distL="0" distR="0" wp14:anchorId="3BAB0982" wp14:editId="102C90AB">
            <wp:extent cx="5760720" cy="2306955"/>
            <wp:effectExtent l="0" t="0" r="0" b="0"/>
            <wp:docPr id="9880883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E19A8" w14:textId="77777777" w:rsidR="00DC0D79" w:rsidRPr="00777200" w:rsidRDefault="00DC0D79" w:rsidP="00DC0D79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3847130D" w14:textId="5EB4AE4D" w:rsidR="00415CA4" w:rsidRDefault="00415CA4" w:rsidP="00DC0D79">
      <w:pPr>
        <w:spacing w:after="0" w:line="240" w:lineRule="auto"/>
        <w:jc w:val="both"/>
        <w:rPr>
          <w:rFonts w:ascii="Verdana" w:eastAsia="SimSun" w:hAnsi="Verdana"/>
          <w:sz w:val="20"/>
          <w:szCs w:val="20"/>
          <w:lang w:val="sr-Latn-CS"/>
        </w:rPr>
      </w:pPr>
      <w:r w:rsidRPr="00425127">
        <w:rPr>
          <w:rFonts w:ascii="Verdana" w:eastAsia="SimSun" w:hAnsi="Verdana"/>
          <w:sz w:val="20"/>
          <w:szCs w:val="20"/>
          <w:lang w:val="sr-Latn-CS"/>
        </w:rPr>
        <w:t xml:space="preserve">Društvo </w:t>
      </w:r>
      <w:r w:rsidR="00A222F1">
        <w:rPr>
          <w:rFonts w:ascii="Verdana" w:eastAsia="SimSun" w:hAnsi="Verdana"/>
          <w:sz w:val="20"/>
          <w:szCs w:val="20"/>
          <w:lang w:val="sr-Latn-CS"/>
        </w:rPr>
        <w:t xml:space="preserve">je </w:t>
      </w:r>
      <w:r w:rsidRPr="00425127">
        <w:rPr>
          <w:rFonts w:ascii="Verdana" w:eastAsia="SimSun" w:hAnsi="Verdana"/>
          <w:sz w:val="20"/>
          <w:szCs w:val="20"/>
          <w:lang w:val="sr-Latn-CS"/>
        </w:rPr>
        <w:t>u 202</w:t>
      </w:r>
      <w:r w:rsidR="00F842C0">
        <w:rPr>
          <w:rFonts w:ascii="Verdana" w:eastAsia="SimSun" w:hAnsi="Verdana"/>
          <w:sz w:val="20"/>
          <w:szCs w:val="20"/>
          <w:lang w:val="sr-Latn-CS"/>
        </w:rPr>
        <w:t>4</w:t>
      </w:r>
      <w:r w:rsidRPr="00425127">
        <w:rPr>
          <w:rFonts w:ascii="Verdana" w:eastAsia="SimSun" w:hAnsi="Verdana"/>
          <w:sz w:val="20"/>
          <w:szCs w:val="20"/>
          <w:lang w:val="sr-Latn-CS"/>
        </w:rPr>
        <w:t>. godini prilikom ugovaranja uslova za kontrolisane transakcije sa povezanim licima ispoštovalo princip „</w:t>
      </w:r>
      <w:r w:rsidRPr="00425127">
        <w:rPr>
          <w:rFonts w:ascii="Verdana" w:eastAsia="SimSun" w:hAnsi="Verdana"/>
          <w:i/>
          <w:sz w:val="20"/>
          <w:szCs w:val="20"/>
          <w:lang w:val="sr-Latn-CS"/>
        </w:rPr>
        <w:t>van dohvata ruke</w:t>
      </w:r>
      <w:r w:rsidRPr="00425127">
        <w:rPr>
          <w:rFonts w:ascii="Verdana" w:eastAsia="SimSun" w:hAnsi="Verdana"/>
          <w:sz w:val="20"/>
          <w:szCs w:val="20"/>
          <w:lang w:val="sr-Latn-CS"/>
        </w:rPr>
        <w:t>“.</w:t>
      </w:r>
    </w:p>
    <w:p w14:paraId="24848C2F" w14:textId="77777777" w:rsidR="00DB66E3" w:rsidRPr="00425127" w:rsidRDefault="00DB66E3" w:rsidP="00DC0D79">
      <w:pPr>
        <w:spacing w:after="0" w:line="240" w:lineRule="auto"/>
        <w:jc w:val="both"/>
        <w:rPr>
          <w:rFonts w:ascii="Verdana" w:eastAsia="SimSun" w:hAnsi="Verdana"/>
          <w:sz w:val="20"/>
          <w:szCs w:val="20"/>
          <w:lang w:val="sr-Latn-CS"/>
        </w:rPr>
      </w:pPr>
    </w:p>
    <w:p w14:paraId="1F508AC0" w14:textId="77777777" w:rsidR="00425127" w:rsidRPr="00425127" w:rsidRDefault="00425127" w:rsidP="00DC0D79">
      <w:pPr>
        <w:spacing w:after="0" w:line="240" w:lineRule="auto"/>
        <w:jc w:val="both"/>
        <w:rPr>
          <w:rFonts w:ascii="Verdana" w:eastAsia="SimSun" w:hAnsi="Verdana"/>
          <w:sz w:val="20"/>
          <w:szCs w:val="20"/>
          <w:lang w:val="sr-Latn-CS"/>
        </w:rPr>
      </w:pPr>
    </w:p>
    <w:p w14:paraId="11A38825" w14:textId="25B93BF8" w:rsidR="00425127" w:rsidRPr="00E606B5" w:rsidRDefault="00E606B5" w:rsidP="00E606B5">
      <w:pPr>
        <w:spacing w:after="0"/>
        <w:rPr>
          <w:rFonts w:ascii="Verdana" w:hAnsi="Verdana" w:cs="Calibri"/>
          <w:b/>
          <w:lang w:val="sr-Latn-BA"/>
        </w:rPr>
      </w:pPr>
      <w:r w:rsidRPr="00E606B5">
        <w:rPr>
          <w:rFonts w:ascii="Verdana" w:eastAsia="SimSun" w:hAnsi="Verdana"/>
          <w:b/>
          <w:bCs/>
          <w:sz w:val="20"/>
          <w:szCs w:val="20"/>
          <w:lang w:val="sr-Latn-CS"/>
        </w:rPr>
        <w:t>12.</w:t>
      </w:r>
      <w:r>
        <w:rPr>
          <w:rFonts w:ascii="Verdana" w:eastAsia="SimSun" w:hAnsi="Verdana"/>
          <w:sz w:val="20"/>
          <w:szCs w:val="20"/>
          <w:lang w:val="sr-Latn-CS"/>
        </w:rPr>
        <w:t xml:space="preserve"> </w:t>
      </w:r>
      <w:r w:rsidR="00425127" w:rsidRPr="00E606B5">
        <w:rPr>
          <w:rFonts w:ascii="Verdana" w:hAnsi="Verdana" w:cs="Calibri"/>
          <w:b/>
          <w:sz w:val="20"/>
          <w:szCs w:val="20"/>
          <w:lang w:val="sr-Latn-BA"/>
        </w:rPr>
        <w:t xml:space="preserve"> </w:t>
      </w:r>
      <w:r w:rsidR="00425127" w:rsidRPr="00E606B5">
        <w:rPr>
          <w:rFonts w:ascii="Verdana" w:hAnsi="Verdana" w:cs="Calibri"/>
          <w:b/>
          <w:lang w:val="sr-Latn-BA"/>
        </w:rPr>
        <w:t>EKSTERNALIZOVANE AKTIVNOSTI</w:t>
      </w:r>
    </w:p>
    <w:p w14:paraId="46CC8BF2" w14:textId="77777777" w:rsidR="00080A65" w:rsidRPr="002160AF" w:rsidRDefault="00080A65" w:rsidP="00080A65">
      <w:pPr>
        <w:pStyle w:val="ListParagraph"/>
        <w:spacing w:after="0"/>
        <w:ind w:left="360" w:firstLine="0"/>
        <w:rPr>
          <w:rFonts w:ascii="Verdana" w:hAnsi="Verdana" w:cs="Calibri"/>
          <w:b/>
          <w:lang w:val="sr-Latn-BA"/>
        </w:rPr>
      </w:pPr>
    </w:p>
    <w:p w14:paraId="4CE90315" w14:textId="77777777" w:rsidR="00AA1E22" w:rsidRPr="00425127" w:rsidRDefault="00AA1E22" w:rsidP="00AA1E22">
      <w:pPr>
        <w:pStyle w:val="ListParagraph"/>
        <w:spacing w:after="0"/>
        <w:ind w:left="540" w:firstLine="0"/>
        <w:rPr>
          <w:rFonts w:ascii="Verdana" w:hAnsi="Verdana" w:cs="Calibri"/>
          <w:b/>
          <w:sz w:val="20"/>
          <w:szCs w:val="20"/>
          <w:lang w:val="sr-Latn-BA"/>
        </w:rPr>
      </w:pPr>
    </w:p>
    <w:p w14:paraId="1F79010E" w14:textId="77777777" w:rsidR="00AB2FE2" w:rsidRPr="00AB2FE2" w:rsidRDefault="00AB2FE2" w:rsidP="00AB2FE2">
      <w:pPr>
        <w:spacing w:after="0" w:line="240" w:lineRule="auto"/>
        <w:jc w:val="both"/>
        <w:rPr>
          <w:rFonts w:ascii="Verdana" w:eastAsia="Times New Roman" w:hAnsi="Verdana" w:cs="Calibri"/>
          <w:b/>
          <w:sz w:val="20"/>
          <w:szCs w:val="20"/>
          <w:lang w:val="sr-Latn-BA"/>
        </w:rPr>
      </w:pPr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>Društvo je tri usluge povjerilo sljedećim eksternim saradniciama</w:t>
      </w:r>
      <w:r w:rsidRPr="00AB2FE2">
        <w:rPr>
          <w:rFonts w:ascii="Verdana" w:eastAsia="Times New Roman" w:hAnsi="Verdana" w:cs="Calibri"/>
          <w:b/>
          <w:sz w:val="20"/>
          <w:szCs w:val="20"/>
          <w:lang w:val="sr-Latn-BA"/>
        </w:rPr>
        <w:t>:</w:t>
      </w:r>
    </w:p>
    <w:p w14:paraId="002A3C26" w14:textId="02F64EB4" w:rsidR="00AB2FE2" w:rsidRPr="00AB2FE2" w:rsidRDefault="00AB2FE2" w:rsidP="00AB2FE2">
      <w:pPr>
        <w:numPr>
          <w:ilvl w:val="0"/>
          <w:numId w:val="33"/>
        </w:numPr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sr-Latn-BA"/>
        </w:rPr>
      </w:pPr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>Usluge održavanj</w:t>
      </w:r>
      <w:r w:rsidR="001A3E19">
        <w:rPr>
          <w:rFonts w:ascii="Verdana" w:eastAsia="Times New Roman" w:hAnsi="Verdana" w:cs="Calibri"/>
          <w:sz w:val="20"/>
          <w:szCs w:val="20"/>
          <w:lang w:val="sr-Latn-BA"/>
        </w:rPr>
        <w:t>a</w:t>
      </w:r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 xml:space="preserve"> i razvoj</w:t>
      </w:r>
      <w:r w:rsidR="001A3E19">
        <w:rPr>
          <w:rFonts w:ascii="Verdana" w:eastAsia="Times New Roman" w:hAnsi="Verdana" w:cs="Calibri"/>
          <w:sz w:val="20"/>
          <w:szCs w:val="20"/>
          <w:lang w:val="sr-Latn-BA"/>
        </w:rPr>
        <w:t>a</w:t>
      </w:r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 xml:space="preserve"> </w:t>
      </w:r>
      <w:r w:rsidR="0060054D">
        <w:rPr>
          <w:rFonts w:ascii="Verdana" w:eastAsia="Times New Roman" w:hAnsi="Verdana" w:cs="Calibri"/>
          <w:sz w:val="20"/>
          <w:szCs w:val="20"/>
          <w:lang w:val="sr-Latn-BA"/>
        </w:rPr>
        <w:t xml:space="preserve">sistemskog </w:t>
      </w:r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>softvera povjerene su pravn</w:t>
      </w:r>
      <w:r w:rsidR="0060054D">
        <w:rPr>
          <w:rFonts w:ascii="Verdana" w:eastAsia="Times New Roman" w:hAnsi="Verdana" w:cs="Calibri"/>
          <w:sz w:val="20"/>
          <w:szCs w:val="20"/>
          <w:lang w:val="sr-Latn-BA"/>
        </w:rPr>
        <w:t xml:space="preserve">im licima: Info studio Sarajevo i </w:t>
      </w:r>
      <w:proofErr w:type="spellStart"/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>Venisoft</w:t>
      </w:r>
      <w:proofErr w:type="spellEnd"/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>, Niš</w:t>
      </w:r>
      <w:r w:rsidR="0060054D">
        <w:rPr>
          <w:rFonts w:ascii="Verdana" w:eastAsia="Times New Roman" w:hAnsi="Verdana" w:cs="Calibri"/>
          <w:sz w:val="20"/>
          <w:szCs w:val="20"/>
          <w:lang w:val="sr-Latn-BA"/>
        </w:rPr>
        <w:t>.</w:t>
      </w:r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 xml:space="preserve"> </w:t>
      </w:r>
    </w:p>
    <w:p w14:paraId="6F522AE9" w14:textId="5DD0D821" w:rsidR="00AB2FE2" w:rsidRPr="00AB2FE2" w:rsidRDefault="00AB2FE2" w:rsidP="00AB2FE2">
      <w:pPr>
        <w:numPr>
          <w:ilvl w:val="0"/>
          <w:numId w:val="33"/>
        </w:numPr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sr-Latn-BA"/>
        </w:rPr>
      </w:pPr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>Usluge održavanj</w:t>
      </w:r>
      <w:r w:rsidR="001A3E19">
        <w:rPr>
          <w:rFonts w:ascii="Verdana" w:eastAsia="Times New Roman" w:hAnsi="Verdana" w:cs="Calibri"/>
          <w:sz w:val="20"/>
          <w:szCs w:val="20"/>
          <w:lang w:val="sr-Latn-BA"/>
        </w:rPr>
        <w:t>a</w:t>
      </w:r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 xml:space="preserve"> i razvo</w:t>
      </w:r>
      <w:r w:rsidR="001A3E19">
        <w:rPr>
          <w:rFonts w:ascii="Verdana" w:eastAsia="Times New Roman" w:hAnsi="Verdana" w:cs="Calibri"/>
          <w:sz w:val="20"/>
          <w:szCs w:val="20"/>
          <w:lang w:val="sr-Latn-BA"/>
        </w:rPr>
        <w:t>ja</w:t>
      </w:r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 xml:space="preserve"> softvera za obračun plata povjerene su pravnom licu Infosistem doo, Bijeljina,</w:t>
      </w:r>
    </w:p>
    <w:p w14:paraId="3E4513D3" w14:textId="3BB0685A" w:rsidR="00AB2FE2" w:rsidRPr="00AB2FE2" w:rsidRDefault="00AB2FE2" w:rsidP="00AB2FE2">
      <w:pPr>
        <w:numPr>
          <w:ilvl w:val="0"/>
          <w:numId w:val="33"/>
        </w:numPr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sr-Latn-BA"/>
        </w:rPr>
      </w:pPr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>Usluge advokat</w:t>
      </w:r>
      <w:r w:rsidR="0060054D">
        <w:rPr>
          <w:rFonts w:ascii="Verdana" w:eastAsia="Times New Roman" w:hAnsi="Verdana" w:cs="Calibri"/>
          <w:sz w:val="20"/>
          <w:szCs w:val="20"/>
          <w:lang w:val="sr-Latn-BA"/>
        </w:rPr>
        <w:t xml:space="preserve">a </w:t>
      </w:r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 xml:space="preserve">povjerene AK </w:t>
      </w:r>
      <w:proofErr w:type="spellStart"/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>Ćeklić</w:t>
      </w:r>
      <w:proofErr w:type="spellEnd"/>
      <w:r w:rsidRPr="00AB2FE2">
        <w:rPr>
          <w:rFonts w:ascii="Verdana" w:eastAsia="Times New Roman" w:hAnsi="Verdana" w:cs="Calibri"/>
          <w:sz w:val="20"/>
          <w:szCs w:val="20"/>
          <w:lang w:val="sr-Latn-BA"/>
        </w:rPr>
        <w:t xml:space="preserve">, Krsmanović i Matić, Bijeljina.  </w:t>
      </w:r>
    </w:p>
    <w:p w14:paraId="7B164C28" w14:textId="77777777" w:rsidR="00AB2FE2" w:rsidRPr="00AB2FE2" w:rsidRDefault="00AB2FE2" w:rsidP="00AB2FE2">
      <w:pPr>
        <w:spacing w:after="0" w:line="240" w:lineRule="auto"/>
        <w:rPr>
          <w:rFonts w:ascii="Verdana" w:eastAsia="Times New Roman" w:hAnsi="Verdana" w:cs="Calibri"/>
          <w:sz w:val="20"/>
          <w:szCs w:val="20"/>
          <w:lang w:val="sr-Latn-BA"/>
        </w:rPr>
      </w:pPr>
    </w:p>
    <w:p w14:paraId="7851B88D" w14:textId="77777777" w:rsidR="00AB2FE2" w:rsidRDefault="00AB2FE2" w:rsidP="004251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sr-Latn-BA"/>
        </w:rPr>
      </w:pPr>
    </w:p>
    <w:p w14:paraId="35699DCA" w14:textId="42AD377F" w:rsidR="00BF5892" w:rsidRDefault="00E606B5" w:rsidP="00E606B5">
      <w:pPr>
        <w:spacing w:after="0"/>
        <w:rPr>
          <w:rFonts w:ascii="Verdana" w:hAnsi="Verdana" w:cs="Calibri"/>
          <w:b/>
          <w:lang w:val="sr-Latn-BA"/>
        </w:rPr>
      </w:pPr>
      <w:r>
        <w:rPr>
          <w:rFonts w:ascii="Verdana" w:hAnsi="Verdana" w:cs="Calibri"/>
          <w:b/>
          <w:lang w:val="sr-Latn-BA"/>
        </w:rPr>
        <w:t xml:space="preserve">13. </w:t>
      </w:r>
      <w:r w:rsidR="00BF5892" w:rsidRPr="00E606B5">
        <w:rPr>
          <w:rFonts w:ascii="Verdana" w:hAnsi="Verdana" w:cs="Calibri"/>
          <w:b/>
          <w:lang w:val="sr-Latn-BA"/>
        </w:rPr>
        <w:t>SPREČAVANJE PRANJA NOVCA</w:t>
      </w:r>
      <w:r w:rsidR="00425127" w:rsidRPr="00E606B5">
        <w:rPr>
          <w:rFonts w:ascii="Verdana" w:hAnsi="Verdana" w:cs="Calibri"/>
          <w:b/>
          <w:lang w:val="sr-Latn-BA"/>
        </w:rPr>
        <w:t xml:space="preserve"> (SPN) </w:t>
      </w:r>
      <w:r w:rsidR="00BF5892" w:rsidRPr="00E606B5">
        <w:rPr>
          <w:rFonts w:ascii="Verdana" w:hAnsi="Verdana" w:cs="Calibri"/>
          <w:b/>
          <w:lang w:val="sr-Latn-BA"/>
        </w:rPr>
        <w:t xml:space="preserve">I FINANSITANJA TERORISTIČKIH </w:t>
      </w:r>
      <w:r w:rsidR="00425127" w:rsidRPr="00E606B5">
        <w:rPr>
          <w:rFonts w:ascii="Verdana" w:hAnsi="Verdana" w:cs="Calibri"/>
          <w:b/>
          <w:lang w:val="sr-Latn-BA"/>
        </w:rPr>
        <w:t xml:space="preserve">  </w:t>
      </w:r>
      <w:r w:rsidR="00BF5892" w:rsidRPr="00E606B5">
        <w:rPr>
          <w:rFonts w:ascii="Verdana" w:hAnsi="Verdana" w:cs="Calibri"/>
          <w:b/>
          <w:lang w:val="sr-Latn-BA"/>
        </w:rPr>
        <w:t>AKTIVNOSTI</w:t>
      </w:r>
      <w:r w:rsidR="00425127" w:rsidRPr="00E606B5">
        <w:rPr>
          <w:rFonts w:ascii="Verdana" w:hAnsi="Verdana" w:cs="Calibri"/>
          <w:b/>
          <w:lang w:val="sr-Latn-BA"/>
        </w:rPr>
        <w:t xml:space="preserve"> (FTA)</w:t>
      </w:r>
    </w:p>
    <w:p w14:paraId="5BBBFBB6" w14:textId="77777777" w:rsidR="00DB66E3" w:rsidRPr="00E606B5" w:rsidRDefault="00DB66E3" w:rsidP="00E606B5">
      <w:pPr>
        <w:spacing w:after="0"/>
        <w:rPr>
          <w:rFonts w:ascii="Verdana" w:hAnsi="Verdana" w:cs="Calibri"/>
          <w:b/>
          <w:lang w:val="sr-Latn-BA"/>
        </w:rPr>
      </w:pPr>
    </w:p>
    <w:p w14:paraId="6472ADA5" w14:textId="77777777" w:rsidR="00425127" w:rsidRPr="002160AF" w:rsidRDefault="00425127" w:rsidP="00425127">
      <w:pPr>
        <w:pStyle w:val="ListParagraph"/>
        <w:spacing w:after="0"/>
        <w:ind w:left="540" w:firstLine="0"/>
        <w:rPr>
          <w:rFonts w:ascii="Verdana" w:hAnsi="Verdana" w:cs="Calibri"/>
          <w:b/>
          <w:lang w:val="sr-Latn-BA"/>
        </w:rPr>
      </w:pPr>
    </w:p>
    <w:p w14:paraId="661F05A6" w14:textId="08CBBBC2" w:rsidR="00970ED6" w:rsidRPr="00425127" w:rsidRDefault="00970ED6" w:rsidP="00970E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sr-Latn-BA"/>
        </w:rPr>
      </w:pPr>
      <w:proofErr w:type="spellStart"/>
      <w:r w:rsidRPr="00970ED6">
        <w:rPr>
          <w:rFonts w:ascii="Verdana" w:hAnsi="Verdana"/>
          <w:sz w:val="20"/>
          <w:szCs w:val="20"/>
          <w:lang w:val="sr-Cyrl-CS"/>
        </w:rPr>
        <w:t>Na</w:t>
      </w:r>
      <w:proofErr w:type="spellEnd"/>
      <w:r w:rsidRPr="00970ED6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970ED6">
        <w:rPr>
          <w:rFonts w:ascii="Verdana" w:hAnsi="Verdana"/>
          <w:sz w:val="20"/>
          <w:szCs w:val="20"/>
          <w:lang w:val="sr-Cyrl-CS"/>
        </w:rPr>
        <w:t>osnovu</w:t>
      </w:r>
      <w:proofErr w:type="spellEnd"/>
      <w:r w:rsidRPr="00970ED6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970ED6">
        <w:rPr>
          <w:rFonts w:ascii="Verdana" w:hAnsi="Verdana"/>
          <w:sz w:val="20"/>
          <w:szCs w:val="20"/>
          <w:lang w:val="sr-Cyrl-CS"/>
        </w:rPr>
        <w:t>Zakona</w:t>
      </w:r>
      <w:proofErr w:type="spellEnd"/>
      <w:r w:rsidRPr="00970ED6">
        <w:rPr>
          <w:rFonts w:ascii="Verdana" w:hAnsi="Verdana"/>
          <w:sz w:val="20"/>
          <w:szCs w:val="20"/>
          <w:lang w:val="sr-Cyrl-CS"/>
        </w:rPr>
        <w:t xml:space="preserve"> o</w:t>
      </w:r>
      <w:r w:rsidRPr="00970ED6">
        <w:rPr>
          <w:rFonts w:ascii="Verdana" w:hAnsi="Verdana"/>
          <w:sz w:val="20"/>
          <w:szCs w:val="20"/>
          <w:lang w:val="sr-Latn-BA"/>
        </w:rPr>
        <w:t xml:space="preserve"> </w:t>
      </w:r>
      <w:proofErr w:type="spellStart"/>
      <w:r w:rsidRPr="00970ED6">
        <w:rPr>
          <w:rFonts w:ascii="Verdana" w:hAnsi="Verdana"/>
          <w:sz w:val="20"/>
          <w:szCs w:val="20"/>
          <w:lang w:val="sr-Latn-BA"/>
        </w:rPr>
        <w:t>mikrokreditnim</w:t>
      </w:r>
      <w:proofErr w:type="spellEnd"/>
      <w:r w:rsidRPr="00970ED6">
        <w:rPr>
          <w:rFonts w:ascii="Verdana" w:hAnsi="Verdana"/>
          <w:sz w:val="20"/>
          <w:szCs w:val="20"/>
          <w:lang w:val="sr-Latn-BA"/>
        </w:rPr>
        <w:t xml:space="preserve"> organizacijama Republike Srpske</w:t>
      </w:r>
      <w:r w:rsidRPr="00970ED6">
        <w:rPr>
          <w:rFonts w:ascii="Verdana" w:hAnsi="Verdana"/>
          <w:sz w:val="20"/>
          <w:szCs w:val="20"/>
          <w:lang w:val="sr-Cyrl-CS"/>
        </w:rPr>
        <w:t xml:space="preserve"> (</w:t>
      </w:r>
      <w:r w:rsidRPr="00970ED6">
        <w:rPr>
          <w:rFonts w:ascii="Verdana" w:hAnsi="Verdana"/>
          <w:sz w:val="20"/>
          <w:szCs w:val="20"/>
          <w:lang w:val="sr-Latn-CS"/>
        </w:rPr>
        <w:t>„</w:t>
      </w:r>
      <w:r w:rsidRPr="00970ED6">
        <w:rPr>
          <w:rFonts w:ascii="Verdana" w:hAnsi="Verdana"/>
          <w:sz w:val="20"/>
          <w:szCs w:val="20"/>
          <w:lang w:val="sr-Cyrl-CS"/>
        </w:rPr>
        <w:t>S</w:t>
      </w:r>
      <w:r w:rsidRPr="00970ED6">
        <w:rPr>
          <w:rFonts w:ascii="Verdana" w:hAnsi="Verdana"/>
          <w:sz w:val="20"/>
          <w:szCs w:val="20"/>
          <w:lang w:val="sr-Latn-CS"/>
        </w:rPr>
        <w:t>l. g</w:t>
      </w:r>
      <w:proofErr w:type="spellStart"/>
      <w:r w:rsidRPr="00970ED6">
        <w:rPr>
          <w:rFonts w:ascii="Verdana" w:hAnsi="Verdana"/>
          <w:sz w:val="20"/>
          <w:szCs w:val="20"/>
          <w:lang w:val="sr-Cyrl-CS"/>
        </w:rPr>
        <w:t>lasnik</w:t>
      </w:r>
      <w:proofErr w:type="spellEnd"/>
      <w:r w:rsidRPr="00970ED6">
        <w:rPr>
          <w:rFonts w:ascii="Verdana" w:hAnsi="Verdana"/>
          <w:sz w:val="20"/>
          <w:szCs w:val="20"/>
          <w:lang w:val="sr-Latn-CS"/>
        </w:rPr>
        <w:t>“</w:t>
      </w:r>
      <w:r w:rsidRPr="00970ED6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970ED6">
        <w:rPr>
          <w:rFonts w:ascii="Verdana" w:hAnsi="Verdana"/>
          <w:sz w:val="20"/>
          <w:szCs w:val="20"/>
          <w:lang w:val="sr-Cyrl-CS"/>
        </w:rPr>
        <w:t>broj</w:t>
      </w:r>
      <w:proofErr w:type="spellEnd"/>
      <w:r w:rsidRPr="00970ED6">
        <w:rPr>
          <w:rFonts w:ascii="Verdana" w:hAnsi="Verdana"/>
          <w:sz w:val="20"/>
          <w:szCs w:val="20"/>
          <w:lang w:val="sr-Cyrl-CS"/>
        </w:rPr>
        <w:t>:</w:t>
      </w:r>
      <w:r w:rsidRPr="00970ED6">
        <w:rPr>
          <w:rFonts w:ascii="Verdana" w:hAnsi="Verdana"/>
          <w:sz w:val="20"/>
          <w:szCs w:val="20"/>
          <w:lang w:val="sr-Latn-BA"/>
        </w:rPr>
        <w:t xml:space="preserve"> 16/11</w:t>
      </w:r>
      <w:r w:rsidRPr="00970ED6">
        <w:rPr>
          <w:rFonts w:ascii="Verdana" w:hAnsi="Verdana"/>
          <w:sz w:val="20"/>
          <w:szCs w:val="20"/>
          <w:lang w:val="sr-Cyrl-CS"/>
        </w:rPr>
        <w:t>)</w:t>
      </w:r>
      <w:r w:rsidRPr="00970ED6">
        <w:rPr>
          <w:rFonts w:ascii="Verdana" w:hAnsi="Verdana"/>
          <w:sz w:val="20"/>
          <w:szCs w:val="20"/>
          <w:lang w:val="sr-Latn-CS"/>
        </w:rPr>
        <w:t>, Zakona o sprečavanju pranja novca i finansiranja terorističkih aktivnosti („</w:t>
      </w:r>
      <w:r w:rsidRPr="00970ED6">
        <w:rPr>
          <w:rFonts w:ascii="Verdana" w:hAnsi="Verdana"/>
          <w:sz w:val="20"/>
          <w:szCs w:val="20"/>
          <w:lang w:val="sr-Cyrl-CS"/>
        </w:rPr>
        <w:t>S</w:t>
      </w:r>
      <w:r w:rsidRPr="00970ED6">
        <w:rPr>
          <w:rFonts w:ascii="Verdana" w:hAnsi="Verdana"/>
          <w:sz w:val="20"/>
          <w:szCs w:val="20"/>
          <w:lang w:val="sr-Latn-CS"/>
        </w:rPr>
        <w:t>l. g</w:t>
      </w:r>
      <w:proofErr w:type="spellStart"/>
      <w:r w:rsidRPr="00970ED6">
        <w:rPr>
          <w:rFonts w:ascii="Verdana" w:hAnsi="Verdana"/>
          <w:sz w:val="20"/>
          <w:szCs w:val="20"/>
          <w:lang w:val="sr-Cyrl-CS"/>
        </w:rPr>
        <w:t>lasnik</w:t>
      </w:r>
      <w:proofErr w:type="spellEnd"/>
      <w:r w:rsidRPr="00970ED6">
        <w:rPr>
          <w:rFonts w:ascii="Verdana" w:hAnsi="Verdana"/>
          <w:sz w:val="20"/>
          <w:szCs w:val="20"/>
          <w:lang w:val="sr-Latn-CS"/>
        </w:rPr>
        <w:t xml:space="preserve"> BiH“ </w:t>
      </w:r>
      <w:proofErr w:type="spellStart"/>
      <w:r w:rsidRPr="00970ED6">
        <w:rPr>
          <w:rFonts w:ascii="Verdana" w:hAnsi="Verdana"/>
          <w:sz w:val="20"/>
          <w:szCs w:val="20"/>
          <w:lang w:val="sr-Cyrl-CS"/>
        </w:rPr>
        <w:t>br</w:t>
      </w:r>
      <w:proofErr w:type="spellEnd"/>
      <w:r w:rsidRPr="00970ED6">
        <w:rPr>
          <w:rFonts w:ascii="Verdana" w:hAnsi="Verdana"/>
          <w:sz w:val="20"/>
          <w:szCs w:val="20"/>
          <w:lang w:val="sr-Latn-RS"/>
        </w:rPr>
        <w:t>oj:</w:t>
      </w:r>
      <w:r w:rsidRPr="00970ED6">
        <w:rPr>
          <w:rFonts w:ascii="Verdana" w:hAnsi="Verdana"/>
          <w:sz w:val="20"/>
          <w:szCs w:val="20"/>
          <w:lang w:val="sr-Latn-CS"/>
        </w:rPr>
        <w:t xml:space="preserve"> 13/24), Pravilnika o sprovođenju zakona o sprečavanju pranja novca i finansiranja terorističkih aktivnosti („</w:t>
      </w:r>
      <w:r w:rsidRPr="00970ED6">
        <w:rPr>
          <w:rFonts w:ascii="Verdana" w:hAnsi="Verdana"/>
          <w:sz w:val="20"/>
          <w:szCs w:val="20"/>
          <w:lang w:val="sr-Cyrl-CS"/>
        </w:rPr>
        <w:t>S</w:t>
      </w:r>
      <w:r w:rsidRPr="00970ED6">
        <w:rPr>
          <w:rFonts w:ascii="Verdana" w:hAnsi="Verdana"/>
          <w:sz w:val="20"/>
          <w:szCs w:val="20"/>
          <w:lang w:val="sr-Latn-CS"/>
        </w:rPr>
        <w:t>l. g</w:t>
      </w:r>
      <w:proofErr w:type="spellStart"/>
      <w:r w:rsidRPr="00970ED6">
        <w:rPr>
          <w:rFonts w:ascii="Verdana" w:hAnsi="Verdana"/>
          <w:sz w:val="20"/>
          <w:szCs w:val="20"/>
          <w:lang w:val="sr-Cyrl-CS"/>
        </w:rPr>
        <w:t>lasnik</w:t>
      </w:r>
      <w:proofErr w:type="spellEnd"/>
      <w:r w:rsidRPr="00970ED6">
        <w:rPr>
          <w:rFonts w:ascii="Verdana" w:hAnsi="Verdana"/>
          <w:sz w:val="20"/>
          <w:szCs w:val="20"/>
          <w:lang w:val="sr-Latn-CS"/>
        </w:rPr>
        <w:t xml:space="preserve"> BiH“ </w:t>
      </w:r>
      <w:r w:rsidRPr="00970ED6">
        <w:rPr>
          <w:rFonts w:ascii="Verdana" w:hAnsi="Verdana"/>
          <w:sz w:val="20"/>
          <w:szCs w:val="20"/>
          <w:lang w:val="sr-Cyrl-CS"/>
        </w:rPr>
        <w:t>b</w:t>
      </w:r>
      <w:r w:rsidRPr="00970ED6">
        <w:rPr>
          <w:rFonts w:ascii="Verdana" w:hAnsi="Verdana"/>
          <w:sz w:val="20"/>
          <w:szCs w:val="20"/>
          <w:lang w:val="sr-Latn-RS"/>
        </w:rPr>
        <w:t xml:space="preserve">roj: 41/15 i </w:t>
      </w:r>
      <w:r w:rsidRPr="00970ED6">
        <w:rPr>
          <w:rFonts w:ascii="Verdana" w:hAnsi="Verdana"/>
          <w:sz w:val="20"/>
          <w:szCs w:val="20"/>
          <w:lang w:val="sr-Latn-CS"/>
        </w:rPr>
        <w:t>24/23) Odluke o u</w:t>
      </w:r>
      <w:r>
        <w:rPr>
          <w:rFonts w:ascii="Verdana" w:hAnsi="Verdana"/>
          <w:sz w:val="20"/>
          <w:szCs w:val="20"/>
          <w:lang w:val="sr-Latn-CS"/>
        </w:rPr>
        <w:t>p</w:t>
      </w:r>
      <w:r w:rsidRPr="00970ED6">
        <w:rPr>
          <w:rFonts w:ascii="Verdana" w:hAnsi="Verdana"/>
          <w:sz w:val="20"/>
          <w:szCs w:val="20"/>
          <w:lang w:val="sr-Latn-CS"/>
        </w:rPr>
        <w:t>ravljanju rizikom od pranja novca i finansiranju terorizma („</w:t>
      </w:r>
      <w:r w:rsidRPr="00970ED6">
        <w:rPr>
          <w:rFonts w:ascii="Verdana" w:hAnsi="Verdana"/>
          <w:sz w:val="20"/>
          <w:szCs w:val="20"/>
          <w:lang w:val="sr-Cyrl-CS"/>
        </w:rPr>
        <w:t>S</w:t>
      </w:r>
      <w:r w:rsidRPr="00970ED6">
        <w:rPr>
          <w:rFonts w:ascii="Verdana" w:hAnsi="Verdana"/>
          <w:sz w:val="20"/>
          <w:szCs w:val="20"/>
          <w:lang w:val="sr-Latn-CS"/>
        </w:rPr>
        <w:t>l. g</w:t>
      </w:r>
      <w:proofErr w:type="spellStart"/>
      <w:r w:rsidRPr="00970ED6">
        <w:rPr>
          <w:rFonts w:ascii="Verdana" w:hAnsi="Verdana"/>
          <w:sz w:val="20"/>
          <w:szCs w:val="20"/>
          <w:lang w:val="sr-Cyrl-CS"/>
        </w:rPr>
        <w:t>lasnik</w:t>
      </w:r>
      <w:proofErr w:type="spellEnd"/>
      <w:r w:rsidRPr="00970ED6">
        <w:rPr>
          <w:rFonts w:ascii="Verdana" w:hAnsi="Verdana"/>
          <w:sz w:val="20"/>
          <w:szCs w:val="20"/>
          <w:lang w:val="sr-Cyrl-CS"/>
        </w:rPr>
        <w:t xml:space="preserve"> </w:t>
      </w:r>
      <w:r w:rsidRPr="00970ED6">
        <w:rPr>
          <w:rFonts w:ascii="Verdana" w:hAnsi="Verdana"/>
          <w:sz w:val="20"/>
          <w:szCs w:val="20"/>
          <w:lang w:val="sr-Latn-CS"/>
        </w:rPr>
        <w:t>RS“</w:t>
      </w:r>
      <w:r w:rsidRPr="00970ED6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970ED6">
        <w:rPr>
          <w:rFonts w:ascii="Verdana" w:hAnsi="Verdana"/>
          <w:sz w:val="20"/>
          <w:szCs w:val="20"/>
          <w:lang w:val="sr-Cyrl-CS"/>
        </w:rPr>
        <w:t>br</w:t>
      </w:r>
      <w:proofErr w:type="spellEnd"/>
      <w:r w:rsidRPr="00970ED6">
        <w:rPr>
          <w:rFonts w:ascii="Verdana" w:hAnsi="Verdana"/>
          <w:sz w:val="20"/>
          <w:szCs w:val="20"/>
          <w:lang w:val="sr-Latn-RS"/>
        </w:rPr>
        <w:t>oj</w:t>
      </w:r>
      <w:r w:rsidRPr="00970ED6">
        <w:rPr>
          <w:rFonts w:ascii="Verdana" w:hAnsi="Verdana"/>
          <w:sz w:val="20"/>
          <w:szCs w:val="20"/>
          <w:lang w:val="sr-Latn-CS"/>
        </w:rPr>
        <w:t xml:space="preserve">: 22/24) </w:t>
      </w:r>
      <w:r>
        <w:rPr>
          <w:rFonts w:ascii="Verdana" w:hAnsi="Verdana"/>
          <w:sz w:val="20"/>
          <w:szCs w:val="20"/>
          <w:lang w:val="sr-Latn-CS"/>
        </w:rPr>
        <w:t xml:space="preserve"> usvojen je </w:t>
      </w:r>
      <w:r w:rsidRPr="00970ED6">
        <w:rPr>
          <w:rFonts w:ascii="Verdana" w:hAnsi="Verdana"/>
          <w:sz w:val="20"/>
          <w:szCs w:val="20"/>
          <w:lang w:val="sr-Latn-CS"/>
        </w:rPr>
        <w:t xml:space="preserve">Programom sa politikama i procedurama za provođenje aktivnosti na </w:t>
      </w:r>
      <w:r w:rsidRPr="00970ED6">
        <w:rPr>
          <w:rFonts w:ascii="Verdana" w:hAnsi="Verdana"/>
          <w:sz w:val="20"/>
          <w:szCs w:val="20"/>
          <w:lang w:val="sr-Latn-CS"/>
        </w:rPr>
        <w:lastRenderedPageBreak/>
        <w:t xml:space="preserve">sprečavanju pranja novca i finansiranja terorističkih aktivnosti (OA-01-2-21  od 01.11.2024. godine </w:t>
      </w:r>
      <w:proofErr w:type="spellStart"/>
      <w:r w:rsidRPr="00970ED6">
        <w:rPr>
          <w:rFonts w:ascii="Verdana" w:hAnsi="Verdana"/>
          <w:sz w:val="20"/>
          <w:szCs w:val="20"/>
          <w:lang w:val="sr-Latn-CS"/>
        </w:rPr>
        <w:t>izd</w:t>
      </w:r>
      <w:proofErr w:type="spellEnd"/>
      <w:r w:rsidRPr="00970ED6">
        <w:rPr>
          <w:rFonts w:ascii="Verdana" w:hAnsi="Verdana"/>
          <w:sz w:val="20"/>
          <w:szCs w:val="20"/>
          <w:lang w:val="sr-Latn-CS"/>
        </w:rPr>
        <w:t xml:space="preserve">. 5.), </w:t>
      </w:r>
      <w:r>
        <w:rPr>
          <w:rFonts w:ascii="Verdana" w:hAnsi="Verdana"/>
          <w:sz w:val="20"/>
          <w:szCs w:val="20"/>
          <w:lang w:val="sr-Latn-CS"/>
        </w:rPr>
        <w:t>koji sadrži</w:t>
      </w:r>
      <w:r w:rsidRPr="00425127">
        <w:rPr>
          <w:rFonts w:ascii="Verdana" w:hAnsi="Verdana" w:cs="Calibri"/>
          <w:sz w:val="20"/>
          <w:szCs w:val="20"/>
          <w:lang w:val="sr-Latn-BA"/>
        </w:rPr>
        <w:t>:</w:t>
      </w:r>
    </w:p>
    <w:p w14:paraId="139A0CC2" w14:textId="77777777" w:rsidR="00425127" w:rsidRPr="00425127" w:rsidRDefault="00425127" w:rsidP="004251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sr-Latn-BA"/>
        </w:rPr>
      </w:pPr>
    </w:p>
    <w:p w14:paraId="3E4BE3A0" w14:textId="77777777" w:rsidR="00BF5892" w:rsidRPr="00425127" w:rsidRDefault="00BF5892" w:rsidP="00BC7083">
      <w:pPr>
        <w:numPr>
          <w:ilvl w:val="0"/>
          <w:numId w:val="24"/>
        </w:numPr>
        <w:tabs>
          <w:tab w:val="left" w:pos="450"/>
        </w:tabs>
        <w:spacing w:after="0" w:line="240" w:lineRule="auto"/>
        <w:ind w:left="630" w:hanging="630"/>
        <w:jc w:val="both"/>
        <w:rPr>
          <w:rFonts w:ascii="Verdana" w:hAnsi="Verdana" w:cs="Calibri"/>
          <w:sz w:val="20"/>
          <w:szCs w:val="20"/>
          <w:lang w:val="sr-Latn-BA"/>
        </w:rPr>
      </w:pPr>
      <w:r w:rsidRPr="00425127">
        <w:rPr>
          <w:rFonts w:ascii="Verdana" w:hAnsi="Verdana" w:cs="Calibri"/>
          <w:sz w:val="20"/>
          <w:szCs w:val="20"/>
          <w:lang w:val="sr-Latn-BA"/>
        </w:rPr>
        <w:t>Geografski rizik,</w:t>
      </w:r>
    </w:p>
    <w:p w14:paraId="00683F21" w14:textId="77777777" w:rsidR="00BF5892" w:rsidRPr="00425127" w:rsidRDefault="00BF5892" w:rsidP="00BC7083">
      <w:pPr>
        <w:numPr>
          <w:ilvl w:val="0"/>
          <w:numId w:val="24"/>
        </w:numPr>
        <w:tabs>
          <w:tab w:val="left" w:pos="450"/>
        </w:tabs>
        <w:spacing w:after="0" w:line="240" w:lineRule="auto"/>
        <w:ind w:left="630" w:hanging="630"/>
        <w:jc w:val="both"/>
        <w:rPr>
          <w:rFonts w:ascii="Verdana" w:hAnsi="Verdana" w:cs="Calibri"/>
          <w:sz w:val="20"/>
          <w:szCs w:val="20"/>
          <w:lang w:val="sr-Latn-BA"/>
        </w:rPr>
      </w:pPr>
      <w:r w:rsidRPr="00425127">
        <w:rPr>
          <w:rFonts w:ascii="Verdana" w:hAnsi="Verdana" w:cs="Calibri"/>
          <w:sz w:val="20"/>
          <w:szCs w:val="20"/>
          <w:lang w:val="sr-Latn-BA"/>
        </w:rPr>
        <w:t>Rizik klijenta,</w:t>
      </w:r>
    </w:p>
    <w:p w14:paraId="3A4A8BD6" w14:textId="77777777" w:rsidR="00BF5892" w:rsidRPr="00425127" w:rsidRDefault="00BF5892" w:rsidP="00BC7083">
      <w:pPr>
        <w:numPr>
          <w:ilvl w:val="0"/>
          <w:numId w:val="24"/>
        </w:numPr>
        <w:tabs>
          <w:tab w:val="left" w:pos="450"/>
        </w:tabs>
        <w:spacing w:after="0" w:line="240" w:lineRule="auto"/>
        <w:ind w:left="630" w:hanging="630"/>
        <w:jc w:val="both"/>
        <w:rPr>
          <w:rFonts w:ascii="Verdana" w:hAnsi="Verdana" w:cs="Calibri"/>
          <w:sz w:val="20"/>
          <w:szCs w:val="20"/>
          <w:lang w:val="sr-Latn-BA"/>
        </w:rPr>
      </w:pPr>
      <w:r w:rsidRPr="00425127">
        <w:rPr>
          <w:rFonts w:ascii="Verdana" w:hAnsi="Verdana" w:cs="Calibri"/>
          <w:sz w:val="20"/>
          <w:szCs w:val="20"/>
          <w:lang w:val="sr-Latn-BA"/>
        </w:rPr>
        <w:t>Rizik proizvoda,</w:t>
      </w:r>
    </w:p>
    <w:p w14:paraId="58E36915" w14:textId="77777777" w:rsidR="00BF5892" w:rsidRPr="00425127" w:rsidRDefault="00BF5892" w:rsidP="00BC7083">
      <w:pPr>
        <w:numPr>
          <w:ilvl w:val="0"/>
          <w:numId w:val="24"/>
        </w:numPr>
        <w:tabs>
          <w:tab w:val="left" w:pos="450"/>
        </w:tabs>
        <w:spacing w:after="0" w:line="240" w:lineRule="auto"/>
        <w:ind w:left="630" w:hanging="630"/>
        <w:jc w:val="both"/>
        <w:rPr>
          <w:rFonts w:ascii="Verdana" w:hAnsi="Verdana" w:cs="Calibri"/>
          <w:sz w:val="20"/>
          <w:szCs w:val="20"/>
          <w:lang w:val="sr-Latn-BA"/>
        </w:rPr>
      </w:pPr>
      <w:r w:rsidRPr="00425127">
        <w:rPr>
          <w:rFonts w:ascii="Verdana" w:hAnsi="Verdana" w:cs="Calibri"/>
          <w:sz w:val="20"/>
          <w:szCs w:val="20"/>
          <w:lang w:val="sr-Latn-BA"/>
        </w:rPr>
        <w:t>Politiku prihvatljivosti klijenta,</w:t>
      </w:r>
    </w:p>
    <w:p w14:paraId="274338C6" w14:textId="77777777" w:rsidR="00BF5892" w:rsidRPr="00425127" w:rsidRDefault="00BF5892" w:rsidP="00BC7083">
      <w:pPr>
        <w:numPr>
          <w:ilvl w:val="0"/>
          <w:numId w:val="24"/>
        </w:numPr>
        <w:tabs>
          <w:tab w:val="left" w:pos="450"/>
        </w:tabs>
        <w:spacing w:after="0" w:line="240" w:lineRule="auto"/>
        <w:ind w:left="630" w:hanging="630"/>
        <w:jc w:val="both"/>
        <w:rPr>
          <w:rFonts w:ascii="Verdana" w:hAnsi="Verdana" w:cs="Calibri"/>
          <w:sz w:val="20"/>
          <w:szCs w:val="20"/>
          <w:lang w:val="sr-Latn-BA"/>
        </w:rPr>
      </w:pPr>
      <w:r w:rsidRPr="00425127">
        <w:rPr>
          <w:rFonts w:ascii="Verdana" w:hAnsi="Verdana" w:cs="Calibri"/>
          <w:sz w:val="20"/>
          <w:szCs w:val="20"/>
          <w:lang w:val="sr-Latn-BA"/>
        </w:rPr>
        <w:t>Politiku praćenja klijenta,</w:t>
      </w:r>
    </w:p>
    <w:p w14:paraId="58E5DE38" w14:textId="77777777" w:rsidR="00BF5892" w:rsidRPr="00425127" w:rsidRDefault="00BF5892" w:rsidP="00BC7083">
      <w:pPr>
        <w:numPr>
          <w:ilvl w:val="0"/>
          <w:numId w:val="24"/>
        </w:numPr>
        <w:tabs>
          <w:tab w:val="left" w:pos="450"/>
        </w:tabs>
        <w:spacing w:after="0" w:line="240" w:lineRule="auto"/>
        <w:ind w:left="630" w:hanging="630"/>
        <w:jc w:val="both"/>
        <w:rPr>
          <w:rFonts w:ascii="Verdana" w:hAnsi="Verdana" w:cs="Calibri"/>
          <w:sz w:val="20"/>
          <w:szCs w:val="20"/>
          <w:lang w:val="sr-Latn-BA"/>
        </w:rPr>
      </w:pPr>
      <w:r w:rsidRPr="00425127">
        <w:rPr>
          <w:rFonts w:ascii="Verdana" w:hAnsi="Verdana" w:cs="Calibri"/>
          <w:sz w:val="20"/>
          <w:szCs w:val="20"/>
          <w:lang w:val="sr-Latn-BA"/>
        </w:rPr>
        <w:t>Politiku upravljanja rizikom od pranja novca i finansiranja terorističkih aktivnosti.</w:t>
      </w:r>
    </w:p>
    <w:p w14:paraId="4142596A" w14:textId="77777777" w:rsidR="00BF5892" w:rsidRPr="00425127" w:rsidRDefault="00BF5892" w:rsidP="004251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sr-Latn-BA"/>
        </w:rPr>
      </w:pPr>
    </w:p>
    <w:p w14:paraId="3BAB98E5" w14:textId="6B8C3994" w:rsidR="00BF5892" w:rsidRPr="00425127" w:rsidRDefault="00BF5892" w:rsidP="004251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sr-Latn-BA"/>
        </w:rPr>
      </w:pPr>
      <w:r w:rsidRPr="00425127">
        <w:rPr>
          <w:rFonts w:ascii="Verdana" w:hAnsi="Verdana" w:cs="Calibri"/>
          <w:sz w:val="20"/>
          <w:szCs w:val="20"/>
          <w:lang w:val="sr-Latn-BA"/>
        </w:rPr>
        <w:t>Upravni odbor Društva je imenovao ovlašteno lice za SPN i FTA, koje ima odgovornost za koordinaciju svih aktivnosti društva, u praćenju usklađenosti Društva sa svim zakonskim propisima, te ostalim eksternim i internim propisima. O imenovanju  ovlaštenog lica  za SPN i FTA, Društvo je obavjestilo, Agenciju za bankarstvo Republike Srpske i  Finansijsko obavještajno odjeljenje (FOO)  koje radi pri Agenciji za istrage i zaštitu BiH.</w:t>
      </w:r>
      <w:r w:rsidR="00DB66E3">
        <w:rPr>
          <w:rFonts w:ascii="Verdana" w:hAnsi="Verdana" w:cs="Calibri"/>
          <w:sz w:val="20"/>
          <w:szCs w:val="20"/>
          <w:lang w:val="sr-Latn-BA"/>
        </w:rPr>
        <w:t xml:space="preserve"> Takođe je imenovan zamjenik o </w:t>
      </w:r>
      <w:r w:rsidR="00DB66E3" w:rsidRPr="00425127">
        <w:rPr>
          <w:rFonts w:ascii="Verdana" w:hAnsi="Verdana" w:cs="Calibri"/>
          <w:sz w:val="20"/>
          <w:szCs w:val="20"/>
          <w:lang w:val="sr-Latn-BA"/>
        </w:rPr>
        <w:t>ovlašteno</w:t>
      </w:r>
      <w:r w:rsidR="00DB66E3">
        <w:rPr>
          <w:rFonts w:ascii="Verdana" w:hAnsi="Verdana" w:cs="Calibri"/>
          <w:sz w:val="20"/>
          <w:szCs w:val="20"/>
          <w:lang w:val="sr-Latn-BA"/>
        </w:rPr>
        <w:t>g</w:t>
      </w:r>
      <w:r w:rsidR="00DB66E3" w:rsidRPr="00425127">
        <w:rPr>
          <w:rFonts w:ascii="Verdana" w:hAnsi="Verdana" w:cs="Calibri"/>
          <w:sz w:val="20"/>
          <w:szCs w:val="20"/>
          <w:lang w:val="sr-Latn-BA"/>
        </w:rPr>
        <w:t xml:space="preserve"> lice za SPN i FTA</w:t>
      </w:r>
      <w:r w:rsidR="00DB66E3">
        <w:rPr>
          <w:rFonts w:ascii="Verdana" w:hAnsi="Verdana" w:cs="Calibri"/>
          <w:sz w:val="20"/>
          <w:szCs w:val="20"/>
          <w:lang w:val="sr-Latn-BA"/>
        </w:rPr>
        <w:t xml:space="preserve">  koji </w:t>
      </w:r>
      <w:proofErr w:type="spellStart"/>
      <w:r w:rsidR="00DB66E3">
        <w:rPr>
          <w:rFonts w:ascii="Verdana" w:hAnsi="Verdana" w:cs="Calibri"/>
          <w:sz w:val="20"/>
          <w:szCs w:val="20"/>
          <w:lang w:val="sr-Latn-BA"/>
        </w:rPr>
        <w:t>mjenja</w:t>
      </w:r>
      <w:proofErr w:type="spellEnd"/>
      <w:r w:rsidR="00DB66E3">
        <w:rPr>
          <w:rFonts w:ascii="Verdana" w:hAnsi="Verdana" w:cs="Calibri"/>
          <w:sz w:val="20"/>
          <w:szCs w:val="20"/>
          <w:lang w:val="sr-Latn-BA"/>
        </w:rPr>
        <w:t xml:space="preserve"> ovlašteno lice u </w:t>
      </w:r>
      <w:proofErr w:type="spellStart"/>
      <w:r w:rsidR="00DB66E3">
        <w:rPr>
          <w:rFonts w:ascii="Verdana" w:hAnsi="Verdana" w:cs="Calibri"/>
          <w:sz w:val="20"/>
          <w:szCs w:val="20"/>
          <w:lang w:val="sr-Latn-BA"/>
        </w:rPr>
        <w:t>odsuatvu</w:t>
      </w:r>
      <w:proofErr w:type="spellEnd"/>
      <w:r w:rsidR="00DB66E3">
        <w:rPr>
          <w:rFonts w:ascii="Verdana" w:hAnsi="Verdana" w:cs="Calibri"/>
          <w:sz w:val="20"/>
          <w:szCs w:val="20"/>
          <w:lang w:val="sr-Latn-BA"/>
        </w:rPr>
        <w:t>.</w:t>
      </w:r>
    </w:p>
    <w:p w14:paraId="17E83596" w14:textId="77777777" w:rsidR="00425127" w:rsidRPr="00425127" w:rsidRDefault="00425127" w:rsidP="004251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sr-Latn-BA"/>
        </w:rPr>
      </w:pPr>
    </w:p>
    <w:p w14:paraId="6B1DABBE" w14:textId="7147CEA7" w:rsidR="00BF5892" w:rsidRDefault="00BF5892" w:rsidP="004251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sr-Latn-BA"/>
        </w:rPr>
      </w:pPr>
      <w:r w:rsidRPr="00425127">
        <w:rPr>
          <w:rFonts w:ascii="Verdana" w:hAnsi="Verdana" w:cs="Calibri"/>
          <w:sz w:val="20"/>
          <w:szCs w:val="20"/>
          <w:lang w:val="sr-Latn-BA"/>
        </w:rPr>
        <w:t>Društvo vodi registar profila klijenata. Sva dokumentacija u vezi sa identitetom klijenta i podaci o profilu klijenta čuvaju se u  dosijeu klijenta. Informacije i podatke o dokumentaciji u vezi klijenata, sa kojima je uspostavljen poslovni odnos i sa kojima su izvršene transakcije čuvaju se 10 godina od dana izvršena transakcije odnosno od dana okončanja poslovnog odnosa na koji se odnosi ta transakcija.</w:t>
      </w:r>
    </w:p>
    <w:p w14:paraId="7344D0CE" w14:textId="77777777" w:rsidR="00D57CC2" w:rsidRDefault="00D57CC2" w:rsidP="004251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sr-Latn-BA"/>
        </w:rPr>
      </w:pPr>
    </w:p>
    <w:p w14:paraId="344B4169" w14:textId="5E217B4E" w:rsidR="00BF5892" w:rsidRPr="00425127" w:rsidRDefault="00BF5892" w:rsidP="004251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sr-Latn-BA"/>
        </w:rPr>
      </w:pPr>
      <w:r w:rsidRPr="00425127">
        <w:rPr>
          <w:rFonts w:ascii="Verdana" w:hAnsi="Verdana" w:cs="Calibri"/>
          <w:sz w:val="20"/>
          <w:szCs w:val="20"/>
          <w:lang w:val="sr-Latn-BA"/>
        </w:rPr>
        <w:t xml:space="preserve">Zbog obavljanja platnog prometa (prliva novčanih srestava i odliva novčanih sredstava) isključivo preko računa otvorenih u poslovnim bankama Društvo nije </w:t>
      </w:r>
      <w:r w:rsidR="00D57CC2" w:rsidRPr="00425127">
        <w:rPr>
          <w:rFonts w:ascii="Verdana" w:hAnsi="Verdana" w:cs="Calibri"/>
          <w:sz w:val="20"/>
          <w:szCs w:val="20"/>
          <w:lang w:val="sr-Latn-BA"/>
        </w:rPr>
        <w:t xml:space="preserve">identifikovalo </w:t>
      </w:r>
      <w:r w:rsidR="00D57CC2">
        <w:rPr>
          <w:rFonts w:ascii="Verdana" w:hAnsi="Verdana" w:cs="Calibri"/>
          <w:sz w:val="20"/>
          <w:szCs w:val="20"/>
          <w:lang w:val="sr-Latn-BA"/>
        </w:rPr>
        <w:t xml:space="preserve">gotovinske </w:t>
      </w:r>
      <w:r w:rsidR="00D57CC2" w:rsidRPr="00425127">
        <w:rPr>
          <w:rFonts w:ascii="Verdana" w:hAnsi="Verdana" w:cs="Calibri"/>
          <w:sz w:val="20"/>
          <w:szCs w:val="20"/>
          <w:lang w:val="sr-Latn-BA"/>
        </w:rPr>
        <w:t>transakcije čija vrijednost pojedinačno i povezano iznosi 30.000 KM i više (i u njihovoj protivvrijednosti).</w:t>
      </w:r>
      <w:r w:rsidR="00D57CC2">
        <w:rPr>
          <w:rFonts w:ascii="Verdana" w:hAnsi="Verdana" w:cs="Calibri"/>
          <w:sz w:val="20"/>
          <w:szCs w:val="20"/>
          <w:lang w:val="sr-Latn-BA"/>
        </w:rPr>
        <w:t xml:space="preserve">Takođe Društvo nije identifikovalo sumnjive </w:t>
      </w:r>
      <w:proofErr w:type="spellStart"/>
      <w:r w:rsidR="00D57CC2">
        <w:rPr>
          <w:rFonts w:ascii="Verdana" w:hAnsi="Verdana" w:cs="Calibri"/>
          <w:sz w:val="20"/>
          <w:szCs w:val="20"/>
          <w:lang w:val="sr-Latn-BA"/>
        </w:rPr>
        <w:t>transakvije</w:t>
      </w:r>
      <w:proofErr w:type="spellEnd"/>
      <w:r w:rsidR="00D57CC2">
        <w:rPr>
          <w:rFonts w:ascii="Verdana" w:hAnsi="Verdana" w:cs="Calibri"/>
          <w:sz w:val="20"/>
          <w:szCs w:val="20"/>
          <w:lang w:val="sr-Latn-BA"/>
        </w:rPr>
        <w:t xml:space="preserve"> i sumnjive klijente. </w:t>
      </w:r>
    </w:p>
    <w:p w14:paraId="7144B8CE" w14:textId="77777777" w:rsidR="00425127" w:rsidRPr="00425127" w:rsidRDefault="00425127" w:rsidP="004251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sr-Latn-BA"/>
        </w:rPr>
      </w:pPr>
    </w:p>
    <w:p w14:paraId="5066B7FA" w14:textId="40C092DB" w:rsidR="00BF5892" w:rsidRPr="00425127" w:rsidRDefault="00BF5892" w:rsidP="004251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sr-Latn-BA"/>
        </w:rPr>
      </w:pPr>
      <w:r w:rsidRPr="00425127">
        <w:rPr>
          <w:rFonts w:ascii="Verdana" w:hAnsi="Verdana" w:cs="Calibri"/>
          <w:sz w:val="20"/>
          <w:szCs w:val="20"/>
          <w:lang w:val="sr-Latn-BA"/>
        </w:rPr>
        <w:t xml:space="preserve">Društvo </w:t>
      </w:r>
      <w:r w:rsidR="00D57CC2">
        <w:rPr>
          <w:rFonts w:ascii="Verdana" w:hAnsi="Verdana" w:cs="Calibri"/>
          <w:sz w:val="20"/>
          <w:szCs w:val="20"/>
          <w:lang w:val="sr-Latn-BA"/>
        </w:rPr>
        <w:t xml:space="preserve">nije imalo </w:t>
      </w:r>
      <w:r w:rsidRPr="00425127">
        <w:rPr>
          <w:rFonts w:ascii="Verdana" w:hAnsi="Verdana" w:cs="Calibri"/>
          <w:sz w:val="20"/>
          <w:szCs w:val="20"/>
          <w:lang w:val="sr-Latn-BA"/>
        </w:rPr>
        <w:t>zahtjev</w:t>
      </w:r>
      <w:r w:rsidR="00D57CC2">
        <w:rPr>
          <w:rFonts w:ascii="Verdana" w:hAnsi="Verdana" w:cs="Calibri"/>
          <w:sz w:val="20"/>
          <w:szCs w:val="20"/>
          <w:lang w:val="sr-Latn-BA"/>
        </w:rPr>
        <w:t>a</w:t>
      </w:r>
      <w:r w:rsidRPr="00425127">
        <w:rPr>
          <w:rFonts w:ascii="Verdana" w:hAnsi="Verdana" w:cs="Calibri"/>
          <w:sz w:val="20"/>
          <w:szCs w:val="20"/>
          <w:lang w:val="sr-Latn-BA"/>
        </w:rPr>
        <w:t xml:space="preserve"> nadležnih </w:t>
      </w:r>
      <w:proofErr w:type="spellStart"/>
      <w:r w:rsidRPr="00425127">
        <w:rPr>
          <w:rFonts w:ascii="Verdana" w:hAnsi="Verdana" w:cs="Calibri"/>
          <w:sz w:val="20"/>
          <w:szCs w:val="20"/>
          <w:lang w:val="sr-Latn-BA"/>
        </w:rPr>
        <w:t>institusija</w:t>
      </w:r>
      <w:proofErr w:type="spellEnd"/>
      <w:r w:rsidRPr="00425127">
        <w:rPr>
          <w:rFonts w:ascii="Verdana" w:hAnsi="Verdana" w:cs="Calibri"/>
          <w:sz w:val="20"/>
          <w:szCs w:val="20"/>
          <w:lang w:val="sr-Latn-BA"/>
        </w:rPr>
        <w:t xml:space="preserve"> (FOO, ABRS, sud itd.), </w:t>
      </w:r>
      <w:r w:rsidR="00D57CC2">
        <w:rPr>
          <w:rFonts w:ascii="Verdana" w:hAnsi="Verdana" w:cs="Calibri"/>
          <w:sz w:val="20"/>
          <w:szCs w:val="20"/>
          <w:lang w:val="sr-Latn-BA"/>
        </w:rPr>
        <w:t xml:space="preserve">za </w:t>
      </w:r>
      <w:r w:rsidRPr="00425127">
        <w:rPr>
          <w:rFonts w:ascii="Verdana" w:hAnsi="Verdana" w:cs="Calibri"/>
          <w:sz w:val="20"/>
          <w:szCs w:val="20"/>
          <w:lang w:val="sr-Latn-BA"/>
        </w:rPr>
        <w:t>dostavlja</w:t>
      </w:r>
      <w:r w:rsidR="00D57CC2">
        <w:rPr>
          <w:rFonts w:ascii="Verdana" w:hAnsi="Verdana" w:cs="Calibri"/>
          <w:sz w:val="20"/>
          <w:szCs w:val="20"/>
          <w:lang w:val="sr-Latn-BA"/>
        </w:rPr>
        <w:t>nje</w:t>
      </w:r>
      <w:r w:rsidRPr="00425127">
        <w:rPr>
          <w:rFonts w:ascii="Verdana" w:hAnsi="Verdana" w:cs="Calibri"/>
          <w:sz w:val="20"/>
          <w:szCs w:val="20"/>
          <w:lang w:val="sr-Latn-BA"/>
        </w:rPr>
        <w:t xml:space="preserve"> raspoloživ</w:t>
      </w:r>
      <w:r w:rsidR="00D57CC2">
        <w:rPr>
          <w:rFonts w:ascii="Verdana" w:hAnsi="Verdana" w:cs="Calibri"/>
          <w:sz w:val="20"/>
          <w:szCs w:val="20"/>
          <w:lang w:val="sr-Latn-BA"/>
        </w:rPr>
        <w:t>e</w:t>
      </w:r>
      <w:r w:rsidRPr="00425127">
        <w:rPr>
          <w:rFonts w:ascii="Verdana" w:hAnsi="Verdana" w:cs="Calibri"/>
          <w:sz w:val="20"/>
          <w:szCs w:val="20"/>
          <w:lang w:val="sr-Latn-BA"/>
        </w:rPr>
        <w:t xml:space="preserve"> dokumentacij</w:t>
      </w:r>
      <w:r w:rsidR="00D57CC2">
        <w:rPr>
          <w:rFonts w:ascii="Verdana" w:hAnsi="Verdana" w:cs="Calibri"/>
          <w:sz w:val="20"/>
          <w:szCs w:val="20"/>
          <w:lang w:val="sr-Latn-BA"/>
        </w:rPr>
        <w:t>e</w:t>
      </w:r>
      <w:r w:rsidRPr="00425127">
        <w:rPr>
          <w:rFonts w:ascii="Verdana" w:hAnsi="Verdana" w:cs="Calibri"/>
          <w:sz w:val="20"/>
          <w:szCs w:val="20"/>
          <w:lang w:val="sr-Latn-BA"/>
        </w:rPr>
        <w:t xml:space="preserve"> i raspoloživ</w:t>
      </w:r>
      <w:r w:rsidR="00D57CC2">
        <w:rPr>
          <w:rFonts w:ascii="Verdana" w:hAnsi="Verdana" w:cs="Calibri"/>
          <w:sz w:val="20"/>
          <w:szCs w:val="20"/>
          <w:lang w:val="sr-Latn-BA"/>
        </w:rPr>
        <w:t xml:space="preserve">ih </w:t>
      </w:r>
      <w:r w:rsidRPr="00425127">
        <w:rPr>
          <w:rFonts w:ascii="Verdana" w:hAnsi="Verdana" w:cs="Calibri"/>
          <w:sz w:val="20"/>
          <w:szCs w:val="20"/>
          <w:lang w:val="sr-Latn-BA"/>
        </w:rPr>
        <w:t xml:space="preserve"> informacij</w:t>
      </w:r>
      <w:r w:rsidR="00D57CC2">
        <w:rPr>
          <w:rFonts w:ascii="Verdana" w:hAnsi="Verdana" w:cs="Calibri"/>
          <w:sz w:val="20"/>
          <w:szCs w:val="20"/>
          <w:lang w:val="sr-Latn-BA"/>
        </w:rPr>
        <w:t>a</w:t>
      </w:r>
      <w:r w:rsidRPr="00425127">
        <w:rPr>
          <w:rFonts w:ascii="Verdana" w:hAnsi="Verdana" w:cs="Calibri"/>
          <w:sz w:val="20"/>
          <w:szCs w:val="20"/>
          <w:lang w:val="sr-Latn-BA"/>
        </w:rPr>
        <w:t xml:space="preserve"> u vezi </w:t>
      </w:r>
      <w:r w:rsidR="00D57CC2">
        <w:rPr>
          <w:rFonts w:ascii="Verdana" w:hAnsi="Verdana" w:cs="Calibri"/>
          <w:sz w:val="20"/>
          <w:szCs w:val="20"/>
          <w:lang w:val="sr-Latn-BA"/>
        </w:rPr>
        <w:t xml:space="preserve">klijenata </w:t>
      </w:r>
      <w:r w:rsidRPr="00425127">
        <w:rPr>
          <w:rFonts w:ascii="Verdana" w:hAnsi="Verdana" w:cs="Calibri"/>
          <w:sz w:val="20"/>
          <w:szCs w:val="20"/>
          <w:lang w:val="sr-Latn-BA"/>
        </w:rPr>
        <w:t>i transakcija koje se obavljaju u Društvu.</w:t>
      </w:r>
    </w:p>
    <w:p w14:paraId="74729A7D" w14:textId="77777777" w:rsidR="00425127" w:rsidRPr="00425127" w:rsidRDefault="00425127" w:rsidP="004251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sr-Latn-BA"/>
        </w:rPr>
      </w:pPr>
    </w:p>
    <w:p w14:paraId="72E5A5E0" w14:textId="77777777" w:rsidR="00BF5892" w:rsidRDefault="00BF5892" w:rsidP="004251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sr-Latn-BA"/>
        </w:rPr>
      </w:pPr>
      <w:r w:rsidRPr="00425127">
        <w:rPr>
          <w:rFonts w:ascii="Verdana" w:hAnsi="Verdana" w:cs="Calibri"/>
          <w:sz w:val="20"/>
          <w:szCs w:val="20"/>
          <w:lang w:val="sr-Latn-BA"/>
        </w:rPr>
        <w:t>Odbor za reviziju sprovodi godišnju internu provjeru usklađenosti poslovanja Društva sa internim aktima  koji uređuju područje SPN i FTA.</w:t>
      </w:r>
    </w:p>
    <w:p w14:paraId="296D17B8" w14:textId="77777777" w:rsidR="00BF5892" w:rsidRPr="00CC185D" w:rsidRDefault="00BF5892" w:rsidP="00425127">
      <w:pPr>
        <w:spacing w:after="0" w:line="240" w:lineRule="auto"/>
        <w:ind w:left="90"/>
        <w:rPr>
          <w:rFonts w:ascii="Verdana" w:hAnsi="Verdana" w:cs="Calibri"/>
          <w:b/>
          <w:sz w:val="20"/>
          <w:szCs w:val="20"/>
          <w:lang w:val="sr-Latn-BA"/>
        </w:rPr>
      </w:pPr>
    </w:p>
    <w:p w14:paraId="2FDC7ACE" w14:textId="6CC46904" w:rsidR="00D5775A" w:rsidRPr="00777200" w:rsidRDefault="0094222C" w:rsidP="00425127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  <w:lang w:val="it-IT"/>
        </w:rPr>
      </w:pPr>
      <w:r w:rsidRPr="00777200">
        <w:rPr>
          <w:rFonts w:ascii="Verdana" w:hAnsi="Verdana"/>
          <w:i/>
          <w:iCs/>
          <w:sz w:val="20"/>
          <w:szCs w:val="20"/>
          <w:lang w:val="sr-Latn-BA"/>
        </w:rPr>
        <w:t xml:space="preserve">Planovi </w:t>
      </w:r>
      <w:r w:rsidR="00D5775A" w:rsidRPr="00777200">
        <w:rPr>
          <w:rFonts w:ascii="Verdana" w:hAnsi="Verdana"/>
          <w:i/>
          <w:iCs/>
          <w:sz w:val="20"/>
          <w:szCs w:val="20"/>
          <w:lang w:val="sr-Latn-BA"/>
        </w:rPr>
        <w:t xml:space="preserve">i </w:t>
      </w:r>
      <w:r w:rsidRPr="00777200">
        <w:rPr>
          <w:rFonts w:ascii="Verdana" w:hAnsi="Verdana"/>
          <w:i/>
          <w:iCs/>
          <w:sz w:val="20"/>
          <w:szCs w:val="20"/>
          <w:lang w:val="sr-Latn-BA"/>
        </w:rPr>
        <w:t>progno</w:t>
      </w:r>
      <w:r w:rsidR="00836FB9" w:rsidRPr="00777200">
        <w:rPr>
          <w:rFonts w:ascii="Verdana" w:hAnsi="Verdana"/>
          <w:i/>
          <w:iCs/>
          <w:sz w:val="20"/>
          <w:szCs w:val="20"/>
          <w:lang w:val="sr-Latn-BA"/>
        </w:rPr>
        <w:t>z</w:t>
      </w:r>
      <w:r w:rsidRPr="00777200">
        <w:rPr>
          <w:rFonts w:ascii="Verdana" w:hAnsi="Verdana"/>
          <w:i/>
          <w:iCs/>
          <w:sz w:val="20"/>
          <w:szCs w:val="20"/>
          <w:lang w:val="sr-Latn-BA"/>
        </w:rPr>
        <w:t xml:space="preserve">e navedene u ovom Godišnjem izvještaju baziraju se na saznanju koje je </w:t>
      </w:r>
      <w:r w:rsidR="00836FB9" w:rsidRPr="00777200">
        <w:rPr>
          <w:rFonts w:ascii="Verdana" w:hAnsi="Verdana"/>
          <w:i/>
          <w:iCs/>
          <w:sz w:val="20"/>
          <w:szCs w:val="20"/>
          <w:lang w:val="sr-Latn-BA"/>
        </w:rPr>
        <w:t xml:space="preserve">Društvo </w:t>
      </w:r>
      <w:r w:rsidRPr="00777200">
        <w:rPr>
          <w:rFonts w:ascii="Verdana" w:hAnsi="Verdana"/>
          <w:i/>
          <w:iCs/>
          <w:sz w:val="20"/>
          <w:szCs w:val="20"/>
          <w:lang w:val="sr-Latn-BA"/>
        </w:rPr>
        <w:t>raspolagal</w:t>
      </w:r>
      <w:r w:rsidR="00836FB9" w:rsidRPr="00777200">
        <w:rPr>
          <w:rFonts w:ascii="Verdana" w:hAnsi="Verdana"/>
          <w:i/>
          <w:iCs/>
          <w:sz w:val="20"/>
          <w:szCs w:val="20"/>
          <w:lang w:val="sr-Latn-BA"/>
        </w:rPr>
        <w:t>o</w:t>
      </w:r>
      <w:r w:rsidRPr="00777200">
        <w:rPr>
          <w:rFonts w:ascii="Verdana" w:hAnsi="Verdana"/>
          <w:i/>
          <w:iCs/>
          <w:sz w:val="20"/>
          <w:szCs w:val="20"/>
          <w:lang w:val="sr-Latn-BA"/>
        </w:rPr>
        <w:t xml:space="preserve"> u vrijeme izrade izvještaja. Iste su podložne mogućim promjenama usled budućih događaja koji nose poznate i nepoznate rizike radi kojih može doći do odstupanja </w:t>
      </w:r>
      <w:r w:rsidR="00836FB9" w:rsidRPr="00777200">
        <w:rPr>
          <w:rFonts w:ascii="Verdana" w:hAnsi="Verdana"/>
          <w:i/>
          <w:iCs/>
          <w:sz w:val="20"/>
          <w:szCs w:val="20"/>
          <w:lang w:val="sr-Latn-BA"/>
        </w:rPr>
        <w:t>i</w:t>
      </w:r>
      <w:r w:rsidRPr="00777200">
        <w:rPr>
          <w:rFonts w:ascii="Verdana" w:hAnsi="Verdana"/>
          <w:i/>
          <w:iCs/>
          <w:sz w:val="20"/>
          <w:szCs w:val="20"/>
          <w:lang w:val="sr-Latn-BA"/>
        </w:rPr>
        <w:t xml:space="preserve"> razlike između stvarnih rezultata i rezultata projektovanih u ovom izvještaju. </w:t>
      </w:r>
      <w:r w:rsidRPr="00777200">
        <w:rPr>
          <w:rFonts w:ascii="Verdana" w:hAnsi="Verdana"/>
          <w:i/>
          <w:iCs/>
          <w:sz w:val="20"/>
          <w:szCs w:val="20"/>
          <w:lang w:val="it-IT"/>
        </w:rPr>
        <w:t xml:space="preserve">Stoga, tačnost prognoza i planiranih vrijednosti </w:t>
      </w:r>
      <w:r w:rsidR="00D5775A" w:rsidRPr="00777200">
        <w:rPr>
          <w:rFonts w:ascii="Verdana" w:hAnsi="Verdana"/>
          <w:i/>
          <w:iCs/>
          <w:sz w:val="20"/>
          <w:szCs w:val="20"/>
          <w:lang w:val="it-IT"/>
        </w:rPr>
        <w:t xml:space="preserve">se ne može garantovati. </w:t>
      </w:r>
      <w:r w:rsidR="004F37B6" w:rsidRPr="00777200">
        <w:rPr>
          <w:rFonts w:ascii="Verdana" w:hAnsi="Verdana"/>
          <w:i/>
          <w:iCs/>
          <w:sz w:val="20"/>
          <w:szCs w:val="20"/>
          <w:lang w:val="it-IT"/>
        </w:rPr>
        <w:t xml:space="preserve"> </w:t>
      </w:r>
    </w:p>
    <w:p w14:paraId="166F11C8" w14:textId="77777777" w:rsidR="004F37B6" w:rsidRPr="00777200" w:rsidRDefault="004F37B6" w:rsidP="00425127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  <w:lang w:val="it-IT"/>
        </w:rPr>
      </w:pPr>
    </w:p>
    <w:p w14:paraId="7EC94EE0" w14:textId="4F3406ED" w:rsidR="00D80158" w:rsidRPr="00777200" w:rsidRDefault="00D5775A" w:rsidP="00836FB9">
      <w:pPr>
        <w:jc w:val="both"/>
        <w:rPr>
          <w:rFonts w:ascii="Verdana" w:hAnsi="Verdana"/>
          <w:i/>
          <w:iCs/>
          <w:sz w:val="20"/>
          <w:szCs w:val="20"/>
          <w:lang w:val="it-IT"/>
        </w:rPr>
      </w:pPr>
      <w:r w:rsidRPr="00777200">
        <w:rPr>
          <w:rFonts w:ascii="Verdana" w:hAnsi="Verdana"/>
          <w:i/>
          <w:iCs/>
          <w:sz w:val="20"/>
          <w:szCs w:val="20"/>
          <w:lang w:val="it-IT"/>
        </w:rPr>
        <w:t xml:space="preserve">Izradi ovog Godišnjeg izvještaja je posvećena maksimalna pažnja, ali molimo da uzmete u obzir štamparske greške te greške ukoliko su nastale zbog zaokruživanja iznosa. </w:t>
      </w:r>
    </w:p>
    <w:p w14:paraId="5E25F809" w14:textId="77777777" w:rsidR="00A75CD3" w:rsidRPr="00777200" w:rsidRDefault="00A75CD3" w:rsidP="002F7CBD">
      <w:pPr>
        <w:rPr>
          <w:rFonts w:ascii="Verdana" w:hAnsi="Verdana"/>
          <w:sz w:val="20"/>
          <w:szCs w:val="20"/>
          <w:lang w:val="it-IT"/>
        </w:rPr>
      </w:pPr>
    </w:p>
    <w:p w14:paraId="163BD56F" w14:textId="4309CDEE" w:rsidR="00231B54" w:rsidRPr="00777200" w:rsidRDefault="00231B54" w:rsidP="00231B54">
      <w:pPr>
        <w:rPr>
          <w:rFonts w:ascii="Verdana" w:hAnsi="Verdana"/>
          <w:sz w:val="20"/>
          <w:szCs w:val="20"/>
          <w:lang w:val="it-IT"/>
        </w:rPr>
      </w:pPr>
      <w:r w:rsidRPr="00777200">
        <w:rPr>
          <w:rFonts w:ascii="Verdana" w:hAnsi="Verdana"/>
          <w:sz w:val="20"/>
          <w:szCs w:val="20"/>
          <w:lang w:val="it-IT"/>
        </w:rPr>
        <w:t>Izvještaj izra</w:t>
      </w:r>
      <w:r w:rsidR="00F95C15" w:rsidRPr="00777200">
        <w:rPr>
          <w:rFonts w:ascii="Verdana" w:hAnsi="Verdana"/>
          <w:sz w:val="20"/>
          <w:szCs w:val="20"/>
          <w:lang w:val="it-IT"/>
        </w:rPr>
        <w:t>di</w:t>
      </w:r>
      <w:r w:rsidRPr="00777200">
        <w:rPr>
          <w:rFonts w:ascii="Verdana" w:hAnsi="Verdana"/>
          <w:sz w:val="20"/>
          <w:szCs w:val="20"/>
          <w:lang w:val="it-IT"/>
        </w:rPr>
        <w:t xml:space="preserve">la                                                                  </w:t>
      </w:r>
      <w:r w:rsidR="00304C74">
        <w:rPr>
          <w:rFonts w:ascii="Verdana" w:hAnsi="Verdana"/>
          <w:sz w:val="20"/>
          <w:szCs w:val="20"/>
          <w:lang w:val="it-IT"/>
        </w:rPr>
        <w:t xml:space="preserve"> </w:t>
      </w:r>
      <w:r w:rsidR="00D80158" w:rsidRPr="00777200">
        <w:rPr>
          <w:rFonts w:ascii="Verdana" w:hAnsi="Verdana"/>
          <w:sz w:val="20"/>
          <w:szCs w:val="20"/>
          <w:lang w:val="it-IT"/>
        </w:rPr>
        <w:t>Direktor</w:t>
      </w:r>
    </w:p>
    <w:p w14:paraId="63C40F34" w14:textId="170475B8" w:rsidR="00D80158" w:rsidRPr="00777200" w:rsidRDefault="00304C74" w:rsidP="00231B54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_____________________                                                     __________________ </w:t>
      </w:r>
      <w:r w:rsidR="00231B54" w:rsidRPr="00777200">
        <w:rPr>
          <w:rFonts w:ascii="Verdana" w:hAnsi="Verdana"/>
          <w:sz w:val="20"/>
          <w:szCs w:val="20"/>
          <w:lang w:val="it-IT"/>
        </w:rPr>
        <w:t xml:space="preserve">Jelena Mihajlović                                                                   </w:t>
      </w:r>
      <w:r w:rsidR="00D80158" w:rsidRPr="00777200">
        <w:rPr>
          <w:rFonts w:ascii="Verdana" w:hAnsi="Verdana"/>
          <w:sz w:val="20"/>
          <w:szCs w:val="20"/>
          <w:lang w:val="it-IT"/>
        </w:rPr>
        <w:t>Davor Pejić</w:t>
      </w:r>
    </w:p>
    <w:sectPr w:rsidR="00D80158" w:rsidRPr="00777200" w:rsidSect="00BF05D2">
      <w:headerReference w:type="default" r:id="rId31"/>
      <w:footerReference w:type="default" r:id="rId32"/>
      <w:pgSz w:w="11906" w:h="16838"/>
      <w:pgMar w:top="1440" w:right="1417" w:bottom="1260" w:left="1417" w:header="708" w:footer="708" w:gutter="0"/>
      <w:pgBorders w:offsetFrom="page">
        <w:top w:val="single" w:sz="12" w:space="24" w:color="833C0B" w:themeColor="accent2" w:themeShade="80"/>
        <w:left w:val="single" w:sz="12" w:space="24" w:color="833C0B" w:themeColor="accent2" w:themeShade="80"/>
        <w:bottom w:val="single" w:sz="12" w:space="24" w:color="833C0B" w:themeColor="accent2" w:themeShade="80"/>
        <w:right w:val="single" w:sz="12" w:space="24" w:color="833C0B" w:themeColor="accent2" w:themeShade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771C" w14:textId="77777777" w:rsidR="005A6722" w:rsidRDefault="005A6722" w:rsidP="007755F9">
      <w:pPr>
        <w:spacing w:after="0" w:line="240" w:lineRule="auto"/>
      </w:pPr>
      <w:r>
        <w:separator/>
      </w:r>
    </w:p>
  </w:endnote>
  <w:endnote w:type="continuationSeparator" w:id="0">
    <w:p w14:paraId="446080D1" w14:textId="77777777" w:rsidR="005A6722" w:rsidRDefault="005A6722" w:rsidP="0077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603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6DB64" w14:textId="0FFDC9D2" w:rsidR="00F7256D" w:rsidRDefault="00F725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1226F21" w14:textId="77777777" w:rsidR="00F7256D" w:rsidRDefault="00F7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611D" w14:textId="77777777" w:rsidR="005A6722" w:rsidRDefault="005A6722" w:rsidP="007755F9">
      <w:pPr>
        <w:spacing w:after="0" w:line="240" w:lineRule="auto"/>
      </w:pPr>
      <w:r>
        <w:separator/>
      </w:r>
    </w:p>
  </w:footnote>
  <w:footnote w:type="continuationSeparator" w:id="0">
    <w:p w14:paraId="76BD52AA" w14:textId="77777777" w:rsidR="005A6722" w:rsidRDefault="005A6722" w:rsidP="0077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0EFC" w14:textId="56E330B8" w:rsidR="00F7256D" w:rsidRDefault="00F7256D" w:rsidP="00AB4F51">
    <w:pPr>
      <w:pStyle w:val="Header"/>
      <w:rPr>
        <w:b/>
        <w:bCs/>
        <w:i/>
        <w:iCs/>
        <w:color w:val="4472C4" w:themeColor="accent1"/>
        <w:lang w:val="sr-Latn-B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CBF33" wp14:editId="3AA71197">
          <wp:simplePos x="0" y="0"/>
          <wp:positionH relativeFrom="column">
            <wp:posOffset>3929380</wp:posOffset>
          </wp:positionH>
          <wp:positionV relativeFrom="paragraph">
            <wp:posOffset>-78104</wp:posOffset>
          </wp:positionV>
          <wp:extent cx="1790700" cy="504792"/>
          <wp:effectExtent l="0" t="0" r="0" b="0"/>
          <wp:wrapNone/>
          <wp:docPr id="34" name="Picture 34" descr="C:\Users\User\Pictures\logoPrivredn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logoPrivredn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335" cy="508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2EC6F6" w14:textId="22D4B014" w:rsidR="00F7256D" w:rsidRPr="001139CB" w:rsidRDefault="00F7256D" w:rsidP="00AB4F51">
    <w:pPr>
      <w:pStyle w:val="Header"/>
      <w:rPr>
        <w:b/>
        <w:bCs/>
        <w:i/>
        <w:iCs/>
        <w:color w:val="833C0B" w:themeColor="accent2" w:themeShade="80"/>
        <w:lang w:val="sr-Latn-BA"/>
      </w:rPr>
    </w:pPr>
    <w:r w:rsidRPr="001139CB">
      <w:rPr>
        <w:b/>
        <w:bCs/>
        <w:i/>
        <w:iCs/>
        <w:color w:val="833C0B" w:themeColor="accent2" w:themeShade="80"/>
        <w:lang w:val="sr-Latn-BA"/>
      </w:rPr>
      <w:t>Godišnji izvještaj o poslovanju za 202</w:t>
    </w:r>
    <w:r w:rsidR="0095636D">
      <w:rPr>
        <w:b/>
        <w:bCs/>
        <w:i/>
        <w:iCs/>
        <w:color w:val="833C0B" w:themeColor="accent2" w:themeShade="80"/>
        <w:lang w:val="sr-Latn-BA"/>
      </w:rPr>
      <w:t>4</w:t>
    </w:r>
    <w:r w:rsidRPr="001139CB">
      <w:rPr>
        <w:b/>
        <w:bCs/>
        <w:i/>
        <w:iCs/>
        <w:color w:val="833C0B" w:themeColor="accent2" w:themeShade="80"/>
        <w:lang w:val="sr-Latn-BA"/>
      </w:rPr>
      <w:t>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90E"/>
    <w:multiLevelType w:val="hybridMultilevel"/>
    <w:tmpl w:val="70C830FC"/>
    <w:lvl w:ilvl="0" w:tplc="8AB2661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2"/>
        <w:szCs w:val="22"/>
      </w:rPr>
    </w:lvl>
    <w:lvl w:ilvl="1" w:tplc="3B1C0518">
      <w:start w:val="1"/>
      <w:numFmt w:val="lowerLetter"/>
      <w:lvlText w:val="%2."/>
      <w:lvlJc w:val="left"/>
      <w:pPr>
        <w:ind w:left="450" w:hanging="360"/>
      </w:pPr>
      <w:rPr>
        <w:b/>
        <w:color w:val="auto"/>
        <w:sz w:val="20"/>
        <w:szCs w:val="20"/>
      </w:rPr>
    </w:lvl>
    <w:lvl w:ilvl="2" w:tplc="2766B9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4830"/>
    <w:multiLevelType w:val="hybridMultilevel"/>
    <w:tmpl w:val="469C3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684B"/>
    <w:multiLevelType w:val="hybridMultilevel"/>
    <w:tmpl w:val="BB00A4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2626B"/>
    <w:multiLevelType w:val="hybridMultilevel"/>
    <w:tmpl w:val="C7A497B6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B1563D1"/>
    <w:multiLevelType w:val="hybridMultilevel"/>
    <w:tmpl w:val="4CF4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238C"/>
    <w:multiLevelType w:val="hybridMultilevel"/>
    <w:tmpl w:val="5DAE73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FA2798"/>
    <w:multiLevelType w:val="hybridMultilevel"/>
    <w:tmpl w:val="3CB8F3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8D21C0"/>
    <w:multiLevelType w:val="hybridMultilevel"/>
    <w:tmpl w:val="DA127D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06A22"/>
    <w:multiLevelType w:val="hybridMultilevel"/>
    <w:tmpl w:val="F06629D4"/>
    <w:lvl w:ilvl="0" w:tplc="0409000D">
      <w:start w:val="1"/>
      <w:numFmt w:val="bullet"/>
      <w:lvlText w:val=""/>
      <w:lvlJc w:val="left"/>
      <w:pPr>
        <w:ind w:left="432" w:hanging="360"/>
      </w:pPr>
      <w:rPr>
        <w:rFonts w:ascii="Wingdings" w:hAnsi="Wingdings" w:hint="default"/>
      </w:rPr>
    </w:lvl>
    <w:lvl w:ilvl="1" w:tplc="181A0019" w:tentative="1">
      <w:start w:val="1"/>
      <w:numFmt w:val="lowerLetter"/>
      <w:lvlText w:val="%2."/>
      <w:lvlJc w:val="left"/>
      <w:pPr>
        <w:ind w:left="1152" w:hanging="360"/>
      </w:pPr>
    </w:lvl>
    <w:lvl w:ilvl="2" w:tplc="181A001B" w:tentative="1">
      <w:start w:val="1"/>
      <w:numFmt w:val="lowerRoman"/>
      <w:lvlText w:val="%3."/>
      <w:lvlJc w:val="right"/>
      <w:pPr>
        <w:ind w:left="1872" w:hanging="180"/>
      </w:pPr>
    </w:lvl>
    <w:lvl w:ilvl="3" w:tplc="181A000F" w:tentative="1">
      <w:start w:val="1"/>
      <w:numFmt w:val="decimal"/>
      <w:lvlText w:val="%4."/>
      <w:lvlJc w:val="left"/>
      <w:pPr>
        <w:ind w:left="2592" w:hanging="360"/>
      </w:pPr>
    </w:lvl>
    <w:lvl w:ilvl="4" w:tplc="181A0019" w:tentative="1">
      <w:start w:val="1"/>
      <w:numFmt w:val="lowerLetter"/>
      <w:lvlText w:val="%5."/>
      <w:lvlJc w:val="left"/>
      <w:pPr>
        <w:ind w:left="3312" w:hanging="360"/>
      </w:pPr>
    </w:lvl>
    <w:lvl w:ilvl="5" w:tplc="181A001B" w:tentative="1">
      <w:start w:val="1"/>
      <w:numFmt w:val="lowerRoman"/>
      <w:lvlText w:val="%6."/>
      <w:lvlJc w:val="right"/>
      <w:pPr>
        <w:ind w:left="4032" w:hanging="180"/>
      </w:pPr>
    </w:lvl>
    <w:lvl w:ilvl="6" w:tplc="181A000F" w:tentative="1">
      <w:start w:val="1"/>
      <w:numFmt w:val="decimal"/>
      <w:lvlText w:val="%7."/>
      <w:lvlJc w:val="left"/>
      <w:pPr>
        <w:ind w:left="4752" w:hanging="360"/>
      </w:pPr>
    </w:lvl>
    <w:lvl w:ilvl="7" w:tplc="181A0019" w:tentative="1">
      <w:start w:val="1"/>
      <w:numFmt w:val="lowerLetter"/>
      <w:lvlText w:val="%8."/>
      <w:lvlJc w:val="left"/>
      <w:pPr>
        <w:ind w:left="5472" w:hanging="360"/>
      </w:pPr>
    </w:lvl>
    <w:lvl w:ilvl="8" w:tplc="18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30318AA"/>
    <w:multiLevelType w:val="hybridMultilevel"/>
    <w:tmpl w:val="1B26E0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5EC755C"/>
    <w:multiLevelType w:val="hybridMultilevel"/>
    <w:tmpl w:val="AF968CAC"/>
    <w:lvl w:ilvl="0" w:tplc="A3F4577C">
      <w:start w:val="4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27C9100C"/>
    <w:multiLevelType w:val="hybridMultilevel"/>
    <w:tmpl w:val="EAEE5D3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B81D8C"/>
    <w:multiLevelType w:val="hybridMultilevel"/>
    <w:tmpl w:val="530C53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93A08"/>
    <w:multiLevelType w:val="hybridMultilevel"/>
    <w:tmpl w:val="10A87E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91772"/>
    <w:multiLevelType w:val="hybridMultilevel"/>
    <w:tmpl w:val="55A646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32674"/>
    <w:multiLevelType w:val="hybridMultilevel"/>
    <w:tmpl w:val="B5562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F42AA"/>
    <w:multiLevelType w:val="hybridMultilevel"/>
    <w:tmpl w:val="7904F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82B2B"/>
    <w:multiLevelType w:val="hybridMultilevel"/>
    <w:tmpl w:val="1ED41F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3036B8"/>
    <w:multiLevelType w:val="hybridMultilevel"/>
    <w:tmpl w:val="20B66F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1355F"/>
    <w:multiLevelType w:val="hybridMultilevel"/>
    <w:tmpl w:val="EDF0D786"/>
    <w:lvl w:ilvl="0" w:tplc="CB02840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26055"/>
    <w:multiLevelType w:val="hybridMultilevel"/>
    <w:tmpl w:val="1EFE7F90"/>
    <w:lvl w:ilvl="0" w:tplc="9A44B51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B2677"/>
    <w:multiLevelType w:val="hybridMultilevel"/>
    <w:tmpl w:val="B8D672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817C5E"/>
    <w:multiLevelType w:val="hybridMultilevel"/>
    <w:tmpl w:val="EE3867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4481E"/>
    <w:multiLevelType w:val="hybridMultilevel"/>
    <w:tmpl w:val="E926EF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0D183B"/>
    <w:multiLevelType w:val="hybridMultilevel"/>
    <w:tmpl w:val="A59C00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66AAB"/>
    <w:multiLevelType w:val="hybridMultilevel"/>
    <w:tmpl w:val="061234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4D0CB6"/>
    <w:multiLevelType w:val="hybridMultilevel"/>
    <w:tmpl w:val="AD3C48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B64070"/>
    <w:multiLevelType w:val="hybridMultilevel"/>
    <w:tmpl w:val="6F0EFD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93BE9"/>
    <w:multiLevelType w:val="hybridMultilevel"/>
    <w:tmpl w:val="255ED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62B98"/>
    <w:multiLevelType w:val="hybridMultilevel"/>
    <w:tmpl w:val="58180E02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45133A3"/>
    <w:multiLevelType w:val="hybridMultilevel"/>
    <w:tmpl w:val="405A3622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6ADF307D"/>
    <w:multiLevelType w:val="hybridMultilevel"/>
    <w:tmpl w:val="F67E0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87C7A"/>
    <w:multiLevelType w:val="hybridMultilevel"/>
    <w:tmpl w:val="5CD23C08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1C01D76"/>
    <w:multiLevelType w:val="hybridMultilevel"/>
    <w:tmpl w:val="CFEAFD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43C6C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67189"/>
    <w:multiLevelType w:val="hybridMultilevel"/>
    <w:tmpl w:val="A608FD02"/>
    <w:lvl w:ilvl="0" w:tplc="327E519A">
      <w:start w:val="1"/>
      <w:numFmt w:val="decimal"/>
      <w:pStyle w:val="Heading1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625E5"/>
    <w:multiLevelType w:val="hybridMultilevel"/>
    <w:tmpl w:val="0938EF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C564675"/>
    <w:multiLevelType w:val="hybridMultilevel"/>
    <w:tmpl w:val="559010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E7C58"/>
    <w:multiLevelType w:val="hybridMultilevel"/>
    <w:tmpl w:val="2C4CE1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CD5582"/>
    <w:multiLevelType w:val="hybridMultilevel"/>
    <w:tmpl w:val="495CB9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039330">
    <w:abstractNumId w:val="0"/>
  </w:num>
  <w:num w:numId="2" w16cid:durableId="601573758">
    <w:abstractNumId w:val="34"/>
  </w:num>
  <w:num w:numId="3" w16cid:durableId="1615598176">
    <w:abstractNumId w:val="9"/>
  </w:num>
  <w:num w:numId="4" w16cid:durableId="1329868399">
    <w:abstractNumId w:val="29"/>
  </w:num>
  <w:num w:numId="5" w16cid:durableId="2102094430">
    <w:abstractNumId w:val="4"/>
  </w:num>
  <w:num w:numId="6" w16cid:durableId="1109668167">
    <w:abstractNumId w:val="33"/>
  </w:num>
  <w:num w:numId="7" w16cid:durableId="1331639600">
    <w:abstractNumId w:val="21"/>
  </w:num>
  <w:num w:numId="8" w16cid:durableId="849293594">
    <w:abstractNumId w:val="26"/>
  </w:num>
  <w:num w:numId="9" w16cid:durableId="1582330051">
    <w:abstractNumId w:val="23"/>
  </w:num>
  <w:num w:numId="10" w16cid:durableId="1153568433">
    <w:abstractNumId w:val="8"/>
  </w:num>
  <w:num w:numId="11" w16cid:durableId="193808689">
    <w:abstractNumId w:val="6"/>
  </w:num>
  <w:num w:numId="12" w16cid:durableId="923876306">
    <w:abstractNumId w:val="5"/>
  </w:num>
  <w:num w:numId="13" w16cid:durableId="308902960">
    <w:abstractNumId w:val="25"/>
  </w:num>
  <w:num w:numId="14" w16cid:durableId="216668588">
    <w:abstractNumId w:val="20"/>
  </w:num>
  <w:num w:numId="15" w16cid:durableId="1259757622">
    <w:abstractNumId w:val="37"/>
  </w:num>
  <w:num w:numId="16" w16cid:durableId="1491756173">
    <w:abstractNumId w:val="7"/>
  </w:num>
  <w:num w:numId="17" w16cid:durableId="998311012">
    <w:abstractNumId w:val="11"/>
  </w:num>
  <w:num w:numId="18" w16cid:durableId="1438329421">
    <w:abstractNumId w:val="35"/>
  </w:num>
  <w:num w:numId="19" w16cid:durableId="1352224265">
    <w:abstractNumId w:val="3"/>
  </w:num>
  <w:num w:numId="20" w16cid:durableId="968170886">
    <w:abstractNumId w:val="32"/>
  </w:num>
  <w:num w:numId="21" w16cid:durableId="2128769781">
    <w:abstractNumId w:val="22"/>
  </w:num>
  <w:num w:numId="22" w16cid:durableId="457336022">
    <w:abstractNumId w:val="1"/>
  </w:num>
  <w:num w:numId="23" w16cid:durableId="52435485">
    <w:abstractNumId w:val="24"/>
  </w:num>
  <w:num w:numId="24" w16cid:durableId="267392592">
    <w:abstractNumId w:val="15"/>
  </w:num>
  <w:num w:numId="25" w16cid:durableId="950624433">
    <w:abstractNumId w:val="38"/>
  </w:num>
  <w:num w:numId="26" w16cid:durableId="322663015">
    <w:abstractNumId w:val="17"/>
  </w:num>
  <w:num w:numId="27" w16cid:durableId="711079565">
    <w:abstractNumId w:val="14"/>
  </w:num>
  <w:num w:numId="28" w16cid:durableId="2042700649">
    <w:abstractNumId w:val="36"/>
  </w:num>
  <w:num w:numId="29" w16cid:durableId="682824719">
    <w:abstractNumId w:val="2"/>
  </w:num>
  <w:num w:numId="30" w16cid:durableId="1874725994">
    <w:abstractNumId w:val="13"/>
  </w:num>
  <w:num w:numId="31" w16cid:durableId="677121043">
    <w:abstractNumId w:val="28"/>
  </w:num>
  <w:num w:numId="32" w16cid:durableId="1386367315">
    <w:abstractNumId w:val="18"/>
  </w:num>
  <w:num w:numId="33" w16cid:durableId="2033651242">
    <w:abstractNumId w:val="30"/>
  </w:num>
  <w:num w:numId="34" w16cid:durableId="1367676141">
    <w:abstractNumId w:val="31"/>
  </w:num>
  <w:num w:numId="35" w16cid:durableId="1846166633">
    <w:abstractNumId w:val="12"/>
  </w:num>
  <w:num w:numId="36" w16cid:durableId="1725787296">
    <w:abstractNumId w:val="19"/>
  </w:num>
  <w:num w:numId="37" w16cid:durableId="2030139017">
    <w:abstractNumId w:val="16"/>
  </w:num>
  <w:num w:numId="38" w16cid:durableId="341781599">
    <w:abstractNumId w:val="27"/>
  </w:num>
  <w:num w:numId="39" w16cid:durableId="152798576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F9"/>
    <w:rsid w:val="0000035D"/>
    <w:rsid w:val="0000337B"/>
    <w:rsid w:val="0000397E"/>
    <w:rsid w:val="000051F0"/>
    <w:rsid w:val="00012F5B"/>
    <w:rsid w:val="000150E6"/>
    <w:rsid w:val="00015588"/>
    <w:rsid w:val="00020C94"/>
    <w:rsid w:val="00023486"/>
    <w:rsid w:val="00027BA8"/>
    <w:rsid w:val="000329D8"/>
    <w:rsid w:val="00032C11"/>
    <w:rsid w:val="0004272C"/>
    <w:rsid w:val="00044223"/>
    <w:rsid w:val="000454CB"/>
    <w:rsid w:val="00052B6F"/>
    <w:rsid w:val="00053B78"/>
    <w:rsid w:val="000561AF"/>
    <w:rsid w:val="0005629A"/>
    <w:rsid w:val="00060594"/>
    <w:rsid w:val="000611CE"/>
    <w:rsid w:val="00064D43"/>
    <w:rsid w:val="00066209"/>
    <w:rsid w:val="00070A07"/>
    <w:rsid w:val="000742E4"/>
    <w:rsid w:val="00077EE4"/>
    <w:rsid w:val="00080A65"/>
    <w:rsid w:val="00082E9A"/>
    <w:rsid w:val="00087D4D"/>
    <w:rsid w:val="00094AFC"/>
    <w:rsid w:val="00097F01"/>
    <w:rsid w:val="000B3B2D"/>
    <w:rsid w:val="000C55E2"/>
    <w:rsid w:val="000C5C83"/>
    <w:rsid w:val="000C7582"/>
    <w:rsid w:val="000D0372"/>
    <w:rsid w:val="000D039E"/>
    <w:rsid w:val="000D31F7"/>
    <w:rsid w:val="000D477C"/>
    <w:rsid w:val="000D604D"/>
    <w:rsid w:val="000E3E2A"/>
    <w:rsid w:val="000E41A0"/>
    <w:rsid w:val="000E62BD"/>
    <w:rsid w:val="000F118C"/>
    <w:rsid w:val="000F607E"/>
    <w:rsid w:val="00102E80"/>
    <w:rsid w:val="001048AD"/>
    <w:rsid w:val="001050F2"/>
    <w:rsid w:val="001070E6"/>
    <w:rsid w:val="0011074E"/>
    <w:rsid w:val="00112715"/>
    <w:rsid w:val="00113371"/>
    <w:rsid w:val="001139CB"/>
    <w:rsid w:val="001227C5"/>
    <w:rsid w:val="00122E87"/>
    <w:rsid w:val="00127962"/>
    <w:rsid w:val="0013002B"/>
    <w:rsid w:val="0013037E"/>
    <w:rsid w:val="00130DA0"/>
    <w:rsid w:val="001317BE"/>
    <w:rsid w:val="00132E3E"/>
    <w:rsid w:val="001367E4"/>
    <w:rsid w:val="00136A4F"/>
    <w:rsid w:val="0014203D"/>
    <w:rsid w:val="001433B4"/>
    <w:rsid w:val="0014395A"/>
    <w:rsid w:val="00145089"/>
    <w:rsid w:val="0014586F"/>
    <w:rsid w:val="00145A59"/>
    <w:rsid w:val="00145C44"/>
    <w:rsid w:val="00146AC4"/>
    <w:rsid w:val="00147AEF"/>
    <w:rsid w:val="00151295"/>
    <w:rsid w:val="00151A4C"/>
    <w:rsid w:val="00155F54"/>
    <w:rsid w:val="00156A11"/>
    <w:rsid w:val="001656CB"/>
    <w:rsid w:val="00167436"/>
    <w:rsid w:val="00170C99"/>
    <w:rsid w:val="001738DD"/>
    <w:rsid w:val="00173DA6"/>
    <w:rsid w:val="0017418B"/>
    <w:rsid w:val="00182FC0"/>
    <w:rsid w:val="00183871"/>
    <w:rsid w:val="00183BBB"/>
    <w:rsid w:val="00185020"/>
    <w:rsid w:val="0018715D"/>
    <w:rsid w:val="00191869"/>
    <w:rsid w:val="00191ADB"/>
    <w:rsid w:val="00192A85"/>
    <w:rsid w:val="00194264"/>
    <w:rsid w:val="00194DE1"/>
    <w:rsid w:val="00196716"/>
    <w:rsid w:val="001A0748"/>
    <w:rsid w:val="001A3E19"/>
    <w:rsid w:val="001A4661"/>
    <w:rsid w:val="001A76AB"/>
    <w:rsid w:val="001A76EA"/>
    <w:rsid w:val="001B0964"/>
    <w:rsid w:val="001B0F56"/>
    <w:rsid w:val="001B2F1C"/>
    <w:rsid w:val="001B7E47"/>
    <w:rsid w:val="001C3221"/>
    <w:rsid w:val="001C57F7"/>
    <w:rsid w:val="001C79DF"/>
    <w:rsid w:val="001C79EE"/>
    <w:rsid w:val="001D144E"/>
    <w:rsid w:val="001D2808"/>
    <w:rsid w:val="001D3AC5"/>
    <w:rsid w:val="001D3C1B"/>
    <w:rsid w:val="001D563F"/>
    <w:rsid w:val="001D5F9D"/>
    <w:rsid w:val="001D6CD9"/>
    <w:rsid w:val="001D7411"/>
    <w:rsid w:val="001E1608"/>
    <w:rsid w:val="001E2D80"/>
    <w:rsid w:val="001E7508"/>
    <w:rsid w:val="001F1F32"/>
    <w:rsid w:val="001F308A"/>
    <w:rsid w:val="001F3B86"/>
    <w:rsid w:val="001F7596"/>
    <w:rsid w:val="0020141D"/>
    <w:rsid w:val="00201CEF"/>
    <w:rsid w:val="00210A67"/>
    <w:rsid w:val="00211ECE"/>
    <w:rsid w:val="002139A5"/>
    <w:rsid w:val="00214436"/>
    <w:rsid w:val="002160AF"/>
    <w:rsid w:val="0021686F"/>
    <w:rsid w:val="002170E5"/>
    <w:rsid w:val="00222580"/>
    <w:rsid w:val="00231B54"/>
    <w:rsid w:val="00234B0C"/>
    <w:rsid w:val="00236A0D"/>
    <w:rsid w:val="0024489E"/>
    <w:rsid w:val="0024567D"/>
    <w:rsid w:val="0024629C"/>
    <w:rsid w:val="00250549"/>
    <w:rsid w:val="00251463"/>
    <w:rsid w:val="002600BF"/>
    <w:rsid w:val="0026255A"/>
    <w:rsid w:val="00262EAA"/>
    <w:rsid w:val="00263AE2"/>
    <w:rsid w:val="00264829"/>
    <w:rsid w:val="00266D42"/>
    <w:rsid w:val="0027022F"/>
    <w:rsid w:val="00274D04"/>
    <w:rsid w:val="00275DD4"/>
    <w:rsid w:val="00276C63"/>
    <w:rsid w:val="00281321"/>
    <w:rsid w:val="00281FA0"/>
    <w:rsid w:val="0028426D"/>
    <w:rsid w:val="00284C12"/>
    <w:rsid w:val="0029060E"/>
    <w:rsid w:val="00291B57"/>
    <w:rsid w:val="00292297"/>
    <w:rsid w:val="00292B34"/>
    <w:rsid w:val="00295079"/>
    <w:rsid w:val="002961D7"/>
    <w:rsid w:val="002A2533"/>
    <w:rsid w:val="002A29DF"/>
    <w:rsid w:val="002A3CC3"/>
    <w:rsid w:val="002A7033"/>
    <w:rsid w:val="002B13F2"/>
    <w:rsid w:val="002B50A4"/>
    <w:rsid w:val="002B5679"/>
    <w:rsid w:val="002B7D60"/>
    <w:rsid w:val="002C0551"/>
    <w:rsid w:val="002C15D3"/>
    <w:rsid w:val="002C2E36"/>
    <w:rsid w:val="002C304E"/>
    <w:rsid w:val="002D0E57"/>
    <w:rsid w:val="002D5AF9"/>
    <w:rsid w:val="002D6ABE"/>
    <w:rsid w:val="002D6CF3"/>
    <w:rsid w:val="002D7643"/>
    <w:rsid w:val="002E3312"/>
    <w:rsid w:val="002E4C17"/>
    <w:rsid w:val="002E6B24"/>
    <w:rsid w:val="002F3E13"/>
    <w:rsid w:val="002F70CE"/>
    <w:rsid w:val="002F7CBD"/>
    <w:rsid w:val="00302A0E"/>
    <w:rsid w:val="00302A6C"/>
    <w:rsid w:val="00304189"/>
    <w:rsid w:val="00304C64"/>
    <w:rsid w:val="00304C74"/>
    <w:rsid w:val="00310EFD"/>
    <w:rsid w:val="00314BF5"/>
    <w:rsid w:val="00314C09"/>
    <w:rsid w:val="00316BE9"/>
    <w:rsid w:val="003170C1"/>
    <w:rsid w:val="00317408"/>
    <w:rsid w:val="003228D7"/>
    <w:rsid w:val="00325C2E"/>
    <w:rsid w:val="003274B6"/>
    <w:rsid w:val="00330C23"/>
    <w:rsid w:val="0033179F"/>
    <w:rsid w:val="003344C9"/>
    <w:rsid w:val="003351E5"/>
    <w:rsid w:val="00337403"/>
    <w:rsid w:val="00340AE8"/>
    <w:rsid w:val="00341CEB"/>
    <w:rsid w:val="0034262C"/>
    <w:rsid w:val="00344133"/>
    <w:rsid w:val="00347880"/>
    <w:rsid w:val="003518CA"/>
    <w:rsid w:val="00354568"/>
    <w:rsid w:val="003576AD"/>
    <w:rsid w:val="003578AB"/>
    <w:rsid w:val="00361719"/>
    <w:rsid w:val="003628F1"/>
    <w:rsid w:val="00365534"/>
    <w:rsid w:val="003659CF"/>
    <w:rsid w:val="003670D7"/>
    <w:rsid w:val="003710D3"/>
    <w:rsid w:val="003715CE"/>
    <w:rsid w:val="003721CA"/>
    <w:rsid w:val="003742CF"/>
    <w:rsid w:val="00374451"/>
    <w:rsid w:val="00376B9D"/>
    <w:rsid w:val="00381DBB"/>
    <w:rsid w:val="00382BAB"/>
    <w:rsid w:val="00383ED9"/>
    <w:rsid w:val="0038642A"/>
    <w:rsid w:val="0038738F"/>
    <w:rsid w:val="00390A9B"/>
    <w:rsid w:val="00390C8C"/>
    <w:rsid w:val="00391884"/>
    <w:rsid w:val="00394FA2"/>
    <w:rsid w:val="00395D12"/>
    <w:rsid w:val="00395EAB"/>
    <w:rsid w:val="00396518"/>
    <w:rsid w:val="00396CD7"/>
    <w:rsid w:val="003A3455"/>
    <w:rsid w:val="003A6B29"/>
    <w:rsid w:val="003A6EFC"/>
    <w:rsid w:val="003B0261"/>
    <w:rsid w:val="003B0990"/>
    <w:rsid w:val="003B0E99"/>
    <w:rsid w:val="003B3189"/>
    <w:rsid w:val="003B3216"/>
    <w:rsid w:val="003C10E9"/>
    <w:rsid w:val="003C2834"/>
    <w:rsid w:val="003C57E7"/>
    <w:rsid w:val="003C6DF9"/>
    <w:rsid w:val="003D260C"/>
    <w:rsid w:val="003D2E7D"/>
    <w:rsid w:val="003D375C"/>
    <w:rsid w:val="003D5026"/>
    <w:rsid w:val="003D5476"/>
    <w:rsid w:val="003D7014"/>
    <w:rsid w:val="003E2575"/>
    <w:rsid w:val="003E2E81"/>
    <w:rsid w:val="003E31B6"/>
    <w:rsid w:val="003E382E"/>
    <w:rsid w:val="003E4AEF"/>
    <w:rsid w:val="003E53BD"/>
    <w:rsid w:val="003E638C"/>
    <w:rsid w:val="003F0D93"/>
    <w:rsid w:val="003F1B28"/>
    <w:rsid w:val="003F59CD"/>
    <w:rsid w:val="003F7BF3"/>
    <w:rsid w:val="00403A0F"/>
    <w:rsid w:val="0040499A"/>
    <w:rsid w:val="00410187"/>
    <w:rsid w:val="00410798"/>
    <w:rsid w:val="00411DC1"/>
    <w:rsid w:val="004144ED"/>
    <w:rsid w:val="0041516C"/>
    <w:rsid w:val="00415CA4"/>
    <w:rsid w:val="00415E2B"/>
    <w:rsid w:val="004160BA"/>
    <w:rsid w:val="0041715F"/>
    <w:rsid w:val="00424F8B"/>
    <w:rsid w:val="00425127"/>
    <w:rsid w:val="00425FE0"/>
    <w:rsid w:val="00426B33"/>
    <w:rsid w:val="004274C1"/>
    <w:rsid w:val="00427A33"/>
    <w:rsid w:val="00427C7E"/>
    <w:rsid w:val="00433E9F"/>
    <w:rsid w:val="00434116"/>
    <w:rsid w:val="0043490C"/>
    <w:rsid w:val="0044006A"/>
    <w:rsid w:val="00443FF0"/>
    <w:rsid w:val="00447DFF"/>
    <w:rsid w:val="00452CF6"/>
    <w:rsid w:val="00455B5E"/>
    <w:rsid w:val="00455EFF"/>
    <w:rsid w:val="0045738A"/>
    <w:rsid w:val="004603AA"/>
    <w:rsid w:val="00460666"/>
    <w:rsid w:val="004625A2"/>
    <w:rsid w:val="004626DF"/>
    <w:rsid w:val="00466815"/>
    <w:rsid w:val="004722C3"/>
    <w:rsid w:val="0047293F"/>
    <w:rsid w:val="00482DBC"/>
    <w:rsid w:val="0048320F"/>
    <w:rsid w:val="00484B5D"/>
    <w:rsid w:val="00487B90"/>
    <w:rsid w:val="00490F5B"/>
    <w:rsid w:val="00494F3F"/>
    <w:rsid w:val="004A1602"/>
    <w:rsid w:val="004A1829"/>
    <w:rsid w:val="004A3261"/>
    <w:rsid w:val="004A3F17"/>
    <w:rsid w:val="004A55E3"/>
    <w:rsid w:val="004B0386"/>
    <w:rsid w:val="004B050A"/>
    <w:rsid w:val="004B31BF"/>
    <w:rsid w:val="004B3634"/>
    <w:rsid w:val="004B48F4"/>
    <w:rsid w:val="004B7A7C"/>
    <w:rsid w:val="004C30F7"/>
    <w:rsid w:val="004C518D"/>
    <w:rsid w:val="004D2F69"/>
    <w:rsid w:val="004E00FD"/>
    <w:rsid w:val="004E01B3"/>
    <w:rsid w:val="004E06B6"/>
    <w:rsid w:val="004E3665"/>
    <w:rsid w:val="004E5F5C"/>
    <w:rsid w:val="004F01F5"/>
    <w:rsid w:val="004F02F8"/>
    <w:rsid w:val="004F0A0F"/>
    <w:rsid w:val="004F0C0A"/>
    <w:rsid w:val="004F1F40"/>
    <w:rsid w:val="004F37B6"/>
    <w:rsid w:val="005005E7"/>
    <w:rsid w:val="0050065B"/>
    <w:rsid w:val="00501E13"/>
    <w:rsid w:val="00502A1B"/>
    <w:rsid w:val="00506DDD"/>
    <w:rsid w:val="0051091A"/>
    <w:rsid w:val="00520700"/>
    <w:rsid w:val="00520BE1"/>
    <w:rsid w:val="00523F9E"/>
    <w:rsid w:val="00526D62"/>
    <w:rsid w:val="005307F2"/>
    <w:rsid w:val="005325FE"/>
    <w:rsid w:val="005366A1"/>
    <w:rsid w:val="005366E4"/>
    <w:rsid w:val="00537CC3"/>
    <w:rsid w:val="005422D2"/>
    <w:rsid w:val="0054370E"/>
    <w:rsid w:val="0055205F"/>
    <w:rsid w:val="0055228D"/>
    <w:rsid w:val="00552741"/>
    <w:rsid w:val="005537C5"/>
    <w:rsid w:val="00560371"/>
    <w:rsid w:val="005606D0"/>
    <w:rsid w:val="00565222"/>
    <w:rsid w:val="005720CF"/>
    <w:rsid w:val="0057473E"/>
    <w:rsid w:val="005756B3"/>
    <w:rsid w:val="00576E3C"/>
    <w:rsid w:val="005774E0"/>
    <w:rsid w:val="00580BF3"/>
    <w:rsid w:val="0058158D"/>
    <w:rsid w:val="0058567F"/>
    <w:rsid w:val="00585D66"/>
    <w:rsid w:val="00587311"/>
    <w:rsid w:val="00595EF0"/>
    <w:rsid w:val="00597309"/>
    <w:rsid w:val="005A0DFE"/>
    <w:rsid w:val="005A20C0"/>
    <w:rsid w:val="005A25CC"/>
    <w:rsid w:val="005A6722"/>
    <w:rsid w:val="005B16A2"/>
    <w:rsid w:val="005B1725"/>
    <w:rsid w:val="005C349B"/>
    <w:rsid w:val="005C58B9"/>
    <w:rsid w:val="005C6EB6"/>
    <w:rsid w:val="005D0BD5"/>
    <w:rsid w:val="005D11E8"/>
    <w:rsid w:val="005D4549"/>
    <w:rsid w:val="005D7625"/>
    <w:rsid w:val="005E0264"/>
    <w:rsid w:val="005E4C89"/>
    <w:rsid w:val="005E5452"/>
    <w:rsid w:val="005F023D"/>
    <w:rsid w:val="005F0BDF"/>
    <w:rsid w:val="005F2E31"/>
    <w:rsid w:val="005F44A5"/>
    <w:rsid w:val="005F4E46"/>
    <w:rsid w:val="005F648E"/>
    <w:rsid w:val="0060054D"/>
    <w:rsid w:val="006015B4"/>
    <w:rsid w:val="006034D1"/>
    <w:rsid w:val="00603E15"/>
    <w:rsid w:val="00610020"/>
    <w:rsid w:val="00610AE1"/>
    <w:rsid w:val="00612F69"/>
    <w:rsid w:val="00616481"/>
    <w:rsid w:val="00616B25"/>
    <w:rsid w:val="00622194"/>
    <w:rsid w:val="0062225C"/>
    <w:rsid w:val="00635217"/>
    <w:rsid w:val="00637515"/>
    <w:rsid w:val="00642119"/>
    <w:rsid w:val="00643D3B"/>
    <w:rsid w:val="00644CEA"/>
    <w:rsid w:val="00645A6F"/>
    <w:rsid w:val="00647A30"/>
    <w:rsid w:val="00651061"/>
    <w:rsid w:val="006520BF"/>
    <w:rsid w:val="006549D6"/>
    <w:rsid w:val="0065756D"/>
    <w:rsid w:val="00665B8D"/>
    <w:rsid w:val="00666BCB"/>
    <w:rsid w:val="00670FA5"/>
    <w:rsid w:val="006727C4"/>
    <w:rsid w:val="0067345B"/>
    <w:rsid w:val="00676551"/>
    <w:rsid w:val="006811AE"/>
    <w:rsid w:val="006815C1"/>
    <w:rsid w:val="00683981"/>
    <w:rsid w:val="00683A99"/>
    <w:rsid w:val="00683D1B"/>
    <w:rsid w:val="00683DF7"/>
    <w:rsid w:val="006857C5"/>
    <w:rsid w:val="00690084"/>
    <w:rsid w:val="00693A54"/>
    <w:rsid w:val="006A05FB"/>
    <w:rsid w:val="006A28A0"/>
    <w:rsid w:val="006A2C7D"/>
    <w:rsid w:val="006B29AD"/>
    <w:rsid w:val="006B5769"/>
    <w:rsid w:val="006C1F1D"/>
    <w:rsid w:val="006C3B09"/>
    <w:rsid w:val="006D3C87"/>
    <w:rsid w:val="006D3FA4"/>
    <w:rsid w:val="006E60C2"/>
    <w:rsid w:val="00702745"/>
    <w:rsid w:val="007036B7"/>
    <w:rsid w:val="00710847"/>
    <w:rsid w:val="00716257"/>
    <w:rsid w:val="0071721B"/>
    <w:rsid w:val="00717DD5"/>
    <w:rsid w:val="00717EC1"/>
    <w:rsid w:val="00721BD3"/>
    <w:rsid w:val="00721EF2"/>
    <w:rsid w:val="00725775"/>
    <w:rsid w:val="00725C83"/>
    <w:rsid w:val="00726E2B"/>
    <w:rsid w:val="00726FFC"/>
    <w:rsid w:val="00732877"/>
    <w:rsid w:val="0073424A"/>
    <w:rsid w:val="00736465"/>
    <w:rsid w:val="00736CFD"/>
    <w:rsid w:val="00737509"/>
    <w:rsid w:val="00740A04"/>
    <w:rsid w:val="00741CB1"/>
    <w:rsid w:val="0074250D"/>
    <w:rsid w:val="007425C3"/>
    <w:rsid w:val="00743B7C"/>
    <w:rsid w:val="00746F68"/>
    <w:rsid w:val="00750AC8"/>
    <w:rsid w:val="0075369A"/>
    <w:rsid w:val="00755E31"/>
    <w:rsid w:val="00755E3E"/>
    <w:rsid w:val="00756BB6"/>
    <w:rsid w:val="00757586"/>
    <w:rsid w:val="00757A9F"/>
    <w:rsid w:val="00760454"/>
    <w:rsid w:val="0076077B"/>
    <w:rsid w:val="007608E4"/>
    <w:rsid w:val="00761A97"/>
    <w:rsid w:val="00762F36"/>
    <w:rsid w:val="00767F4F"/>
    <w:rsid w:val="007713D3"/>
    <w:rsid w:val="00772453"/>
    <w:rsid w:val="007755F9"/>
    <w:rsid w:val="0077619F"/>
    <w:rsid w:val="007771D2"/>
    <w:rsid w:val="00777200"/>
    <w:rsid w:val="00782CC9"/>
    <w:rsid w:val="00786B06"/>
    <w:rsid w:val="00790788"/>
    <w:rsid w:val="0079184B"/>
    <w:rsid w:val="007923E9"/>
    <w:rsid w:val="00794487"/>
    <w:rsid w:val="0079488E"/>
    <w:rsid w:val="00795843"/>
    <w:rsid w:val="007A1A55"/>
    <w:rsid w:val="007A1BFF"/>
    <w:rsid w:val="007A2205"/>
    <w:rsid w:val="007A34EE"/>
    <w:rsid w:val="007A70CE"/>
    <w:rsid w:val="007A7871"/>
    <w:rsid w:val="007B19E4"/>
    <w:rsid w:val="007B722C"/>
    <w:rsid w:val="007B7F8B"/>
    <w:rsid w:val="007C1539"/>
    <w:rsid w:val="007C1B31"/>
    <w:rsid w:val="007C5AD3"/>
    <w:rsid w:val="007C662F"/>
    <w:rsid w:val="007C7CA9"/>
    <w:rsid w:val="007D25D5"/>
    <w:rsid w:val="007D2F7A"/>
    <w:rsid w:val="007E0296"/>
    <w:rsid w:val="007E4519"/>
    <w:rsid w:val="007E7A8C"/>
    <w:rsid w:val="007E7E5F"/>
    <w:rsid w:val="007F5048"/>
    <w:rsid w:val="007F5109"/>
    <w:rsid w:val="007F60D8"/>
    <w:rsid w:val="007F7B94"/>
    <w:rsid w:val="008019E3"/>
    <w:rsid w:val="0080294F"/>
    <w:rsid w:val="008041E4"/>
    <w:rsid w:val="00804D7A"/>
    <w:rsid w:val="00805333"/>
    <w:rsid w:val="008150E5"/>
    <w:rsid w:val="00816994"/>
    <w:rsid w:val="008173EE"/>
    <w:rsid w:val="00820B90"/>
    <w:rsid w:val="00821309"/>
    <w:rsid w:val="008231CB"/>
    <w:rsid w:val="00836737"/>
    <w:rsid w:val="00836F9B"/>
    <w:rsid w:val="00836FB9"/>
    <w:rsid w:val="00845A0D"/>
    <w:rsid w:val="0085024B"/>
    <w:rsid w:val="008503A1"/>
    <w:rsid w:val="0085074E"/>
    <w:rsid w:val="0085691E"/>
    <w:rsid w:val="0086024B"/>
    <w:rsid w:val="008609FF"/>
    <w:rsid w:val="00861039"/>
    <w:rsid w:val="00862CC4"/>
    <w:rsid w:val="0086446A"/>
    <w:rsid w:val="00865972"/>
    <w:rsid w:val="00865DCD"/>
    <w:rsid w:val="0086676B"/>
    <w:rsid w:val="008710A1"/>
    <w:rsid w:val="00874C90"/>
    <w:rsid w:val="0087531F"/>
    <w:rsid w:val="00880E07"/>
    <w:rsid w:val="00881913"/>
    <w:rsid w:val="008819A5"/>
    <w:rsid w:val="00883719"/>
    <w:rsid w:val="00887314"/>
    <w:rsid w:val="00890471"/>
    <w:rsid w:val="0089144D"/>
    <w:rsid w:val="008955E0"/>
    <w:rsid w:val="00895675"/>
    <w:rsid w:val="008A1A08"/>
    <w:rsid w:val="008A4E2E"/>
    <w:rsid w:val="008A5725"/>
    <w:rsid w:val="008A6F53"/>
    <w:rsid w:val="008B1068"/>
    <w:rsid w:val="008B1417"/>
    <w:rsid w:val="008B7701"/>
    <w:rsid w:val="008C105D"/>
    <w:rsid w:val="008C2888"/>
    <w:rsid w:val="008C4BA9"/>
    <w:rsid w:val="008D0DFA"/>
    <w:rsid w:val="008D2638"/>
    <w:rsid w:val="008D59C6"/>
    <w:rsid w:val="008D5F25"/>
    <w:rsid w:val="008D7B7B"/>
    <w:rsid w:val="008D7F4A"/>
    <w:rsid w:val="008E3314"/>
    <w:rsid w:val="008E4DCD"/>
    <w:rsid w:val="008E67E4"/>
    <w:rsid w:val="008E6FAF"/>
    <w:rsid w:val="008E7258"/>
    <w:rsid w:val="008F2557"/>
    <w:rsid w:val="008F7241"/>
    <w:rsid w:val="009007AB"/>
    <w:rsid w:val="00902A0F"/>
    <w:rsid w:val="0091075D"/>
    <w:rsid w:val="00910D8F"/>
    <w:rsid w:val="009129A8"/>
    <w:rsid w:val="00913860"/>
    <w:rsid w:val="0092124B"/>
    <w:rsid w:val="00921835"/>
    <w:rsid w:val="00923D86"/>
    <w:rsid w:val="00923FFD"/>
    <w:rsid w:val="00930183"/>
    <w:rsid w:val="00934E7D"/>
    <w:rsid w:val="00935990"/>
    <w:rsid w:val="00936F60"/>
    <w:rsid w:val="00937070"/>
    <w:rsid w:val="009370B6"/>
    <w:rsid w:val="009408FC"/>
    <w:rsid w:val="009418AD"/>
    <w:rsid w:val="0094222C"/>
    <w:rsid w:val="00943FCF"/>
    <w:rsid w:val="00945035"/>
    <w:rsid w:val="00946344"/>
    <w:rsid w:val="00952360"/>
    <w:rsid w:val="00953AD1"/>
    <w:rsid w:val="009555AD"/>
    <w:rsid w:val="0095636D"/>
    <w:rsid w:val="00956B0C"/>
    <w:rsid w:val="009632FD"/>
    <w:rsid w:val="00963670"/>
    <w:rsid w:val="00963AE8"/>
    <w:rsid w:val="0096709D"/>
    <w:rsid w:val="00967CC8"/>
    <w:rsid w:val="00970ED6"/>
    <w:rsid w:val="00974720"/>
    <w:rsid w:val="009768B5"/>
    <w:rsid w:val="0098006D"/>
    <w:rsid w:val="00981370"/>
    <w:rsid w:val="00983D00"/>
    <w:rsid w:val="00994904"/>
    <w:rsid w:val="00997CC3"/>
    <w:rsid w:val="009A0C96"/>
    <w:rsid w:val="009A0E3A"/>
    <w:rsid w:val="009A1717"/>
    <w:rsid w:val="009A26AB"/>
    <w:rsid w:val="009A293D"/>
    <w:rsid w:val="009A6AEC"/>
    <w:rsid w:val="009B67FF"/>
    <w:rsid w:val="009C12A6"/>
    <w:rsid w:val="009C2B13"/>
    <w:rsid w:val="009C4E55"/>
    <w:rsid w:val="009C66D6"/>
    <w:rsid w:val="009C6D28"/>
    <w:rsid w:val="009D1E09"/>
    <w:rsid w:val="009D1E38"/>
    <w:rsid w:val="009D4D9F"/>
    <w:rsid w:val="009D4FD4"/>
    <w:rsid w:val="009E28A9"/>
    <w:rsid w:val="009E352E"/>
    <w:rsid w:val="009E462A"/>
    <w:rsid w:val="009E5560"/>
    <w:rsid w:val="009E66C4"/>
    <w:rsid w:val="009E6710"/>
    <w:rsid w:val="009F4801"/>
    <w:rsid w:val="009F4A23"/>
    <w:rsid w:val="00A03CA5"/>
    <w:rsid w:val="00A04885"/>
    <w:rsid w:val="00A06630"/>
    <w:rsid w:val="00A17F7A"/>
    <w:rsid w:val="00A21F9D"/>
    <w:rsid w:val="00A22296"/>
    <w:rsid w:val="00A222F1"/>
    <w:rsid w:val="00A225C4"/>
    <w:rsid w:val="00A259A6"/>
    <w:rsid w:val="00A25F68"/>
    <w:rsid w:val="00A26376"/>
    <w:rsid w:val="00A32A50"/>
    <w:rsid w:val="00A435EB"/>
    <w:rsid w:val="00A47F94"/>
    <w:rsid w:val="00A51103"/>
    <w:rsid w:val="00A52145"/>
    <w:rsid w:val="00A52384"/>
    <w:rsid w:val="00A5239F"/>
    <w:rsid w:val="00A5410F"/>
    <w:rsid w:val="00A56C6C"/>
    <w:rsid w:val="00A64A19"/>
    <w:rsid w:val="00A75CD3"/>
    <w:rsid w:val="00A7634B"/>
    <w:rsid w:val="00A774FA"/>
    <w:rsid w:val="00A81403"/>
    <w:rsid w:val="00A84EF3"/>
    <w:rsid w:val="00A85150"/>
    <w:rsid w:val="00A909FE"/>
    <w:rsid w:val="00A913E5"/>
    <w:rsid w:val="00A9276C"/>
    <w:rsid w:val="00A93291"/>
    <w:rsid w:val="00A9701C"/>
    <w:rsid w:val="00A97B6A"/>
    <w:rsid w:val="00AA1E22"/>
    <w:rsid w:val="00AA2A12"/>
    <w:rsid w:val="00AA3177"/>
    <w:rsid w:val="00AB2FE2"/>
    <w:rsid w:val="00AB4F51"/>
    <w:rsid w:val="00AB7E35"/>
    <w:rsid w:val="00AC2914"/>
    <w:rsid w:val="00AC2EE7"/>
    <w:rsid w:val="00AC3548"/>
    <w:rsid w:val="00AC7D05"/>
    <w:rsid w:val="00AC7E53"/>
    <w:rsid w:val="00AD0F65"/>
    <w:rsid w:val="00AD2AE6"/>
    <w:rsid w:val="00AD7F7E"/>
    <w:rsid w:val="00AE0935"/>
    <w:rsid w:val="00AE3A0A"/>
    <w:rsid w:val="00AF407E"/>
    <w:rsid w:val="00AF5048"/>
    <w:rsid w:val="00AF5142"/>
    <w:rsid w:val="00B03714"/>
    <w:rsid w:val="00B03C8A"/>
    <w:rsid w:val="00B04450"/>
    <w:rsid w:val="00B048E0"/>
    <w:rsid w:val="00B04EAE"/>
    <w:rsid w:val="00B0799A"/>
    <w:rsid w:val="00B108C6"/>
    <w:rsid w:val="00B11039"/>
    <w:rsid w:val="00B11F9A"/>
    <w:rsid w:val="00B12D6E"/>
    <w:rsid w:val="00B143AC"/>
    <w:rsid w:val="00B14C45"/>
    <w:rsid w:val="00B16D76"/>
    <w:rsid w:val="00B16ECB"/>
    <w:rsid w:val="00B17545"/>
    <w:rsid w:val="00B27FF1"/>
    <w:rsid w:val="00B36D0A"/>
    <w:rsid w:val="00B4322B"/>
    <w:rsid w:val="00B44CB6"/>
    <w:rsid w:val="00B453B5"/>
    <w:rsid w:val="00B4579B"/>
    <w:rsid w:val="00B4743C"/>
    <w:rsid w:val="00B51807"/>
    <w:rsid w:val="00B55771"/>
    <w:rsid w:val="00B562E3"/>
    <w:rsid w:val="00B57A10"/>
    <w:rsid w:val="00B60EF4"/>
    <w:rsid w:val="00B65BB7"/>
    <w:rsid w:val="00B675A4"/>
    <w:rsid w:val="00B70893"/>
    <w:rsid w:val="00B72E44"/>
    <w:rsid w:val="00B76F66"/>
    <w:rsid w:val="00B77E79"/>
    <w:rsid w:val="00B8302C"/>
    <w:rsid w:val="00B91B80"/>
    <w:rsid w:val="00B921D7"/>
    <w:rsid w:val="00B93F84"/>
    <w:rsid w:val="00B94683"/>
    <w:rsid w:val="00B97AA1"/>
    <w:rsid w:val="00BA6069"/>
    <w:rsid w:val="00BA70B4"/>
    <w:rsid w:val="00BB2D97"/>
    <w:rsid w:val="00BB4522"/>
    <w:rsid w:val="00BB6304"/>
    <w:rsid w:val="00BC3238"/>
    <w:rsid w:val="00BC465A"/>
    <w:rsid w:val="00BC7083"/>
    <w:rsid w:val="00BD08F2"/>
    <w:rsid w:val="00BD5868"/>
    <w:rsid w:val="00BE3B2B"/>
    <w:rsid w:val="00BE3BFA"/>
    <w:rsid w:val="00BE4029"/>
    <w:rsid w:val="00BE4F08"/>
    <w:rsid w:val="00BE5185"/>
    <w:rsid w:val="00BE52F6"/>
    <w:rsid w:val="00BE5B42"/>
    <w:rsid w:val="00BE5F4C"/>
    <w:rsid w:val="00BF05D2"/>
    <w:rsid w:val="00BF1007"/>
    <w:rsid w:val="00BF35EA"/>
    <w:rsid w:val="00BF39A7"/>
    <w:rsid w:val="00BF5892"/>
    <w:rsid w:val="00C130B3"/>
    <w:rsid w:val="00C13FD0"/>
    <w:rsid w:val="00C1446E"/>
    <w:rsid w:val="00C17171"/>
    <w:rsid w:val="00C17E8C"/>
    <w:rsid w:val="00C20A82"/>
    <w:rsid w:val="00C20EE7"/>
    <w:rsid w:val="00C22046"/>
    <w:rsid w:val="00C23766"/>
    <w:rsid w:val="00C23BE4"/>
    <w:rsid w:val="00C241EF"/>
    <w:rsid w:val="00C25BF5"/>
    <w:rsid w:val="00C3055E"/>
    <w:rsid w:val="00C35057"/>
    <w:rsid w:val="00C351D9"/>
    <w:rsid w:val="00C3554A"/>
    <w:rsid w:val="00C359C5"/>
    <w:rsid w:val="00C35CA7"/>
    <w:rsid w:val="00C472D1"/>
    <w:rsid w:val="00C51398"/>
    <w:rsid w:val="00C56B95"/>
    <w:rsid w:val="00C56C8A"/>
    <w:rsid w:val="00C603EC"/>
    <w:rsid w:val="00C60886"/>
    <w:rsid w:val="00C64FAA"/>
    <w:rsid w:val="00C65587"/>
    <w:rsid w:val="00C76471"/>
    <w:rsid w:val="00C76737"/>
    <w:rsid w:val="00C7709C"/>
    <w:rsid w:val="00C807D4"/>
    <w:rsid w:val="00C82D46"/>
    <w:rsid w:val="00C847C2"/>
    <w:rsid w:val="00C86097"/>
    <w:rsid w:val="00C9225F"/>
    <w:rsid w:val="00C94C15"/>
    <w:rsid w:val="00CA52E5"/>
    <w:rsid w:val="00CA5E8C"/>
    <w:rsid w:val="00CA6033"/>
    <w:rsid w:val="00CA6F53"/>
    <w:rsid w:val="00CB06A6"/>
    <w:rsid w:val="00CB178B"/>
    <w:rsid w:val="00CB2CEC"/>
    <w:rsid w:val="00CB479B"/>
    <w:rsid w:val="00CB580D"/>
    <w:rsid w:val="00CC0770"/>
    <w:rsid w:val="00CC0F23"/>
    <w:rsid w:val="00CC13EB"/>
    <w:rsid w:val="00CC1456"/>
    <w:rsid w:val="00CC182F"/>
    <w:rsid w:val="00CC185D"/>
    <w:rsid w:val="00CC7FE0"/>
    <w:rsid w:val="00CD18AC"/>
    <w:rsid w:val="00CD226C"/>
    <w:rsid w:val="00CD2860"/>
    <w:rsid w:val="00CD5CF7"/>
    <w:rsid w:val="00CE0638"/>
    <w:rsid w:val="00CE16C4"/>
    <w:rsid w:val="00CE336D"/>
    <w:rsid w:val="00CE550D"/>
    <w:rsid w:val="00CF115F"/>
    <w:rsid w:val="00CF1F34"/>
    <w:rsid w:val="00CF2B29"/>
    <w:rsid w:val="00CF32F9"/>
    <w:rsid w:val="00D00891"/>
    <w:rsid w:val="00D01576"/>
    <w:rsid w:val="00D01A72"/>
    <w:rsid w:val="00D02069"/>
    <w:rsid w:val="00D05EB1"/>
    <w:rsid w:val="00D0635F"/>
    <w:rsid w:val="00D11CD0"/>
    <w:rsid w:val="00D11DD0"/>
    <w:rsid w:val="00D140DD"/>
    <w:rsid w:val="00D15843"/>
    <w:rsid w:val="00D16A9E"/>
    <w:rsid w:val="00D22347"/>
    <w:rsid w:val="00D263CF"/>
    <w:rsid w:val="00D31A1D"/>
    <w:rsid w:val="00D33C0A"/>
    <w:rsid w:val="00D34DD0"/>
    <w:rsid w:val="00D46E56"/>
    <w:rsid w:val="00D476C7"/>
    <w:rsid w:val="00D47955"/>
    <w:rsid w:val="00D50CE7"/>
    <w:rsid w:val="00D52438"/>
    <w:rsid w:val="00D52479"/>
    <w:rsid w:val="00D553E6"/>
    <w:rsid w:val="00D5775A"/>
    <w:rsid w:val="00D57CC2"/>
    <w:rsid w:val="00D61233"/>
    <w:rsid w:val="00D63545"/>
    <w:rsid w:val="00D65A69"/>
    <w:rsid w:val="00D67DD8"/>
    <w:rsid w:val="00D7568D"/>
    <w:rsid w:val="00D77A4C"/>
    <w:rsid w:val="00D80158"/>
    <w:rsid w:val="00D80343"/>
    <w:rsid w:val="00D91062"/>
    <w:rsid w:val="00D95260"/>
    <w:rsid w:val="00D9528A"/>
    <w:rsid w:val="00D96EE3"/>
    <w:rsid w:val="00DB17F2"/>
    <w:rsid w:val="00DB354A"/>
    <w:rsid w:val="00DB66E3"/>
    <w:rsid w:val="00DC0D79"/>
    <w:rsid w:val="00DC12D5"/>
    <w:rsid w:val="00DC1A21"/>
    <w:rsid w:val="00DC2B0E"/>
    <w:rsid w:val="00DC3688"/>
    <w:rsid w:val="00DC5BB1"/>
    <w:rsid w:val="00DD1E9F"/>
    <w:rsid w:val="00DD476A"/>
    <w:rsid w:val="00DD4E03"/>
    <w:rsid w:val="00DD5B54"/>
    <w:rsid w:val="00DE15B1"/>
    <w:rsid w:val="00DE1CD7"/>
    <w:rsid w:val="00DE3444"/>
    <w:rsid w:val="00DE451B"/>
    <w:rsid w:val="00DF0E7D"/>
    <w:rsid w:val="00DF1264"/>
    <w:rsid w:val="00DF2155"/>
    <w:rsid w:val="00DF3B20"/>
    <w:rsid w:val="00DF781E"/>
    <w:rsid w:val="00E04A1E"/>
    <w:rsid w:val="00E05FCF"/>
    <w:rsid w:val="00E12376"/>
    <w:rsid w:val="00E1504E"/>
    <w:rsid w:val="00E20B25"/>
    <w:rsid w:val="00E22CEF"/>
    <w:rsid w:val="00E23A63"/>
    <w:rsid w:val="00E24E0D"/>
    <w:rsid w:val="00E26535"/>
    <w:rsid w:val="00E30756"/>
    <w:rsid w:val="00E33DEE"/>
    <w:rsid w:val="00E342FB"/>
    <w:rsid w:val="00E3695B"/>
    <w:rsid w:val="00E37FD2"/>
    <w:rsid w:val="00E43724"/>
    <w:rsid w:val="00E452F1"/>
    <w:rsid w:val="00E47B8D"/>
    <w:rsid w:val="00E51C06"/>
    <w:rsid w:val="00E51C48"/>
    <w:rsid w:val="00E51D59"/>
    <w:rsid w:val="00E53579"/>
    <w:rsid w:val="00E542F3"/>
    <w:rsid w:val="00E56D84"/>
    <w:rsid w:val="00E57E8A"/>
    <w:rsid w:val="00E606B5"/>
    <w:rsid w:val="00E61D8E"/>
    <w:rsid w:val="00E63DBF"/>
    <w:rsid w:val="00E658C5"/>
    <w:rsid w:val="00E706AC"/>
    <w:rsid w:val="00E73446"/>
    <w:rsid w:val="00E7705D"/>
    <w:rsid w:val="00E818F2"/>
    <w:rsid w:val="00E83C29"/>
    <w:rsid w:val="00E85931"/>
    <w:rsid w:val="00E86B7D"/>
    <w:rsid w:val="00E873B6"/>
    <w:rsid w:val="00E90DC2"/>
    <w:rsid w:val="00E91857"/>
    <w:rsid w:val="00E924E9"/>
    <w:rsid w:val="00E92FFC"/>
    <w:rsid w:val="00E9322C"/>
    <w:rsid w:val="00E9336C"/>
    <w:rsid w:val="00EA0959"/>
    <w:rsid w:val="00EA0B67"/>
    <w:rsid w:val="00EA1210"/>
    <w:rsid w:val="00EA188E"/>
    <w:rsid w:val="00EA26C1"/>
    <w:rsid w:val="00EA2EE6"/>
    <w:rsid w:val="00EA4529"/>
    <w:rsid w:val="00EA4BB0"/>
    <w:rsid w:val="00EA5F51"/>
    <w:rsid w:val="00EA60D7"/>
    <w:rsid w:val="00EA6180"/>
    <w:rsid w:val="00EA674F"/>
    <w:rsid w:val="00EA6D09"/>
    <w:rsid w:val="00EB0F82"/>
    <w:rsid w:val="00EB3FB1"/>
    <w:rsid w:val="00EB58A1"/>
    <w:rsid w:val="00EB68FC"/>
    <w:rsid w:val="00EC4560"/>
    <w:rsid w:val="00EC71D2"/>
    <w:rsid w:val="00ED12A4"/>
    <w:rsid w:val="00ED1C46"/>
    <w:rsid w:val="00ED1F61"/>
    <w:rsid w:val="00ED59B1"/>
    <w:rsid w:val="00EE38AA"/>
    <w:rsid w:val="00EE5CEB"/>
    <w:rsid w:val="00EE65E3"/>
    <w:rsid w:val="00EE68E6"/>
    <w:rsid w:val="00EE7225"/>
    <w:rsid w:val="00EF2AFB"/>
    <w:rsid w:val="00EF7972"/>
    <w:rsid w:val="00F0024E"/>
    <w:rsid w:val="00F0296C"/>
    <w:rsid w:val="00F0366A"/>
    <w:rsid w:val="00F036A2"/>
    <w:rsid w:val="00F03CC2"/>
    <w:rsid w:val="00F11673"/>
    <w:rsid w:val="00F12287"/>
    <w:rsid w:val="00F1450E"/>
    <w:rsid w:val="00F157DE"/>
    <w:rsid w:val="00F1594B"/>
    <w:rsid w:val="00F17653"/>
    <w:rsid w:val="00F2300A"/>
    <w:rsid w:val="00F304A7"/>
    <w:rsid w:val="00F304F2"/>
    <w:rsid w:val="00F30E85"/>
    <w:rsid w:val="00F319A7"/>
    <w:rsid w:val="00F3224C"/>
    <w:rsid w:val="00F32254"/>
    <w:rsid w:val="00F35A56"/>
    <w:rsid w:val="00F35D8D"/>
    <w:rsid w:val="00F40A5D"/>
    <w:rsid w:val="00F41BF6"/>
    <w:rsid w:val="00F42831"/>
    <w:rsid w:val="00F42A84"/>
    <w:rsid w:val="00F43ADC"/>
    <w:rsid w:val="00F452E0"/>
    <w:rsid w:val="00F463B8"/>
    <w:rsid w:val="00F47F94"/>
    <w:rsid w:val="00F50362"/>
    <w:rsid w:val="00F508F1"/>
    <w:rsid w:val="00F556E1"/>
    <w:rsid w:val="00F62620"/>
    <w:rsid w:val="00F626E2"/>
    <w:rsid w:val="00F62845"/>
    <w:rsid w:val="00F63947"/>
    <w:rsid w:val="00F65499"/>
    <w:rsid w:val="00F65B8E"/>
    <w:rsid w:val="00F67657"/>
    <w:rsid w:val="00F7045B"/>
    <w:rsid w:val="00F7256D"/>
    <w:rsid w:val="00F739CB"/>
    <w:rsid w:val="00F76E9E"/>
    <w:rsid w:val="00F832EF"/>
    <w:rsid w:val="00F836D7"/>
    <w:rsid w:val="00F83F3F"/>
    <w:rsid w:val="00F842C0"/>
    <w:rsid w:val="00F84510"/>
    <w:rsid w:val="00F86FB3"/>
    <w:rsid w:val="00F87078"/>
    <w:rsid w:val="00F95C15"/>
    <w:rsid w:val="00F968D2"/>
    <w:rsid w:val="00FA2B46"/>
    <w:rsid w:val="00FA5077"/>
    <w:rsid w:val="00FB7FCB"/>
    <w:rsid w:val="00FC1ED8"/>
    <w:rsid w:val="00FC2118"/>
    <w:rsid w:val="00FC3871"/>
    <w:rsid w:val="00FC4CA1"/>
    <w:rsid w:val="00FC4D40"/>
    <w:rsid w:val="00FC6E78"/>
    <w:rsid w:val="00FE01E8"/>
    <w:rsid w:val="00FE02C7"/>
    <w:rsid w:val="00FE3621"/>
    <w:rsid w:val="00FF27CC"/>
    <w:rsid w:val="00FF4CA8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76376"/>
  <w15:chartTrackingRefBased/>
  <w15:docId w15:val="{61A5E46C-F3BB-4895-8064-6F428470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A9"/>
    <w:rPr>
      <w:rFonts w:ascii="Arial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F9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5F9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7A1A5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7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5F9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5F9"/>
    <w:rPr>
      <w:rFonts w:ascii="Arial" w:hAnsi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755F9"/>
    <w:rPr>
      <w:rFonts w:ascii="Arial" w:eastAsiaTheme="majorEastAsia" w:hAnsi="Arial" w:cstheme="majorBidi"/>
      <w:b/>
      <w:color w:val="2F5496" w:themeColor="accent1" w:themeShade="BF"/>
      <w:sz w:val="28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755F9"/>
    <w:pPr>
      <w:numPr>
        <w:numId w:val="0"/>
      </w:numPr>
      <w:outlineLvl w:val="9"/>
    </w:pPr>
    <w:rPr>
      <w:rFonts w:asciiTheme="majorHAnsi" w:hAnsiTheme="majorHAnsi"/>
      <w:b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7F7B94"/>
    <w:pPr>
      <w:tabs>
        <w:tab w:val="left" w:pos="440"/>
        <w:tab w:val="right" w:leader="dot" w:pos="9072"/>
      </w:tabs>
      <w:spacing w:after="100"/>
    </w:pPr>
    <w:rPr>
      <w:rFonts w:ascii="Verdana" w:hAnsi="Verdana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5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755F9"/>
    <w:rPr>
      <w:rFonts w:ascii="Arial" w:eastAsiaTheme="majorEastAsia" w:hAnsi="Arial" w:cstheme="majorBidi"/>
      <w:color w:val="2F5496" w:themeColor="accent1" w:themeShade="BF"/>
      <w:sz w:val="24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755F9"/>
    <w:pPr>
      <w:spacing w:after="120" w:line="240" w:lineRule="auto"/>
      <w:ind w:left="720" w:firstLine="357"/>
      <w:contextualSpacing/>
      <w:jc w:val="both"/>
    </w:pPr>
    <w:rPr>
      <w:rFonts w:asciiTheme="minorHAnsi" w:eastAsiaTheme="minorEastAsia" w:hAnsiTheme="minorHAnsi"/>
      <w:lang w:bidi="en-US"/>
    </w:rPr>
  </w:style>
  <w:style w:type="table" w:styleId="ListTable4-Accent5">
    <w:name w:val="List Table 4 Accent 5"/>
    <w:basedOn w:val="TableNormal"/>
    <w:uiPriority w:val="49"/>
    <w:rsid w:val="00651061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rsid w:val="0077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6510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pple-converted-space">
    <w:name w:val="apple-converted-space"/>
    <w:basedOn w:val="DefaultParagraphFont"/>
    <w:rsid w:val="00ED59B1"/>
  </w:style>
  <w:style w:type="paragraph" w:styleId="Caption">
    <w:name w:val="caption"/>
    <w:basedOn w:val="Normal"/>
    <w:next w:val="Normal"/>
    <w:uiPriority w:val="35"/>
    <w:qFormat/>
    <w:rsid w:val="00192A85"/>
    <w:pPr>
      <w:spacing w:after="0" w:line="240" w:lineRule="auto"/>
    </w:pPr>
    <w:rPr>
      <w:rFonts w:eastAsia="Calibri" w:cs="Times New Roman"/>
      <w:b/>
      <w:i/>
      <w:szCs w:val="24"/>
    </w:rPr>
  </w:style>
  <w:style w:type="character" w:customStyle="1" w:styleId="Bodytext4">
    <w:name w:val="Body text (4)"/>
    <w:rsid w:val="00192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">
    <w:name w:val="Body Text1"/>
    <w:rsid w:val="00192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table" w:customStyle="1" w:styleId="GridTable4-Accent61">
    <w:name w:val="Grid Table 4 - Accent 61"/>
    <w:basedOn w:val="TableNormal"/>
    <w:uiPriority w:val="49"/>
    <w:rsid w:val="00192A85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BA" w:eastAsia="hr-BA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993300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ListParagraphChar">
    <w:name w:val="List Paragraph Char"/>
    <w:link w:val="ListParagraph"/>
    <w:uiPriority w:val="34"/>
    <w:qFormat/>
    <w:rsid w:val="00012F5B"/>
    <w:rPr>
      <w:rFonts w:eastAsiaTheme="minorEastAsia"/>
      <w:lang w:val="en-US" w:bidi="en-US"/>
    </w:rPr>
  </w:style>
  <w:style w:type="character" w:customStyle="1" w:styleId="fontstyle01">
    <w:name w:val="fontstyle01"/>
    <w:basedOn w:val="DefaultParagraphFont"/>
    <w:rsid w:val="002F7CBD"/>
    <w:rPr>
      <w:rFonts w:ascii="Times-BoldItalic" w:hAnsi="Times-BoldItalic" w:hint="default"/>
      <w:b/>
      <w:bCs/>
      <w:i/>
      <w:iCs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2F7CBD"/>
    <w:rPr>
      <w:rFonts w:ascii="Times-Bold" w:hAnsi="Times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2F7CBD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7F510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F83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2EF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2EF"/>
    <w:rPr>
      <w:rFonts w:ascii="Arial" w:hAnsi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4B"/>
    <w:rPr>
      <w:rFonts w:ascii="Segoe UI" w:hAnsi="Segoe UI" w:cs="Segoe UI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A0748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styleId="Strong">
    <w:name w:val="Strong"/>
    <w:basedOn w:val="DefaultParagraphFont"/>
    <w:uiPriority w:val="22"/>
    <w:qFormat/>
    <w:rsid w:val="001A07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10BE-287C-4512-9B20-A65825B2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25</Pages>
  <Words>8007</Words>
  <Characters>45640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Advantis Broker</dc:creator>
  <cp:keywords/>
  <dc:description/>
  <cp:lastModifiedBy>HP</cp:lastModifiedBy>
  <cp:revision>102</cp:revision>
  <cp:lastPrinted>2024-03-19T09:51:00Z</cp:lastPrinted>
  <dcterms:created xsi:type="dcterms:W3CDTF">2024-04-24T11:14:00Z</dcterms:created>
  <dcterms:modified xsi:type="dcterms:W3CDTF">2025-04-22T12:06:00Z</dcterms:modified>
</cp:coreProperties>
</file>