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D0" w:rsidRPr="00B25489" w:rsidRDefault="009321D0" w:rsidP="009321D0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538"/>
          <w:tab w:val="left" w:pos="1075"/>
          <w:tab w:val="left" w:pos="1344"/>
          <w:tab w:val="center" w:pos="6293"/>
          <w:tab w:val="left" w:pos="6498"/>
          <w:tab w:val="right" w:pos="7526"/>
          <w:tab w:val="left" w:pos="7728"/>
          <w:tab w:val="right" w:pos="9005"/>
        </w:tabs>
        <w:spacing w:after="0" w:line="210" w:lineRule="atLeast"/>
        <w:ind w:left="270"/>
        <w:jc w:val="center"/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</w:pPr>
      <w:r w:rsidRPr="00B25489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Napomene uz finansijski izvještaj za period 01.01.-</w:t>
      </w:r>
      <w:r w:rsidR="00230474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3</w:t>
      </w:r>
      <w:r w:rsidR="00BE26CF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0</w:t>
      </w:r>
      <w:r w:rsidR="00025C2C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.0</w:t>
      </w:r>
      <w:r w:rsidR="00BE26CF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6</w:t>
      </w:r>
      <w:r w:rsidR="00743380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.2024</w:t>
      </w:r>
      <w:r w:rsidR="00025C2C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>.</w:t>
      </w:r>
      <w:r w:rsidRPr="00B25489">
        <w:rPr>
          <w:rFonts w:ascii="Palatino Linotype" w:eastAsia="Times New Roman" w:hAnsi="Palatino Linotype" w:cs="Calibri"/>
          <w:b/>
          <w:snapToGrid w:val="0"/>
          <w:sz w:val="21"/>
          <w:szCs w:val="20"/>
          <w:u w:val="single"/>
          <w:lang w:val="it-IT"/>
        </w:rPr>
        <w:t xml:space="preserve"> godine</w:t>
      </w:r>
    </w:p>
    <w:p w:rsidR="009321D0" w:rsidRPr="009321D0" w:rsidRDefault="009321D0" w:rsidP="009321D0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538"/>
          <w:tab w:val="left" w:pos="1075"/>
          <w:tab w:val="left" w:pos="1344"/>
          <w:tab w:val="center" w:pos="6293"/>
          <w:tab w:val="left" w:pos="6498"/>
          <w:tab w:val="right" w:pos="7526"/>
          <w:tab w:val="left" w:pos="7728"/>
          <w:tab w:val="right" w:pos="8505"/>
        </w:tabs>
        <w:spacing w:after="0" w:line="210" w:lineRule="atLeast"/>
        <w:ind w:left="270" w:right="-43"/>
        <w:jc w:val="center"/>
        <w:rPr>
          <w:rFonts w:ascii="Palatino Linotype" w:eastAsia="Times New Roman" w:hAnsi="Palatino Linotype" w:cs="Calibri"/>
          <w:snapToGrid w:val="0"/>
          <w:sz w:val="21"/>
          <w:szCs w:val="20"/>
          <w:lang w:val="sr-Cyrl-BA"/>
        </w:rPr>
      </w:pPr>
    </w:p>
    <w:p w:rsidR="009321D0" w:rsidRPr="009321D0" w:rsidRDefault="009321D0" w:rsidP="009321D0">
      <w:pPr>
        <w:tabs>
          <w:tab w:val="left" w:pos="-1440"/>
          <w:tab w:val="left" w:pos="-720"/>
          <w:tab w:val="left" w:pos="0"/>
          <w:tab w:val="left" w:pos="269"/>
          <w:tab w:val="left" w:pos="720"/>
          <w:tab w:val="left" w:pos="806"/>
          <w:tab w:val="left" w:pos="1075"/>
          <w:tab w:val="left" w:pos="1344"/>
          <w:tab w:val="center" w:pos="6293"/>
          <w:tab w:val="left" w:pos="6498"/>
          <w:tab w:val="right" w:pos="7526"/>
          <w:tab w:val="left" w:pos="7728"/>
          <w:tab w:val="right" w:pos="9005"/>
        </w:tabs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1"/>
          <w:szCs w:val="20"/>
          <w:highlight w:val="yellow"/>
          <w:lang w:val="it-IT"/>
        </w:rPr>
      </w:pPr>
    </w:p>
    <w:p w:rsidR="009321D0" w:rsidRPr="009321D0" w:rsidRDefault="009321D0" w:rsidP="009321D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69"/>
          <w:tab w:val="left" w:pos="720"/>
          <w:tab w:val="left" w:pos="806"/>
          <w:tab w:val="left" w:pos="1075"/>
          <w:tab w:val="left" w:pos="1344"/>
          <w:tab w:val="center" w:pos="6293"/>
          <w:tab w:val="left" w:pos="6498"/>
          <w:tab w:val="right" w:pos="7526"/>
          <w:tab w:val="left" w:pos="7728"/>
          <w:tab w:val="right" w:pos="9005"/>
        </w:tabs>
        <w:spacing w:after="0" w:line="240" w:lineRule="auto"/>
        <w:contextualSpacing/>
        <w:jc w:val="both"/>
        <w:rPr>
          <w:rFonts w:ascii="Palatino Linotype" w:eastAsia="Times New Roman" w:hAnsi="Palatino Linotype" w:cs="Calibri"/>
          <w:b/>
          <w:snapToGrid w:val="0"/>
          <w:sz w:val="21"/>
          <w:szCs w:val="20"/>
          <w:lang w:val="it-IT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1"/>
          <w:szCs w:val="20"/>
          <w:lang w:val="sr-Cyrl-BA"/>
        </w:rPr>
        <w:t xml:space="preserve">OSNIVANJE I </w:t>
      </w:r>
      <w:r w:rsidRPr="009321D0">
        <w:rPr>
          <w:rFonts w:ascii="Palatino Linotype" w:eastAsia="Times New Roman" w:hAnsi="Palatino Linotype" w:cs="Calibri"/>
          <w:b/>
          <w:snapToGrid w:val="0"/>
          <w:sz w:val="21"/>
          <w:szCs w:val="20"/>
          <w:lang w:val="sr-Cyrl-CS"/>
        </w:rPr>
        <w:t>OPŠTE INFORMACIJE O PREDUZEĆU</w:t>
      </w:r>
    </w:p>
    <w:p w:rsidR="009321D0" w:rsidRPr="009321D0" w:rsidRDefault="009321D0" w:rsidP="009321D0">
      <w:pPr>
        <w:spacing w:after="0" w:line="240" w:lineRule="auto"/>
        <w:ind w:left="706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it-IT"/>
        </w:rPr>
      </w:pPr>
    </w:p>
    <w:p w:rsidR="009321D0" w:rsidRPr="009321D0" w:rsidRDefault="009321D0" w:rsidP="009321D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sr-Cyrl-CS"/>
        </w:rPr>
        <w:t>Osniva</w:t>
      </w: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nj</w:t>
      </w: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sr-Cyrl-CS"/>
        </w:rPr>
        <w:t>e i registracija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Zdravstveno-turistički centar "Banja Vrućica" upisan je u Sudski registar dana 06.09.2001. godine, registarski uložak br. U/I-512/2001 u Osnovnom sudu u Doboju.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Posljednja promjena u registraciji vršena je 28.12.2022. godine, radi promjene lica ovlaštenog za zastupanje.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Društvo nastavlja poslovati sa slijedećim podacima: 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Firma: Akcionarsko društvo zdravstveno-turistički centar “BANJA VRUĆICA” Banja Vrućica, Teslić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Skraćena oznaka firme : ZTC,,Banja Vrućica</w:t>
      </w:r>
      <w:r w:rsidR="001D1B7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”</w:t>
      </w: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, ad Banja Vrućica, Teslić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Sjedište: ulica Nede Nedića 1, Banja Vrućica, Teslić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MBS: 85-02-0009-09( stari broj 1-3576-00)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MB: 01867440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JIB: 4400096630002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Carinski broj : 4400096630002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Pravni osnov upisa: Odluka o imenovanju Generalnog direktora SP-91/2022 od 16.12.2022. godine.</w:t>
      </w:r>
    </w:p>
    <w:p w:rsidR="006229F1" w:rsidRPr="006229F1" w:rsidRDefault="006229F1" w:rsidP="006229F1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6229F1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Broj rješenja: 60-0-Reg-22-000546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highlight w:val="yellow"/>
          <w:lang w:val="en-US"/>
        </w:rPr>
      </w:pP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highlight w:val="yellow"/>
          <w:lang w:val="en-US"/>
        </w:rPr>
      </w:pPr>
    </w:p>
    <w:p w:rsidR="009321D0" w:rsidRPr="009321D0" w:rsidRDefault="009321D0" w:rsidP="009321D0">
      <w:pPr>
        <w:numPr>
          <w:ilvl w:val="1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 xml:space="preserve">Vlasnici </w:t>
      </w:r>
      <w:r w:rsidR="006229F1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 xml:space="preserve">na dan </w:t>
      </w:r>
      <w:r w:rsidR="00025C2C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3</w:t>
      </w:r>
      <w:r w:rsidR="00BE26C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0</w:t>
      </w:r>
      <w:r w:rsidR="00025C2C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.0</w:t>
      </w:r>
      <w:r w:rsidR="00BE26C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6</w:t>
      </w:r>
      <w:r w:rsidR="0074338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.2024</w:t>
      </w:r>
      <w:r w:rsidR="00025C2C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.</w:t>
      </w:r>
      <w:r w:rsidR="001E5677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 xml:space="preserve"> godine</w:t>
      </w:r>
    </w:p>
    <w:p w:rsidR="009321D0" w:rsidRPr="009321D0" w:rsidRDefault="009321D0" w:rsidP="009321D0">
      <w:pPr>
        <w:spacing w:after="0" w:line="240" w:lineRule="auto"/>
        <w:ind w:left="792"/>
        <w:contextualSpacing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9321D0" w:rsidRPr="009321D0" w:rsidRDefault="009321D0" w:rsidP="005306E7">
      <w:pPr>
        <w:spacing w:after="0" w:line="240" w:lineRule="auto"/>
        <w:ind w:left="720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Vlasnici su akcionari,prema</w:t>
      </w:r>
      <w:r w:rsidR="005306E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evidenciji koju vodi “Centralni</w:t>
      </w:r>
      <w:r w:rsidR="005306E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registar</w:t>
      </w:r>
      <w:r w:rsidR="005306E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hartija</w:t>
      </w:r>
      <w:r w:rsidR="005306E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od</w:t>
      </w:r>
      <w:r w:rsidR="005306E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vrijednosti”,</w:t>
      </w:r>
      <w:r w:rsidR="001E567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d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Banja</w:t>
      </w:r>
      <w:r w:rsidR="001E5677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Luka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ulica Bana</w:t>
      </w:r>
      <w:r w:rsidR="00263528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Milosavljevi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a</w:t>
      </w:r>
      <w:r w:rsidR="00263528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broj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6.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highlight w:val="yellow"/>
          <w:lang w:val="sr-Cyrl-CS"/>
        </w:rPr>
      </w:pPr>
    </w:p>
    <w:p w:rsidR="009321D0" w:rsidRDefault="009321D0" w:rsidP="009321D0">
      <w:pPr>
        <w:pBdr>
          <w:bottom w:val="single" w:sz="6" w:space="0" w:color="075296"/>
        </w:pBdr>
        <w:shd w:val="clear" w:color="auto" w:fill="FFFFFF"/>
        <w:spacing w:before="120" w:after="0" w:line="240" w:lineRule="auto"/>
        <w:ind w:right="45"/>
        <w:outlineLvl w:val="1"/>
        <w:rPr>
          <w:rFonts w:ascii="Palatino Linotype" w:eastAsia="Times New Roman" w:hAnsi="Palatino Linotype" w:cs="Arial"/>
          <w:b/>
          <w:bCs/>
          <w:color w:val="000000"/>
        </w:rPr>
      </w:pPr>
      <w:r w:rsidRPr="009321D0">
        <w:rPr>
          <w:rFonts w:ascii="Palatino Linotype" w:eastAsia="Times New Roman" w:hAnsi="Palatino Linotype" w:cs="Arial"/>
          <w:b/>
          <w:bCs/>
          <w:color w:val="000000"/>
        </w:rPr>
        <w:t>Deset najvećih akcionara</w:t>
      </w:r>
    </w:p>
    <w:tbl>
      <w:tblPr>
        <w:tblW w:w="9503" w:type="dxa"/>
        <w:tblInd w:w="-15" w:type="dxa"/>
        <w:tblLook w:val="04A0" w:firstRow="1" w:lastRow="0" w:firstColumn="1" w:lastColumn="0" w:noHBand="0" w:noVBand="1"/>
      </w:tblPr>
      <w:tblGrid>
        <w:gridCol w:w="1073"/>
        <w:gridCol w:w="5030"/>
        <w:gridCol w:w="1752"/>
        <w:gridCol w:w="1648"/>
      </w:tblGrid>
      <w:tr w:rsidR="00D20B10" w:rsidRPr="00902DA1" w:rsidTr="00743380">
        <w:trPr>
          <w:trHeight w:val="101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5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Naziv/Prezime i ime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Grad</w:t>
            </w:r>
          </w:p>
        </w:tc>
        <w:tc>
          <w:tcPr>
            <w:tcW w:w="1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02DA1" w:rsidRPr="00902DA1" w:rsidTr="00743380">
        <w:trPr>
          <w:trHeight w:val="101"/>
        </w:trPr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Sloboprom d.o.o. Lončari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Lončari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743380" w:rsidP="005B719F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4338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93,821339</w:t>
            </w:r>
          </w:p>
        </w:tc>
      </w:tr>
      <w:tr w:rsidR="00902DA1" w:rsidRPr="00902DA1" w:rsidTr="00743380">
        <w:trPr>
          <w:trHeight w:val="103"/>
        </w:trPr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Bogdanić Dragan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Teslić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1,983076</w:t>
            </w:r>
          </w:p>
        </w:tc>
      </w:tr>
      <w:tr w:rsidR="00902DA1" w:rsidRPr="00902DA1" w:rsidTr="00743380">
        <w:trPr>
          <w:trHeight w:val="64"/>
        </w:trPr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Despot Borka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Kotor Varoš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0,086297</w:t>
            </w:r>
          </w:p>
        </w:tc>
      </w:tr>
      <w:tr w:rsidR="00902DA1" w:rsidRPr="00902DA1" w:rsidTr="00743380">
        <w:trPr>
          <w:trHeight w:val="59"/>
        </w:trPr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Hipp Marija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Našice-RH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0,068202</w:t>
            </w:r>
          </w:p>
        </w:tc>
      </w:tr>
      <w:tr w:rsidR="00902DA1" w:rsidRPr="00902DA1" w:rsidTr="00743380">
        <w:trPr>
          <w:trHeight w:val="75"/>
        </w:trPr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Kostić Božo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Teslić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0,049446</w:t>
            </w:r>
          </w:p>
        </w:tc>
      </w:tr>
      <w:tr w:rsidR="00902DA1" w:rsidRPr="00902DA1" w:rsidTr="00743380">
        <w:trPr>
          <w:trHeight w:val="67"/>
        </w:trPr>
        <w:tc>
          <w:tcPr>
            <w:tcW w:w="10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Jauševac Radmila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Teslić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2DA1" w:rsidRPr="00902DA1" w:rsidRDefault="00902DA1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902DA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0,040324</w:t>
            </w:r>
          </w:p>
        </w:tc>
      </w:tr>
      <w:tr w:rsidR="00743380" w:rsidRPr="00902DA1" w:rsidTr="00743380">
        <w:trPr>
          <w:trHeight w:val="67"/>
        </w:trPr>
        <w:tc>
          <w:tcPr>
            <w:tcW w:w="10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3380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3380" w:rsidRPr="00902DA1" w:rsidRDefault="00743380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Milinković Radomir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3380" w:rsidRPr="00902DA1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Teslić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3380" w:rsidRPr="00902DA1" w:rsidRDefault="00743380" w:rsidP="00743380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            </w:t>
            </w:r>
            <w:r w:rsidRPr="0074338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0,030473</w:t>
            </w:r>
            <w:r w:rsidRPr="0074338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ab/>
            </w:r>
          </w:p>
        </w:tc>
      </w:tr>
      <w:tr w:rsidR="00743380" w:rsidRPr="00902DA1" w:rsidTr="00743380">
        <w:trPr>
          <w:trHeight w:val="6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Pr="00902DA1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Pr="00902DA1" w:rsidRDefault="00743380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Savić Predrag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Pr="00902DA1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Teslić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Pr="00902DA1" w:rsidRDefault="00743380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4338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0,029125</w:t>
            </w:r>
          </w:p>
        </w:tc>
      </w:tr>
      <w:tr w:rsidR="00743380" w:rsidRPr="00902DA1" w:rsidTr="00743380">
        <w:trPr>
          <w:trHeight w:val="6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Pr="00902DA1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Pr="00902DA1" w:rsidRDefault="00743380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Društvo za zastupanje u osiguranju WVP AD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Pr="00902DA1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Banja Luka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Pr="00902DA1" w:rsidRDefault="00743380" w:rsidP="00902DA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4338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0,024045</w:t>
            </w:r>
          </w:p>
        </w:tc>
      </w:tr>
      <w:tr w:rsidR="00743380" w:rsidRPr="00902DA1" w:rsidTr="00743380">
        <w:trPr>
          <w:trHeight w:val="6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Default="00743380" w:rsidP="00902DA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Šukevičius Rutenis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Default="00743380" w:rsidP="00902DA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Teslić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80" w:rsidRPr="00743380" w:rsidRDefault="00743380" w:rsidP="00743380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            </w:t>
            </w:r>
            <w:r w:rsidRPr="0074338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0,022842</w:t>
            </w:r>
            <w:r w:rsidRPr="0074338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ab/>
            </w:r>
          </w:p>
        </w:tc>
      </w:tr>
    </w:tbl>
    <w:p w:rsidR="0057108F" w:rsidRDefault="0057108F" w:rsidP="0057108F">
      <w:pPr>
        <w:shd w:val="clear" w:color="auto" w:fill="FFFFFF"/>
        <w:spacing w:after="0" w:line="240" w:lineRule="auto"/>
        <w:rPr>
          <w:rFonts w:ascii="Palatino Linotype" w:eastAsia="Times New Roman" w:hAnsi="Palatino Linotype" w:cs="Tahoma"/>
          <w:color w:val="333333"/>
        </w:rPr>
      </w:pPr>
      <w:r w:rsidRPr="009321D0">
        <w:rPr>
          <w:rFonts w:ascii="Palatino Linotype" w:eastAsia="Times New Roman" w:hAnsi="Palatino Linotype" w:cs="Tahoma"/>
          <w:color w:val="333333"/>
        </w:rPr>
        <w:t>Izvor:Banjalučka berza</w:t>
      </w:r>
    </w:p>
    <w:p w:rsidR="0057108F" w:rsidRDefault="0057108F" w:rsidP="0057108F">
      <w:pPr>
        <w:shd w:val="clear" w:color="auto" w:fill="FFFFFF"/>
        <w:spacing w:after="0" w:line="240" w:lineRule="auto"/>
        <w:rPr>
          <w:rFonts w:ascii="Palatino Linotype" w:eastAsia="Times New Roman" w:hAnsi="Palatino Linotype" w:cs="Tahoma"/>
          <w:color w:val="333333"/>
        </w:rPr>
      </w:pPr>
    </w:p>
    <w:p w:rsidR="000259F9" w:rsidRDefault="000259F9" w:rsidP="0057108F">
      <w:pPr>
        <w:shd w:val="clear" w:color="auto" w:fill="FFFFFF"/>
        <w:spacing w:after="0" w:line="240" w:lineRule="auto"/>
        <w:rPr>
          <w:rFonts w:ascii="Palatino Linotype" w:eastAsia="Times New Roman" w:hAnsi="Palatino Linotype" w:cs="Tahoma"/>
          <w:color w:val="333333"/>
        </w:rPr>
      </w:pPr>
    </w:p>
    <w:p w:rsidR="000259F9" w:rsidRPr="009321D0" w:rsidRDefault="000259F9" w:rsidP="0057108F">
      <w:pPr>
        <w:shd w:val="clear" w:color="auto" w:fill="FFFFFF"/>
        <w:spacing w:after="0" w:line="240" w:lineRule="auto"/>
        <w:rPr>
          <w:rFonts w:ascii="Palatino Linotype" w:eastAsia="Times New Roman" w:hAnsi="Palatino Linotype" w:cs="Tahoma"/>
          <w:color w:val="333333"/>
        </w:rPr>
      </w:pPr>
    </w:p>
    <w:p w:rsidR="009321D0" w:rsidRPr="009321D0" w:rsidRDefault="009321D0" w:rsidP="009321D0">
      <w:pPr>
        <w:numPr>
          <w:ilvl w:val="2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lastRenderedPageBreak/>
        <w:t>Struktura akcionara</w:t>
      </w:r>
    </w:p>
    <w:tbl>
      <w:tblPr>
        <w:tblW w:w="6525" w:type="dxa"/>
        <w:tblInd w:w="118" w:type="dxa"/>
        <w:tblLook w:val="04A0" w:firstRow="1" w:lastRow="0" w:firstColumn="1" w:lastColumn="0" w:noHBand="0" w:noVBand="1"/>
      </w:tblPr>
      <w:tblGrid>
        <w:gridCol w:w="1137"/>
        <w:gridCol w:w="930"/>
        <w:gridCol w:w="781"/>
        <w:gridCol w:w="975"/>
        <w:gridCol w:w="952"/>
        <w:gridCol w:w="781"/>
        <w:gridCol w:w="974"/>
      </w:tblGrid>
      <w:tr w:rsidR="009321D0" w:rsidRPr="009321D0" w:rsidTr="009321D0">
        <w:trPr>
          <w:trHeight w:val="282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Udio akcionara</w:t>
            </w:r>
          </w:p>
        </w:tc>
        <w:tc>
          <w:tcPr>
            <w:tcW w:w="26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Broj akcionara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% vlasništva od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ukupnog kapitala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Domaći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Strani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Domaći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Strani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&lt; 5%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D17FC" w:rsidP="00025E5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2577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025E5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2</w:t>
            </w:r>
            <w:r w:rsidR="003D17F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025E5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2</w:t>
            </w:r>
            <w:r w:rsidR="009852B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6</w:t>
            </w:r>
            <w:r w:rsidR="003D17F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D17FC" w:rsidP="00025E5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5,92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D17FC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D17FC" w:rsidP="00025E5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6,18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5%-10%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D17FC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D17FC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D17FC" w:rsidP="003D17FC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F41A9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10%-25%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D17FC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D17FC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D17FC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F41A9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&gt; 25%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17FC" w:rsidRPr="009321D0" w:rsidRDefault="003D17FC" w:rsidP="003D17FC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93,82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F41A9" w:rsidP="00DA5C3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US"/>
              </w:rPr>
              <w:t>93,82</w:t>
            </w:r>
          </w:p>
        </w:tc>
      </w:tr>
      <w:tr w:rsidR="009321D0" w:rsidRPr="009321D0" w:rsidTr="009321D0">
        <w:trPr>
          <w:trHeight w:val="296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UKUPNO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F41A9" w:rsidP="00025E5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2578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F41A9" w:rsidP="00025E5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F41A9" w:rsidP="00025E5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2604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F41A9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99,75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3F41A9" w:rsidP="009A756E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0,25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1D0" w:rsidRPr="009321D0" w:rsidRDefault="009321D0" w:rsidP="009321D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9321D0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100,00</w:t>
            </w:r>
          </w:p>
        </w:tc>
      </w:tr>
    </w:tbl>
    <w:p w:rsidR="009321D0" w:rsidRPr="009321D0" w:rsidRDefault="009321D0" w:rsidP="009321D0">
      <w:pPr>
        <w:spacing w:after="0" w:line="240" w:lineRule="auto"/>
        <w:ind w:left="720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numPr>
          <w:ilvl w:val="2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Uvrštenje akcija na berzu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Cs/>
          <w:sz w:val="24"/>
          <w:szCs w:val="24"/>
          <w:lang w:val="pl-PL"/>
        </w:rPr>
      </w:pPr>
      <w:r w:rsidRPr="009321D0">
        <w:rPr>
          <w:rFonts w:ascii="Palatino Linotype" w:eastAsia="Times New Roman" w:hAnsi="Palatino Linotype" w:cs="Calibri"/>
          <w:bCs/>
          <w:sz w:val="24"/>
          <w:szCs w:val="24"/>
          <w:lang w:val="pl-PL"/>
        </w:rPr>
        <w:t xml:space="preserve">Oznaka i registarski broj emitenta u Registru emitenta kod Komisije 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Emitent je upisan u Registar emitenata kod Komisije za hartije od vrijednosti Republ</w:t>
      </w: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ike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Srpske pod oznakom i registarskim brojem 04-506-48-/03.</w:t>
      </w:r>
    </w:p>
    <w:p w:rsidR="009321D0" w:rsidRPr="009321D0" w:rsidRDefault="009321D0" w:rsidP="009321D0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Matični broj je 1867440 a identifikacioni broj (JIB) 4400096630002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Upis u Centralni registar hartija od vrijednosti 13.05.2003. godine sa lokalnom oznakom BVRU, identifikacioni broj 21867440.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kupan broj akcija iznosi</w:t>
      </w:r>
      <w:r w:rsidR="00240875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33.600.177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, nominaln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vrijednost jedn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akcije je 1 KM.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highlight w:val="yellow"/>
          <w:lang w:val="en-US"/>
        </w:rPr>
      </w:pPr>
    </w:p>
    <w:p w:rsidR="009321D0" w:rsidRPr="009321D0" w:rsidRDefault="009321D0" w:rsidP="009321D0">
      <w:pPr>
        <w:numPr>
          <w:ilvl w:val="2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Djelatnost društva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Iako Dru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tvo paralelno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ravnopravno i istovremeno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obavlja dvije osnovne djelatnosti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: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zdravstvenu i ugostiteljsko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-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turisti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ku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kao osnovna djelatnost Dru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tva registrovana je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MEDICINSKA REHABILITACIJA –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DJELATNOST BOLNICA U ŠIREM SMISLU statistička </w:t>
      </w: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  <w:t>šifra 86.10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Pored osnovne djelatnosti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između ostalih,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Dru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tvo je registrovano i za obavljanje sljede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ih djelatnosti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:</w:t>
      </w:r>
    </w:p>
    <w:p w:rsidR="009321D0" w:rsidRPr="009321D0" w:rsidRDefault="009321D0" w:rsidP="009321D0">
      <w:pPr>
        <w:numPr>
          <w:ilvl w:val="0"/>
          <w:numId w:val="12"/>
        </w:numPr>
        <w:tabs>
          <w:tab w:val="num" w:pos="1134"/>
          <w:tab w:val="left" w:pos="2410"/>
        </w:tabs>
        <w:spacing w:after="0" w:line="240" w:lineRule="auto"/>
        <w:ind w:left="1134" w:hanging="425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10.52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- proizvodnja sladoleda i drugih smrznutih smjesa,</w:t>
      </w:r>
    </w:p>
    <w:p w:rsidR="009321D0" w:rsidRPr="009321D0" w:rsidRDefault="009321D0" w:rsidP="009321D0">
      <w:pPr>
        <w:numPr>
          <w:ilvl w:val="0"/>
          <w:numId w:val="3"/>
        </w:numPr>
        <w:tabs>
          <w:tab w:val="num" w:pos="264"/>
          <w:tab w:val="num" w:pos="1134"/>
        </w:tabs>
        <w:spacing w:after="0" w:line="240" w:lineRule="auto"/>
        <w:ind w:left="1134" w:hanging="425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10.71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- proizvodnja hljeba, svježih peciva i kolača,</w:t>
      </w:r>
    </w:p>
    <w:p w:rsidR="009321D0" w:rsidRPr="009321D0" w:rsidRDefault="009321D0" w:rsidP="00166F4E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 xml:space="preserve">36.00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- prikupljanje, prečišćavanje i snabdijevanje vodom</w:t>
      </w:r>
      <w:r w:rsidR="00166F4E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sakupljanje, prečišćavanje i distribucija vode,odnosno eksploatacija termomineralne vode i CO2  gasa koji seu njoj nalazi rastvoren, u granicama eksploataci</w:t>
      </w:r>
      <w:r w:rsidR="00166F4E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-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onog  polja,</w:t>
      </w:r>
    </w:p>
    <w:p w:rsidR="009321D0" w:rsidRPr="009321D0" w:rsidRDefault="009321D0" w:rsidP="009321D0">
      <w:pPr>
        <w:numPr>
          <w:ilvl w:val="0"/>
          <w:numId w:val="7"/>
        </w:numPr>
        <w:tabs>
          <w:tab w:val="num" w:pos="-42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46.34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trgovina na veliko  pićima,</w:t>
      </w:r>
    </w:p>
    <w:p w:rsidR="009321D0" w:rsidRPr="009321D0" w:rsidRDefault="009321D0" w:rsidP="009321D0">
      <w:pPr>
        <w:numPr>
          <w:ilvl w:val="0"/>
          <w:numId w:val="7"/>
        </w:numPr>
        <w:tabs>
          <w:tab w:val="num" w:pos="-42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46.39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nespecijalizovana trgovina na veliko, hranom, pićima  i duvanom,</w:t>
      </w:r>
    </w:p>
    <w:p w:rsidR="009321D0" w:rsidRPr="009321D0" w:rsidRDefault="009321D0" w:rsidP="009321D0">
      <w:pPr>
        <w:numPr>
          <w:ilvl w:val="0"/>
          <w:numId w:val="12"/>
        </w:numPr>
        <w:tabs>
          <w:tab w:val="num" w:pos="1068"/>
          <w:tab w:val="left" w:pos="2410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 xml:space="preserve">55.10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-  hoteli i sličan smještaj,</w:t>
      </w:r>
    </w:p>
    <w:p w:rsidR="009321D0" w:rsidRPr="009321D0" w:rsidRDefault="009321D0" w:rsidP="009321D0">
      <w:pPr>
        <w:numPr>
          <w:ilvl w:val="0"/>
          <w:numId w:val="12"/>
        </w:numPr>
        <w:tabs>
          <w:tab w:val="num" w:pos="1068"/>
          <w:tab w:val="left" w:pos="2410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55.20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odmarališta i ostali smještaj za kraći odmor,</w:t>
      </w:r>
    </w:p>
    <w:p w:rsidR="009321D0" w:rsidRPr="009321D0" w:rsidRDefault="009321D0" w:rsidP="009321D0">
      <w:pPr>
        <w:numPr>
          <w:ilvl w:val="0"/>
          <w:numId w:val="12"/>
        </w:numPr>
        <w:tabs>
          <w:tab w:val="num" w:pos="1068"/>
          <w:tab w:val="left" w:pos="2410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56.10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djelatnost restorana i usluge dostave hrane,</w:t>
      </w:r>
    </w:p>
    <w:p w:rsidR="009321D0" w:rsidRPr="009321D0" w:rsidRDefault="009321D0" w:rsidP="009321D0">
      <w:pPr>
        <w:numPr>
          <w:ilvl w:val="0"/>
          <w:numId w:val="12"/>
        </w:numPr>
        <w:tabs>
          <w:tab w:val="num" w:pos="1068"/>
          <w:tab w:val="left" w:pos="2410"/>
        </w:tabs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56.30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djelatnost pripreme i posluživanja pića,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82.30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organizacija sastanaka i poslovnih sajmova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 xml:space="preserve">93.11  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- rad sportskih objekata,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93.13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fitnes centri,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93.29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ostale zabavne i rekreativne aktivnosti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96.02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frizerski i drugi tretmani za uljepšavanje,</w:t>
      </w:r>
    </w:p>
    <w:p w:rsidR="009321D0" w:rsidRPr="009321D0" w:rsidRDefault="009321D0" w:rsidP="009321D0">
      <w:pPr>
        <w:numPr>
          <w:ilvl w:val="0"/>
          <w:numId w:val="13"/>
        </w:numPr>
        <w:spacing w:after="0" w:line="240" w:lineRule="auto"/>
        <w:ind w:left="1068"/>
        <w:jc w:val="both"/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96.04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 xml:space="preserve">   -  djelatnosti za njegu i održavanje tijela,</w:t>
      </w:r>
    </w:p>
    <w:p w:rsidR="009321D0" w:rsidRPr="009321D0" w:rsidRDefault="009321D0" w:rsidP="009321D0">
      <w:pPr>
        <w:spacing w:after="0" w:line="240" w:lineRule="auto"/>
        <w:ind w:left="1068"/>
        <w:jc w:val="both"/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lastRenderedPageBreak/>
        <w:t>Društv</w:t>
      </w:r>
      <w:r w:rsidR="00B634D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 ima upisano pravo obavljanja spoljnotrgovinskog poslovanja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 okviru registrovane djelatnosti.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highlight w:val="yellow"/>
          <w:lang w:val="en-US"/>
        </w:rPr>
      </w:pPr>
    </w:p>
    <w:p w:rsidR="009321D0" w:rsidRPr="009321D0" w:rsidRDefault="009321D0" w:rsidP="009321D0">
      <w:pPr>
        <w:numPr>
          <w:ilvl w:val="2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snapToGrid w:val="0"/>
          <w:color w:val="00000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Cs/>
          <w:snapToGrid w:val="0"/>
          <w:color w:val="000000"/>
          <w:sz w:val="24"/>
          <w:szCs w:val="20"/>
          <w:lang w:val="pl-PL"/>
        </w:rPr>
        <w:t>Struktura zaposlenih</w:t>
      </w:r>
    </w:p>
    <w:p w:rsidR="00812F54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Na dan 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</w:t>
      </w:r>
      <w:r w:rsidR="00BE26C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0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.0</w:t>
      </w:r>
      <w:r w:rsidR="00BE26C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6</w:t>
      </w:r>
      <w:r w:rsidR="0074338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.2024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</w:t>
      </w:r>
      <w:r w:rsidR="00B634D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godine, u ZTC Banja Vrućica</w:t>
      </w:r>
      <w:r w:rsidR="00812F54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 prema kadrovskoj evidenciji,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ukupno je zaposleno 2</w:t>
      </w:r>
      <w:r w:rsidR="00167844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96 </w:t>
      </w:r>
      <w:r w:rsidR="002D694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radnika, a prema broju sati bilo je zaposleno</w:t>
      </w:r>
      <w:r w:rsidR="0056662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167844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285</w:t>
      </w:r>
      <w:r w:rsidR="0056662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radnika.</w:t>
      </w:r>
    </w:p>
    <w:p w:rsidR="009321D0" w:rsidRPr="009321D0" w:rsidRDefault="00167844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Od </w:t>
      </w:r>
      <w:proofErr w:type="gramStart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toga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F0690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208</w:t>
      </w:r>
      <w:proofErr w:type="gramEnd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radnika u radnom odnosu na neodređeno i </w:t>
      </w:r>
      <w:r w:rsidR="00F0690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8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8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 radnika na određeno  radno vrijeme.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Kvalifikaciona struktura stalno zaposlenih je sledeća: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609"/>
        <w:gridCol w:w="1609"/>
        <w:gridCol w:w="1183"/>
      </w:tblGrid>
      <w:tr w:rsidR="009321D0" w:rsidRPr="009321D0" w:rsidTr="00FE7280">
        <w:trPr>
          <w:trHeight w:val="495"/>
        </w:trPr>
        <w:tc>
          <w:tcPr>
            <w:tcW w:w="1664" w:type="dxa"/>
            <w:shd w:val="clear" w:color="auto" w:fill="D9D9D9"/>
            <w:hideMark/>
          </w:tcPr>
          <w:p w:rsidR="009321D0" w:rsidRPr="00812F54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</w:p>
          <w:p w:rsidR="009321D0" w:rsidRPr="00812F54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  <w:r w:rsidRPr="00812F54"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  <w:t>Kvalifikacija</w:t>
            </w:r>
          </w:p>
        </w:tc>
        <w:tc>
          <w:tcPr>
            <w:tcW w:w="1609" w:type="dxa"/>
            <w:shd w:val="clear" w:color="auto" w:fill="D9D9D9"/>
            <w:hideMark/>
          </w:tcPr>
          <w:p w:rsidR="009321D0" w:rsidRPr="00812F54" w:rsidRDefault="00167844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  <w:t xml:space="preserve">Rad na </w:t>
            </w:r>
            <w:r w:rsidR="00F06906"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  <w:t>ne</w:t>
            </w:r>
            <w:r w:rsidR="009321D0" w:rsidRPr="00812F54"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  <w:t>određeno vrijeme</w:t>
            </w:r>
          </w:p>
        </w:tc>
        <w:tc>
          <w:tcPr>
            <w:tcW w:w="1609" w:type="dxa"/>
            <w:shd w:val="clear" w:color="auto" w:fill="D9D9D9"/>
            <w:hideMark/>
          </w:tcPr>
          <w:p w:rsidR="009321D0" w:rsidRPr="00812F54" w:rsidRDefault="009321D0" w:rsidP="00F06906">
            <w:pPr>
              <w:spacing w:after="0" w:line="240" w:lineRule="auto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  <w:r w:rsidRPr="00812F54"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  <w:t>Rad na određeno vrijeme</w:t>
            </w:r>
          </w:p>
        </w:tc>
        <w:tc>
          <w:tcPr>
            <w:tcW w:w="1183" w:type="dxa"/>
            <w:shd w:val="clear" w:color="auto" w:fill="D9D9D9"/>
            <w:hideMark/>
          </w:tcPr>
          <w:p w:rsidR="009321D0" w:rsidRPr="00812F54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</w:p>
          <w:p w:rsidR="009321D0" w:rsidRPr="00812F54" w:rsidRDefault="009321D0" w:rsidP="009321D0">
            <w:pPr>
              <w:spacing w:after="0" w:line="240" w:lineRule="auto"/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</w:pPr>
            <w:r w:rsidRPr="00812F54">
              <w:rPr>
                <w:rFonts w:ascii="Palatino Linotype" w:eastAsia="Times New Roman" w:hAnsi="Palatino Linotype" w:cs="Calibri"/>
                <w:snapToGrid w:val="0"/>
                <w:sz w:val="24"/>
                <w:szCs w:val="20"/>
                <w:lang w:val="en-US"/>
              </w:rPr>
              <w:t>Ukupno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VSS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25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17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42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VŠS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18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20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VK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1D0A82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SSS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91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38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129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KV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51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72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000000" w:fill="FFFFFF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PK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12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20</w:t>
            </w:r>
          </w:p>
        </w:tc>
      </w:tr>
      <w:tr w:rsidR="001D0A82" w:rsidRPr="009321D0" w:rsidTr="00FE7280">
        <w:trPr>
          <w:trHeight w:val="148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NK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1D0A82" w:rsidRDefault="001D0A82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1D0A82" w:rsidRDefault="001D0A82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12</w:t>
            </w:r>
          </w:p>
        </w:tc>
      </w:tr>
      <w:tr w:rsidR="001D0A82" w:rsidRPr="009321D0" w:rsidTr="00FE7280">
        <w:trPr>
          <w:trHeight w:val="142"/>
        </w:trPr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1D0A82" w:rsidRDefault="001D0A82" w:rsidP="001D0A82">
            <w:pPr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UKUPNO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208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88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1D0A82" w:rsidRDefault="00670D71" w:rsidP="001D0A82">
            <w:pPr>
              <w:jc w:val="right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296</w:t>
            </w:r>
          </w:p>
        </w:tc>
      </w:tr>
    </w:tbl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9321D0" w:rsidRPr="009321D0" w:rsidRDefault="009321D0" w:rsidP="009321D0">
      <w:pPr>
        <w:numPr>
          <w:ilvl w:val="2"/>
          <w:numId w:val="22"/>
        </w:numPr>
        <w:spacing w:after="0" w:line="240" w:lineRule="auto"/>
        <w:contextualSpacing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pl-PL"/>
        </w:rPr>
        <w:t>Razvrstavanje pravnih lica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Na osnovu člana 5. Zakona o računovodstvu i revizi</w:t>
      </w:r>
      <w:r w:rsidR="00181218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ji Republike Srpske, ZTC Banja V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4"/>
          <w:lang w:val="en-US"/>
        </w:rPr>
        <w:t>rućica je klasifikovano kao veliko pravno lice.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1"/>
          <w:szCs w:val="21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  <w:t>2. OSNOVA ZA SASTAVLJANJE FINANSIJSKIH IZVJEŠTAJA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sr-Cyrl-C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Finansijski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izvještaji za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period </w:t>
      </w:r>
      <w:r w:rsidRPr="00DA1CE3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01.01-</w:t>
      </w:r>
      <w:r w:rsidR="00025C2C" w:rsidRPr="00DA1CE3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3</w:t>
      </w:r>
      <w:r w:rsidR="00DA1CE3" w:rsidRPr="00DA1CE3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0</w:t>
      </w:r>
      <w:r w:rsidR="00025C2C" w:rsidRPr="00DA1CE3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.0</w:t>
      </w:r>
      <w:r w:rsidR="00DA1CE3" w:rsidRPr="00DA1CE3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6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.2024. </w:t>
      </w:r>
      <w:r w:rsidRPr="00DA1CE3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godin</w:t>
      </w:r>
      <w:r w:rsidRPr="00DA1CE3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sastav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lj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eni su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uz primjenu i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na osnov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Latn-BA"/>
        </w:rPr>
        <w:t>u</w:t>
      </w:r>
      <w:r w:rsidR="00092A04">
        <w:rPr>
          <w:rFonts w:ascii="Palatino Linotype" w:eastAsia="Times New Roman" w:hAnsi="Palatino Linotype" w:cs="Calibri"/>
          <w:snapToGrid w:val="0"/>
          <w:sz w:val="24"/>
          <w:szCs w:val="20"/>
          <w:lang w:val="sr-Latn-BA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đ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unarodnih ra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unovodstvenih standarda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(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MRS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),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Me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đ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unarodnih standarda finansijskog izvje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tavanja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(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MSFI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)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koji su bili u primjeni na dan 31.12.202</w:t>
      </w:r>
      <w:r w:rsidR="000F0891">
        <w:rPr>
          <w:rFonts w:ascii="Palatino Linotype" w:eastAsia="Times New Roman" w:hAnsi="Palatino Linotype" w:cs="Calibri"/>
          <w:snapToGrid w:val="0"/>
          <w:sz w:val="24"/>
          <w:szCs w:val="20"/>
        </w:rPr>
        <w:t>1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>. godine i na osnovu njih zasnovanih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propisa Republike Srpske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>.</w:t>
      </w:r>
    </w:p>
    <w:p w:rsidR="009321D0" w:rsidRPr="009321D0" w:rsidRDefault="009321D0" w:rsidP="009321D0">
      <w:pPr>
        <w:spacing w:after="0" w:line="240" w:lineRule="auto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B634D8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U skladu </w:t>
      </w:r>
      <w:proofErr w:type="gramStart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</w:t>
      </w:r>
      <w:proofErr w:type="gramEnd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odredbama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Zakona o ra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č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unovodstvu i reviziji Republike Srpske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(“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Slu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ž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beni glasnik Republike Srpske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”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broj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Latn-BA"/>
        </w:rPr>
        <w:t>94/15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)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>, Upravni odbor Saveza RR RS</w:t>
      </w:r>
      <w:r w:rsidR="00092A04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</w:t>
      </w:r>
      <w:r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je 19.2.2020. godine usvojio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>Odluke o utvrđivanju i objavljivanju prevoda međunarodnih standarda finasijskog izještavanja(MSFI) iz 2018. godine kojeg čine: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>Konceptualni okvir za finansijsko izvještavanje i osnov</w:t>
      </w:r>
      <w:r w:rsidR="00B634D8">
        <w:rPr>
          <w:rFonts w:ascii="Palatino Linotype" w:eastAsia="Times New Roman" w:hAnsi="Palatino Linotype" w:cs="Calibri"/>
          <w:snapToGrid w:val="0"/>
          <w:sz w:val="24"/>
          <w:szCs w:val="20"/>
        </w:rPr>
        <w:t>ni tekstovi Međunarodnih računo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vodstvenih standarda (MRS), odnosno Međunarodnih standarda finansijskog izvještavanja (MSFI) izdati od odbora za međunarodne računovodstvene standarde (IASB) u obliku u kojem izdati, odnosno usvojeni i koji ne uključuju osnove za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lastRenderedPageBreak/>
        <w:t>zaključivanje, ilustrujuće primjere i drugi objašnjavajući materijal koji može da usvoji u vezi sa standardima, odnosno tumačenjima, osim ako nije izričito navedeno da su sastavni dio standarda, odnosno tumačenja.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>Navedenom odlukom, utvrđuju se i objavljuju prevodi Standarda i tumačunja, izdatih od strane Odbora za MRS iz 2018. godine koji su objavljeni na internet stranci Saveza RR RS, a koji se počinju  primjenjivati za finansijske izvještaje koji se sastavljaju na dan 31.12.2020. godine.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Prezentovanje finansijskih izvje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taja izvr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eno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je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 skladu sa revid</w:t>
      </w:r>
      <w:r w:rsidR="004A61D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ir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anim MRS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1-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Prezentacija finansijskih izvje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taja i MRS 8 Računovodstvene politike, promjene računovodstvenih procjena i greške (u primjeni za godišnje izvještaje koji počinju na dan nakon 01.01.2020. i kasnije, te po Pravilniku o sadr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ž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ini i formi obrazaca finansijskih izvje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taja za privredna dru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tva</w:t>
      </w:r>
      <w:r w:rsidR="00DD180B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="00DD180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druga Pravna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lica</w:t>
      </w:r>
      <w:r w:rsidR="00DD180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 preduzetnike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(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Slu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ž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beni glasnik Republike Srpske broj </w:t>
      </w:r>
      <w:r w:rsidR="00120911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59/22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)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 Pravilnik</w:t>
      </w:r>
      <w:r w:rsidR="001163F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om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 </w:t>
      </w:r>
      <w:r w:rsidR="001163F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dodatnom računovodstvenom izvještaju-Aneksu</w:t>
      </w:r>
      <w:r w:rsidR="009D6633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9D6633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(</w:t>
      </w:r>
      <w:r w:rsidR="009D6633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Slu</w:t>
      </w:r>
      <w:r w:rsidR="009D6633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ž</w:t>
      </w:r>
      <w:r w:rsidR="009D6633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beni glasnik Republike Srpske broj </w:t>
      </w:r>
      <w:r w:rsidR="009D6633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62/16 I 124/22</w:t>
      </w:r>
      <w:r w:rsidR="009D6633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)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highlight w:val="yellow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  <w:t>3. IZVJEŠTAJNA VALUTA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color w:val="FF000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Finansijski izvještaji izraženi su</w:t>
      </w:r>
      <w:r w:rsidR="00B44A8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u konvertibilnim markama (KM).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Izvještaji s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u pripremljeni za period 01.01.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do</w:t>
      </w:r>
      <w:proofErr w:type="gramEnd"/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</w:t>
      </w:r>
      <w:r w:rsidR="00ED5BA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0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.0</w:t>
      </w:r>
      <w:r w:rsidR="00ED5BA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6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.2024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</w:t>
      </w:r>
      <w:r w:rsidR="008B6F4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proofErr w:type="gramStart"/>
      <w:r w:rsidR="00B44A8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godine</w:t>
      </w:r>
      <w:proofErr w:type="gramEnd"/>
      <w:r w:rsidR="00B44A8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 uporednim podacima za prethodnu godinu.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Finansijske izvještaje za period 01.01.-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</w:t>
      </w:r>
      <w:r w:rsidR="00ED5BA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0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.0</w:t>
      </w:r>
      <w:r w:rsidR="00ED5BA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6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.2024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godine, čine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:</w:t>
      </w:r>
    </w:p>
    <w:p w:rsidR="009321D0" w:rsidRPr="009321D0" w:rsidRDefault="009321D0" w:rsidP="009321D0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bilans sta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( izvještaj o finansijskom položaju</w:t>
      </w:r>
      <w:r w:rsidR="00065641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 kraju perioda)</w:t>
      </w:r>
    </w:p>
    <w:p w:rsidR="009321D0" w:rsidRPr="00B44A82" w:rsidRDefault="009321D0" w:rsidP="009321D0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bilans uspjeha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( izvještaj o ukupnom rezultatu  za  period)</w:t>
      </w:r>
    </w:p>
    <w:p w:rsidR="00B44A82" w:rsidRPr="009321D0" w:rsidRDefault="00B44A82" w:rsidP="009321D0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aneks</w:t>
      </w:r>
    </w:p>
    <w:p w:rsidR="009321D0" w:rsidRPr="009321D0" w:rsidRDefault="009321D0" w:rsidP="009321D0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bilans tokova gotovine,</w:t>
      </w:r>
    </w:p>
    <w:p w:rsidR="009321D0" w:rsidRPr="009321D0" w:rsidRDefault="009321D0" w:rsidP="009321D0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izvje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taj o promjenama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</w:rPr>
        <w:t>na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kapitalu,</w:t>
      </w:r>
    </w:p>
    <w:p w:rsidR="009321D0" w:rsidRPr="009321D0" w:rsidRDefault="009321D0" w:rsidP="009321D0">
      <w:pPr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napomene</w:t>
      </w:r>
      <w:proofErr w:type="gramEnd"/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(note) uz  finansijske izvještaje.</w:t>
      </w:r>
    </w:p>
    <w:p w:rsidR="009321D0" w:rsidRPr="009321D0" w:rsidRDefault="009321D0" w:rsidP="009321D0">
      <w:pPr>
        <w:spacing w:after="0" w:line="240" w:lineRule="auto"/>
        <w:ind w:left="180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highlight w:val="yellow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4. </w:t>
      </w:r>
      <w:r w:rsidR="00D2755F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</w:t>
      </w:r>
      <w:r w:rsidR="00FA3D49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PREGLED </w:t>
      </w: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PRIMIJENJENIH RAČUNOVODSTVENIH POLITIKA</w:t>
      </w:r>
    </w:p>
    <w:p w:rsidR="009321D0" w:rsidRPr="009321D0" w:rsidRDefault="00D2755F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Finansijski izvještaji istinito – fer </w:t>
      </w:r>
      <w:r w:rsidR="00FA3D4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prikazuju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finansijsku poziciju, finansijski uspjeh i tokove gotovine Društva. 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Fer prezentacija zahtijeva vjerno prikazivanje efekata transakcija, drugih događaja i u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slova u skladu </w:t>
      </w:r>
      <w:proofErr w:type="gramStart"/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</w:t>
      </w:r>
      <w:proofErr w:type="gramEnd"/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definicijama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 kriterijima za priznavanje imovine, obaveza, prihoda i rashoda.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Pretpostavlja se da primjena IFRS, zajedno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dodatnim objelodanjivanjem kada je to neophodno, ima </w:t>
      </w:r>
      <w:r w:rsidR="00FA3D4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za rezultat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finansijske izvještaje u kojima se postiže fer prezentacija.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Fer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prezentacija takođe od Društva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zahtijeva :</w:t>
      </w:r>
      <w:proofErr w:type="gramEnd"/>
    </w:p>
    <w:p w:rsidR="009321D0" w:rsidRPr="009321D0" w:rsidRDefault="00D2755F" w:rsidP="009321D0">
      <w:pPr>
        <w:numPr>
          <w:ilvl w:val="0"/>
          <w:numId w:val="18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proofErr w:type="gramStart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da</w:t>
      </w:r>
      <w:proofErr w:type="gramEnd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izabere i primijeni računovodstvene politike u skladu sa MRS 8 Računovodstvene politike, promjene računovodstvenih procjena i greške.</w:t>
      </w:r>
    </w:p>
    <w:p w:rsidR="009321D0" w:rsidRPr="009321D0" w:rsidRDefault="00D2755F" w:rsidP="009321D0">
      <w:pPr>
        <w:numPr>
          <w:ilvl w:val="0"/>
          <w:numId w:val="18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proofErr w:type="gramStart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da</w:t>
      </w:r>
      <w:proofErr w:type="gramEnd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prezentuje informacije, uključujući računovodstvene politike na način koji obezbjeđuje relevantne, pouzdane, uporedive i razumljive informacije.</w:t>
      </w:r>
    </w:p>
    <w:p w:rsidR="009321D0" w:rsidRPr="009321D0" w:rsidRDefault="00D2755F" w:rsidP="009321D0">
      <w:pPr>
        <w:numPr>
          <w:ilvl w:val="0"/>
          <w:numId w:val="18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proofErr w:type="gramStart"/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a</w:t>
      </w:r>
      <w:proofErr w:type="gramEnd"/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obezbijedi dodatna objelodanjivanja kada je usaglašavanje sa specifičnim zahtjevima u MSFI nedovoljno da omogući korisnicima da razumiju uticaj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lastRenderedPageBreak/>
        <w:t>određenih transakcija, drugih događaja i uslova na finansijsku poziciju i finansijski uspjeh Društva.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Kada priprema finansijske izvještaje, rukovodstvo procjenjuje sposobnost entiteta da nastavi da trajno posluje u smislu stalnosti poslovanja.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Finansijski izvještaji se sastavljaju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osnovu načela stalnosti poslovanja.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Društvo sastavlja svoje finansijske izvještaje, osim informacija o tokovima gotovine, korišćenjem načela uzročnosti prihoda i rashoda.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 sve iznose koji su dati u finansijskim izvještajima tekućeg perioda se obj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elodanjuju uporedne informacije o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prethodnom periodu, osim kada MSFI dozvoljavaju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ili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zahtijevaju drugačije.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Uporedne informacije se uključuju i za narativne i opisne informacije, kada je to relevantno za razumijevanje finansijskih izvještaja za tekući period.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4.1.</w:t>
      </w:r>
      <w:r w:rsidR="00290742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Stalna</w:t>
      </w:r>
      <w:r w:rsidR="00113AD8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sredstva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Nekretnine, postrojenja, oprema i investicione nekretnine, iskazuju se zemljište, građevinski objekti, postrojenja, oprema i investicione nekretnine u vlasništvu pravnog lica i preduzetnika, postrojenja i oprema uzeti u finansijski lizing, alat i inventar sa kalkulativnim otpisom tokom više godina i ostale nekretnine, postrojenja i oprema koji ispunjavaju uslove za priznavanje po MRS, odnosno </w:t>
      </w:r>
      <w:r w:rsidR="005938B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MSFI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 kao i ulaganja za pribavljanje nekretnina, postrojenja, opreme i investicionih nekretnina.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Pod </w:t>
      </w:r>
      <w:r w:rsidR="005E049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staln</w:t>
      </w:r>
      <w:r w:rsidR="00113AD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</w:t>
      </w:r>
      <w:r w:rsidR="005E049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m </w:t>
      </w:r>
      <w:r w:rsidR="00113AD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sredstvima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smatraju se nekretnine, postrojenja i oprema i druga stalna materijalna sredstva čiji je očekivani korisni vijek upotrebe duži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jedne godine.</w:t>
      </w:r>
    </w:p>
    <w:p w:rsidR="009321D0" w:rsidRPr="009321D0" w:rsidRDefault="005E049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Stalna </w:t>
      </w:r>
      <w:r w:rsidR="00113AD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sredstva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se iskazuju po nabavnoj, odnosno nadoknadivoj vrijednosti umanjenoj za akumuliranu amortizaciju obračunatu u periodu korištenja sredstava. Početno priznavanje </w:t>
      </w:r>
      <w:r w:rsidR="00F95B63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stalne </w:t>
      </w:r>
      <w:r w:rsidR="00113AD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sredstava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izvršeno u skladu </w:t>
      </w:r>
      <w:proofErr w:type="gramStart"/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</w:t>
      </w:r>
      <w:proofErr w:type="gramEnd"/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Zakonom o privatizaciji prilikom izrade početnog bilansa stan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ja 30. </w:t>
      </w:r>
      <w:proofErr w:type="gramStart"/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juna</w:t>
      </w:r>
      <w:proofErr w:type="gramEnd"/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.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1998.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godine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, a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osnovu cijena utvrđenih od ovlaštenog organa skupštine opštine na čijoj teritoriji se nalazi zemljište.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CF510F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CF510F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4.2. Amortizacija</w:t>
      </w:r>
    </w:p>
    <w:p w:rsidR="009321D0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Amortizacija se obračunava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osnovicu koju čini nabavna vrijednost. Primjenjene stope amortizacije za glavne kategorije </w:t>
      </w:r>
      <w:r w:rsidR="0061256E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stalnih sredstava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su: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Građevinski objekti od 1</w:t>
      </w:r>
      <w:proofErr w:type="gramStart"/>
      <w:r w:rsidR="00BB1FE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,5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-</w:t>
      </w:r>
      <w:r w:rsidR="00BB1FE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12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%, procijenjeni vijek trajanja od </w:t>
      </w:r>
      <w:r w:rsidR="001F4FA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8.33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do </w:t>
      </w:r>
      <w:r w:rsidR="001F4FA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66,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godina.</w:t>
      </w:r>
    </w:p>
    <w:p w:rsidR="009321D0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Oprema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od </w:t>
      </w:r>
      <w:r w:rsidR="008F045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5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-20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% ,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procijenjeni vijek trajanja od 5 do 9 godina.</w:t>
      </w:r>
    </w:p>
    <w:p w:rsidR="009321D0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Računarska oprema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8F0458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25-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30</w:t>
      </w:r>
      <w:r w:rsidR="00AF5DC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%, softver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20%, procijenjeni vijek trajanja od 5 do 6.9 godina.</w:t>
      </w:r>
    </w:p>
    <w:p w:rsidR="00181218" w:rsidRPr="009321D0" w:rsidRDefault="00181218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4.3. Nematerijalna ulaganja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Nematerijalna ulaganja, iskazuju se ulaganja u određeno nematerijalno sredstvo bez fizičkog sadržaja, koje služi za proizvodnju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ili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isporuku robe ili usluga, za iznajmljivanje drugim licima ili se koristi u administrativne svrhe.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Patenti i licence priznaju se po trošku nabavke umanjenom za ispravku vrijednosti i gubitke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obezvrjeđenja vrijednosti</w:t>
      </w: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.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290742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lastRenderedPageBreak/>
        <w:t>4.4. Dugoročni finansijski plasmani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Dugoročni finansijski plasmani, iskazuje se učešće u kapitalu povezanih pravnih lica, učešće u kapitalu drugih pravnih lica, dugoročni krediti povezanim pravnim licima, dugoročni krediti u zemlji, dugoročni krediti u inostranstvu,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finansijska sredstva raspoloživa za prodaju, finansijska sredstva koja se drže do roka dospijeća, ostali dugoročni finansijski plasmani i ispravka vrijednosti dugoročnih finansijskih plasmana.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4.5. Zalihe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Zalihe materijala, iskazuju se zalihe materijala, rezervnih dijelova, i alata i inventara koji se u cjelosti otpisuju u obračunskom periodu.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Zali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he trgovačke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robe priznaju se po nabavnoj vrijednosti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ili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neto prodajnoj vrijednosti, u zavisnosti od toga koja je od ove dvije vrijednosti niža.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Zalihe materijala, goriva i maziva, rezervnih dijelova, HTZ opreme i auto guma vode se po nabavnoj vrijednosti. Nabavna vrijednost uključuje vrijednost po fakturi dobavljača, transportne i zavisne troškove.</w:t>
      </w:r>
    </w:p>
    <w:p w:rsidR="009321D0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Sitan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inventar otpisuje se 100% po stavljanju u upotrebu.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Obračun izlaza zaliha (materijala, proizvoda i robe) vrši se po prosječnim cijenama.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Vrijednost zaliha učinaka sadrži i troškove kupovine, prodaje i finansiranja.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pl-PL"/>
        </w:rPr>
        <w:t>4.6. Kratkoročna potraživanja, plasmani i gotovina i druga finansijska sredstva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Potraživanja po osnovu prodaje, iskazuju se potraživanja od kupaca – povezana pravna lica i ostalih kupaca u zemlji i inostranstvu po osnovu prodaje proizvoda, robe i usluga.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Kratkoročni finansijski plasmani, iskazuju se krediti i zajmovi, hartije od vrijednosti i ostali kratkoročni plasmani sa rokom dospijeća, odnosno prodaje, do godinu dana od dana činidbe, odnosno od dana bilansa.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Gotovinski ekvivalenti i gotovina, iskazuju se neposredno unovčive hartije od vrijednosti, depoziti po viđenju, gotovina.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Gotovina i 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ekvivalenti gotovine sastoje se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novca u blagajni i novca na bankovnim računima, a priznaju se po nominalnoj vrijednosti.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4.7. Ispravka vrijednosti potraživanja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Društvo primjenjuje odredbe MRS koji se primjenjuju za finansijske iz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vještaje </w:t>
      </w:r>
      <w:proofErr w:type="gramStart"/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dan 31.12.2020. </w:t>
      </w:r>
      <w:proofErr w:type="gramStart"/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te</w:t>
      </w:r>
      <w:proofErr w:type="gramEnd"/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Zakona o računovodstvu i reviziji Republike Srpske  i Računovodstvene standarde u pogledu procjenjivanja i naplativosti potraživanja. Potraživanja koja po procjeni popisnih komisija i odluke Uprave nisu naplativa, otpis</w:t>
      </w:r>
      <w:r w:rsidR="0069387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uju se </w:t>
      </w:r>
      <w:proofErr w:type="gramStart"/>
      <w:r w:rsidR="0069387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="0069387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teret ostalih rashoda po godišnjem finansijskom izvještaju.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4.8. Akcijski kapital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Akcijski kapital, iskazuju se obične i prioritetne akcije s pravom učešća u upravljanju, pravom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učešće u dobitku akcionarskog društva i pravom na dio likvidacione mase u skladu s aktom o osnivanju.</w:t>
      </w:r>
    </w:p>
    <w:p w:rsidR="00290742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290742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290742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lastRenderedPageBreak/>
        <w:t>4.9. Rezerve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Rezerve, iskazuju se rezerve iz dobitka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(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zakonske, statutarne i druge).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Zakonske rezerve, iskazuju se obavezne rez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erve koje se formiraju u skladu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zakonom. Statutarne rezerve, iskazuju se rez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erve koje se formiraju u skladu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statutom. Revalorizacione rezerve, iskazuju se efekti promjene fer vrijednosti nekretnina, postrojenja, opreme, nematerijalnih ulaganja, učešća u kapitalu u stran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oj valuti i drugih finansijskih </w:t>
      </w:r>
      <w:r w:rsidR="002C36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instrumenata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Neraspoređeni dobitak, iskazuje se neraspoređeni dobitak prethodnih i tekuće godine.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4.10. Dugoročna rezervisanja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Dugoročna rezervisanja predstavljaju obavezu za pokriće troškova i ri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zika proisteklih iz prethodnog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poslovanja koji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će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se pojaviti u n</w:t>
      </w:r>
      <w:r w:rsidR="002C36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arednim godinama a odnose se na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:</w:t>
      </w:r>
    </w:p>
    <w:p w:rsidR="009321D0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-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rezervisanja za troškove u garantnom roku po osnovu prodatih učinaka za koje je obračunat prihod u punom iznosu.</w:t>
      </w:r>
    </w:p>
    <w:p w:rsidR="009321D0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-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rezervisanja za troškove obnavljanja prirodnih bogatstava,</w:t>
      </w:r>
    </w:p>
    <w:p w:rsidR="009321D0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-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rezervisanja za zadržane kaucije i depozite,</w:t>
      </w:r>
    </w:p>
    <w:p w:rsidR="009321D0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-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rezervisanja za troškove restrukturiranja,</w:t>
      </w:r>
    </w:p>
    <w:p w:rsidR="009321D0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-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rezervisanja za naknade i druge beneficije zaposlenih,</w:t>
      </w:r>
    </w:p>
    <w:p w:rsidR="009321D0" w:rsidRPr="009321D0" w:rsidRDefault="0029074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-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ostala rezervisanja za vjerovatne troškove.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Ova rezervis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anja društvo procjenjuje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bazi stvarno očekivanih troškova a ukida ih u momentu nastanka tro</w:t>
      </w:r>
      <w:r w:rsidR="0029074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škova koji terete rezervisanje.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Neiskorištena dugoročna rezervisanja za pokriće troškova ukidaju se u korist ostalih prihoda.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4.11.</w:t>
      </w:r>
      <w:r w:rsidR="00D2755F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Obaveze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Obaveze se priznaju u visini nominalne vrijednosti po dokumentaciji povjerilaca, a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osnovu izvršene poslovne ili finansijske transakcije.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Dugoročne obaveze iskazuju obaveze koje se mogu konvertovati u kapital, dugoročni krediti i zajmovi. Predstavljaju obaveze koje dospijevaju u roku dužem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godinu dana od dana bilansa.</w:t>
      </w:r>
    </w:p>
    <w:p w:rsidR="009321D0" w:rsidRPr="009321D0" w:rsidRDefault="00D2755F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Kratkoročne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finansijske obaveze, iskazuju se obaveze po kreditima i zajmovima, kratkoročne obaveze po fer vrijednosti kroz bilans uspjeha i ostale kratkoročne obaveze ko</w:t>
      </w:r>
      <w:r w:rsidR="002C36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je dospijevaju u roku do godinu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dana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od dana činidbe, odnosno od dana bilansa.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4.12. Poslovni prihodi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Osnov poslovanja privrednog društva predstav</w:t>
      </w:r>
      <w:r w:rsidR="00EA42E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ljaju poslovni prihodi (prihodi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prodaje proizvoda i usluga).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Priznavanje prihoda se vrši razgraničavanjem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periode u kojima su nastali, ako se m</w:t>
      </w:r>
      <w:r w:rsidR="002C36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ogu pouzdano izmjeriti i imaju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zadovoljavajući stepen izvjesnosti naplate.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Prihodi su prikazani po fakturisanoj vrijednosti, odnosno naplaćenim iznosima umanjenim za date popuste i poreze koji su naplaćeni za račun države.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4.13. Poslovni rashodi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Poslovni rashodi se priznaju u iznosu koji se odnosi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obračunski period, a vezani su za poslovanje Društva i ostvarenje prihoda. Rashodi se priznaju u bilansu uspjeha kada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lastRenderedPageBreak/>
        <w:t xml:space="preserve">nastane smanjenje budućih ekonomskih koristi, koje se odnose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smanjenje imovine ili na povećanje obaveza i mogu se pouzdano mjeriti.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227F27" w:rsidRDefault="00227F2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227F27" w:rsidRPr="009321D0" w:rsidRDefault="00227F2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4.14. Ostali rashodi po osnovu ispravke vrijednosti potraživanja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Društvo primjenjuje odredbe Zakona o računovodstvu i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reviziji Republike Srpske i Računovodstvene standard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 pogledu procjenjivanja i naplativosti potraživanja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. Potraživanja koja su strarija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60 dana, otpisuju se na teret ostalih rashoda.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4.15.</w:t>
      </w:r>
      <w:r w:rsidR="00D2755F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Preračunavanje sredstava i obaveza u stranim sredstvima plaćanja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Pozicije sredstava i obaveza u stranim sredstvima plaćanja su iskazane u konvertibi</w:t>
      </w:r>
      <w:r w:rsidR="002C36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lnim markama po zvaničnom kursu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dan bilansiranja. Poslovne promjene u stranim sredstvima plaćanja 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tokom godine preračunavaju se u konvertibilne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marke po zvaničnom kursu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dan promjene, a nastale pozitivne i negativne kursne razlike priznaju se u bilansu uspjeha.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4.16. Porezi i doprinosi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4.16.1. Tekući porez </w:t>
      </w:r>
      <w:proofErr w:type="gramStart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dobitak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Porez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dobitak predstavlja iznos koji se obračunava i plaća u skladu sa poreskim propisima Republike Srpske (Zakon o porezu na dobit).</w:t>
      </w:r>
    </w:p>
    <w:p w:rsidR="009321D0" w:rsidRPr="009321D0" w:rsidRDefault="00D2755F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Oporezivi dobitak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prikazan u poreskom bilansu uključuje dobitak prikazan po zvaničnom bilansu uspjeha korigovan za stalne rizike definisane poreskim propisima Republike Srpske.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Ove korekcije se odnose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isključivanje troškova koji se ne priznaju i umanjenje za određena ulaganja u osnovna sredstva i druge plasmane izvršene u toku godine.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Po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reski propisi Republike Srpske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ne priznaju privremene razlike i shodno tome ne priznaju razgraničene obaveze po osnovu poreza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dobitak.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Poreski propisi Republike Srpske ne predviđaju mogućnost da se poreski gubici iz tekuće godine - perioda koriste kao osnova za povraćaj poreza plaćenog u prethodnim periodima.</w:t>
      </w:r>
    </w:p>
    <w:p w:rsidR="00693876" w:rsidRDefault="0069387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693876" w:rsidRPr="009321D0" w:rsidRDefault="00693876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4.16.2.</w:t>
      </w:r>
      <w:r w:rsidR="002C365F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Porezi i doprinosi koji ne zavise </w:t>
      </w:r>
      <w:proofErr w:type="gramStart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rezultata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Porezi i doprinosi koji ne zavise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rezultata poslovanja predstavljaju plaćanja prema važećim republičkim i opštinskim propisima radi finansiranja raznih komunalnih i republičkih potreba. Evidentiraju se u okviru ostalih poslovnih rashoda.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4.16.3. Porez </w:t>
      </w:r>
      <w:proofErr w:type="gramStart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>na</w:t>
      </w:r>
      <w:proofErr w:type="gramEnd"/>
      <w:r w:rsidRPr="009321D0"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  <w:t xml:space="preserve"> dodanu vrijednost</w:t>
      </w:r>
    </w:p>
    <w:p w:rsidR="009321D0" w:rsidRPr="009321D0" w:rsidRDefault="00D2755F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Zakonom o porezu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dodanu vrijednost, uvedena je obaveza i regulisan sistem obračuna i plaćanja poreza na dodanu vrijednost na teritoriji BiH, čime je zamijenjen sistem oporezivanja primjenom poreza na promet proizvoda i usluga.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0259F9" w:rsidRDefault="000259F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0259F9" w:rsidRDefault="000259F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i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lastRenderedPageBreak/>
        <w:t>5. POJEDINAČNE NOTE</w:t>
      </w:r>
    </w:p>
    <w:p w:rsidR="009321D0" w:rsidRPr="009321D0" w:rsidRDefault="009321D0" w:rsidP="009321D0">
      <w:pPr>
        <w:keepNext/>
        <w:numPr>
          <w:ilvl w:val="0"/>
          <w:numId w:val="16"/>
        </w:numPr>
        <w:spacing w:before="240" w:after="60" w:line="240" w:lineRule="auto"/>
        <w:jc w:val="both"/>
        <w:outlineLvl w:val="1"/>
        <w:rPr>
          <w:rFonts w:ascii="Palatino Linotype" w:eastAsia="Times New Roman" w:hAnsi="Palatino Linotype" w:cs="Calibri"/>
          <w:b/>
          <w:bCs/>
          <w:i/>
          <w:snapToGrid w:val="0"/>
          <w:sz w:val="24"/>
          <w:szCs w:val="24"/>
          <w:lang w:val="bs-Latn-BA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4"/>
          <w:lang w:val="en-US"/>
        </w:rPr>
        <w:t>Nota broj 1 - Aktiva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Strukturu ukupn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e imovine Društva 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ine: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ab/>
      </w:r>
    </w:p>
    <w:p w:rsidR="005F3F27" w:rsidRDefault="005F3F2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110"/>
        <w:gridCol w:w="1296"/>
        <w:gridCol w:w="1534"/>
        <w:gridCol w:w="1140"/>
        <w:gridCol w:w="1200"/>
        <w:gridCol w:w="1360"/>
      </w:tblGrid>
      <w:tr w:rsidR="005F3F27" w:rsidRPr="005F3F27" w:rsidTr="005F3F27">
        <w:trPr>
          <w:trHeight w:val="660"/>
        </w:trPr>
        <w:tc>
          <w:tcPr>
            <w:tcW w:w="3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IMOVINA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5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31.12.2023.</w:t>
            </w:r>
          </w:p>
        </w:tc>
        <w:tc>
          <w:tcPr>
            <w:tcW w:w="11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3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5F3F27" w:rsidRPr="005F3F27" w:rsidTr="005F3F27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Stalna imovina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61.256.239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59.441.882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83,39%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83,17%</w:t>
            </w:r>
          </w:p>
        </w:tc>
      </w:tr>
      <w:tr w:rsidR="005F3F27" w:rsidRPr="005F3F27" w:rsidTr="005F3F27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Tekuća imovina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11.290.984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9.784.534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15,37%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13,69%</w:t>
            </w:r>
          </w:p>
        </w:tc>
      </w:tr>
      <w:tr w:rsidR="005F3F27" w:rsidRPr="005F3F27" w:rsidTr="005F3F27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POSLOVNA AKTIVA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72.547.223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69.226.416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98,76%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96,86%</w:t>
            </w:r>
          </w:p>
        </w:tc>
      </w:tr>
      <w:tr w:rsidR="005F3F27" w:rsidRPr="005F3F27" w:rsidTr="005F3F27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Vanbilansna aktiva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912.897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2.242.758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3,14%</w:t>
            </w:r>
          </w:p>
        </w:tc>
      </w:tr>
      <w:tr w:rsidR="005F3F27" w:rsidRPr="005F3F27" w:rsidTr="005F3F27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73.460.120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71.469.174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</w:tbl>
    <w:p w:rsidR="005F3F27" w:rsidRDefault="005F3F2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Visoko učešće staln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u ukupn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oj imovini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u 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2024. godini 83,39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, a u 202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. godini 8</w:t>
      </w:r>
      <w:r w:rsidR="004E00D1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,</w:t>
      </w:r>
      <w:r w:rsidR="006616DF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1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7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%,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u ci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lj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u odr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ž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ava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a povo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lj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ne dugoro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ne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kratkoro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ne finansijske ravnote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ž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,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zaht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jeva od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Društva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da odr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ž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ava u istoj mjeri 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šć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 trajnih i dugoro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nih izvora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sredstava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u ukupnim izvorima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, a posebno održavanje vlastitih izvora sredstava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9321D0" w:rsidRP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>Nota broj 2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 xml:space="preserve"> - Stalna imovina </w:t>
      </w:r>
    </w:p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Struktur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u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staln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e imovine Društva 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in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:</w:t>
      </w:r>
    </w:p>
    <w:p w:rsidR="005F3F27" w:rsidRDefault="005F3F2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tbl>
      <w:tblPr>
        <w:tblW w:w="9709" w:type="dxa"/>
        <w:tblLook w:val="04A0" w:firstRow="1" w:lastRow="0" w:firstColumn="1" w:lastColumn="0" w:noHBand="0" w:noVBand="1"/>
      </w:tblPr>
      <w:tblGrid>
        <w:gridCol w:w="3381"/>
        <w:gridCol w:w="1296"/>
        <w:gridCol w:w="1356"/>
        <w:gridCol w:w="1130"/>
        <w:gridCol w:w="1195"/>
        <w:gridCol w:w="1351"/>
      </w:tblGrid>
      <w:tr w:rsidR="005F3F27" w:rsidRPr="005F3F27" w:rsidTr="000E71B0">
        <w:trPr>
          <w:trHeight w:val="660"/>
        </w:trPr>
        <w:tc>
          <w:tcPr>
            <w:tcW w:w="3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STALNA  IMOVINA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31.12.2023.</w:t>
            </w:r>
          </w:p>
        </w:tc>
        <w:tc>
          <w:tcPr>
            <w:tcW w:w="11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1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5F3F27" w:rsidRPr="005F3F27" w:rsidTr="005F3F27">
        <w:trPr>
          <w:trHeight w:val="402"/>
        </w:trPr>
        <w:tc>
          <w:tcPr>
            <w:tcW w:w="338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Nematerijalna sredstva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140.904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109.844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0,23%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0,18%</w:t>
            </w:r>
          </w:p>
        </w:tc>
      </w:tr>
      <w:tr w:rsidR="005F3F27" w:rsidRPr="005F3F27" w:rsidTr="005F3F27">
        <w:trPr>
          <w:trHeight w:val="402"/>
        </w:trPr>
        <w:tc>
          <w:tcPr>
            <w:tcW w:w="338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Zemljište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7.085.403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7.085.403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11,57%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11,92%</w:t>
            </w:r>
          </w:p>
        </w:tc>
      </w:tr>
      <w:tr w:rsidR="005F3F27" w:rsidRPr="005F3F27" w:rsidTr="005F3F27">
        <w:trPr>
          <w:trHeight w:val="402"/>
        </w:trPr>
        <w:tc>
          <w:tcPr>
            <w:tcW w:w="338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Građevinski objekti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37.549.124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36.752.598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61,30%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61,83%</w:t>
            </w:r>
          </w:p>
        </w:tc>
      </w:tr>
      <w:tr w:rsidR="005F3F27" w:rsidRPr="005F3F27" w:rsidTr="005F3F27">
        <w:trPr>
          <w:trHeight w:val="402"/>
        </w:trPr>
        <w:tc>
          <w:tcPr>
            <w:tcW w:w="338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Oprema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205.070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320.286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0,33%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0,54%</w:t>
            </w:r>
          </w:p>
        </w:tc>
      </w:tr>
      <w:tr w:rsidR="005F3F27" w:rsidRPr="005F3F27" w:rsidTr="005F3F27">
        <w:trPr>
          <w:trHeight w:val="675"/>
        </w:trPr>
        <w:tc>
          <w:tcPr>
            <w:tcW w:w="338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9255D6" w:rsidP="009255D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Avansi, </w:t>
            </w:r>
            <w:r w:rsidR="005F3F27"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nekret.postr.</w:t>
            </w: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="000E71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="000E71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5F3F27"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opr.</w:t>
            </w: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5F3F27"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u pripremi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16.223.738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15.121.751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26,49%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25,44%</w:t>
            </w:r>
          </w:p>
        </w:tc>
      </w:tr>
      <w:tr w:rsidR="005F3F27" w:rsidRPr="005F3F27" w:rsidTr="005F3F27">
        <w:trPr>
          <w:trHeight w:val="402"/>
        </w:trPr>
        <w:tc>
          <w:tcPr>
            <w:tcW w:w="338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Dugoročni finansijski plasmani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52.000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52.000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0,08%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0,09%</w:t>
            </w:r>
          </w:p>
        </w:tc>
      </w:tr>
      <w:tr w:rsidR="005F3F27" w:rsidRPr="005F3F27" w:rsidTr="005F3F27">
        <w:trPr>
          <w:trHeight w:val="402"/>
        </w:trPr>
        <w:tc>
          <w:tcPr>
            <w:tcW w:w="338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61.256.239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59.441.882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</w:tbl>
    <w:p w:rsidR="005F3F27" w:rsidRDefault="005F3F2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6B066E" w:rsidRDefault="006B066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U strukturi stalne imovine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Društva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 najve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 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šć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</w:t>
      </w:r>
      <w:r w:rsidR="00532AEB">
        <w:rPr>
          <w:rFonts w:ascii="Palatino Linotype" w:eastAsia="Times New Roman" w:hAnsi="Palatino Linotype" w:cs="Calibri"/>
          <w:snapToGrid w:val="0"/>
          <w:sz w:val="24"/>
          <w:szCs w:val="20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u 202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4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. godini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imaju gra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đ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evinsk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i objekti </w:t>
      </w:r>
      <w:r w:rsidR="00532AE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6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1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%, dok su u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202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>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bs-Latn-BA"/>
        </w:rPr>
        <w:t xml:space="preserve">.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godini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učestvovali </w:t>
      </w:r>
      <w:r w:rsidR="00532AE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sa 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61,83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%. </w:t>
      </w:r>
    </w:p>
    <w:p w:rsidR="00532AEB" w:rsidRDefault="00532AEB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C342E3" w:rsidRDefault="00C342E3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C342E3" w:rsidRDefault="00C342E3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C342E3" w:rsidRDefault="00C342E3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lastRenderedPageBreak/>
        <w:t>Nota broj 3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 xml:space="preserve"> - Tekuća sredstva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>Strukturu</w:t>
      </w:r>
      <w:r w:rsidR="00DF71F9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>teku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ih sredstava</w:t>
      </w:r>
      <w:r w:rsidR="002E06E1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>Dru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>tva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nb-NO"/>
        </w:rPr>
        <w:t>ine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 :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296"/>
        <w:gridCol w:w="1534"/>
        <w:gridCol w:w="1140"/>
        <w:gridCol w:w="1200"/>
        <w:gridCol w:w="1360"/>
      </w:tblGrid>
      <w:tr w:rsidR="005F3F27" w:rsidRPr="005F3F27" w:rsidTr="001F0FD1">
        <w:trPr>
          <w:trHeight w:val="660"/>
        </w:trPr>
        <w:tc>
          <w:tcPr>
            <w:tcW w:w="316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TEKUĆA IMOVINA</w:t>
            </w:r>
          </w:p>
        </w:tc>
        <w:tc>
          <w:tcPr>
            <w:tcW w:w="124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54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31.12.2023.</w:t>
            </w:r>
          </w:p>
        </w:tc>
        <w:tc>
          <w:tcPr>
            <w:tcW w:w="114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36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5F3F27" w:rsidRPr="005F3F27" w:rsidTr="001F0FD1">
        <w:trPr>
          <w:trHeight w:val="402"/>
        </w:trPr>
        <w:tc>
          <w:tcPr>
            <w:tcW w:w="3160" w:type="dxa"/>
            <w:shd w:val="clear" w:color="auto" w:fill="auto"/>
            <w:vAlign w:val="center"/>
            <w:hideMark/>
          </w:tcPr>
          <w:p w:rsidR="005F3F27" w:rsidRPr="005F3F27" w:rsidRDefault="005F3F27" w:rsidP="00D2755F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Zalihe,</w:t>
            </w:r>
            <w:r w:rsidR="00D2755F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stal.sred.i sr.obus.posl.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638.621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618.130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5,66%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6,32%</w:t>
            </w:r>
          </w:p>
        </w:tc>
      </w:tr>
      <w:tr w:rsidR="005F3F27" w:rsidRPr="005F3F27" w:rsidTr="001F0FD1">
        <w:trPr>
          <w:trHeight w:val="402"/>
        </w:trPr>
        <w:tc>
          <w:tcPr>
            <w:tcW w:w="316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Dati avansi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206.481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67.083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3,08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1,83%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0,69%</w:t>
            </w:r>
          </w:p>
        </w:tc>
      </w:tr>
      <w:tr w:rsidR="005F3F27" w:rsidRPr="005F3F27" w:rsidTr="001F0FD1">
        <w:trPr>
          <w:trHeight w:val="402"/>
        </w:trPr>
        <w:tc>
          <w:tcPr>
            <w:tcW w:w="316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Kratkoročna potraživanja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1.646.314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917.917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1,79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14,58%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9,38%</w:t>
            </w:r>
          </w:p>
        </w:tc>
      </w:tr>
      <w:tr w:rsidR="005F3F27" w:rsidRPr="005F3F27" w:rsidTr="001F0FD1">
        <w:trPr>
          <w:trHeight w:val="402"/>
        </w:trPr>
        <w:tc>
          <w:tcPr>
            <w:tcW w:w="3160" w:type="dxa"/>
            <w:shd w:val="clear" w:color="auto" w:fill="auto"/>
            <w:vAlign w:val="center"/>
            <w:hideMark/>
          </w:tcPr>
          <w:p w:rsidR="005F3F27" w:rsidRPr="005F3F27" w:rsidRDefault="005F3F27" w:rsidP="00EA42E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Ostali kratkoročni plasmani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2.100.000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2.100.000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18,60%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21,46%</w:t>
            </w:r>
          </w:p>
        </w:tc>
      </w:tr>
      <w:tr w:rsidR="005F3F27" w:rsidRPr="005F3F27" w:rsidTr="001F0FD1">
        <w:trPr>
          <w:trHeight w:val="402"/>
        </w:trPr>
        <w:tc>
          <w:tcPr>
            <w:tcW w:w="316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Gotovina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6.293.780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5.735.718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55,74%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58,62%</w:t>
            </w:r>
          </w:p>
        </w:tc>
      </w:tr>
      <w:tr w:rsidR="005F3F27" w:rsidRPr="005F3F27" w:rsidTr="001F0FD1">
        <w:trPr>
          <w:trHeight w:val="402"/>
        </w:trPr>
        <w:tc>
          <w:tcPr>
            <w:tcW w:w="316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Ostala tekuća sredstva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405.788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345.686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1,17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3,59%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3,53%</w:t>
            </w:r>
          </w:p>
        </w:tc>
      </w:tr>
      <w:tr w:rsidR="005F3F27" w:rsidRPr="005F3F27" w:rsidTr="001F0FD1">
        <w:trPr>
          <w:trHeight w:val="402"/>
        </w:trPr>
        <w:tc>
          <w:tcPr>
            <w:tcW w:w="316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24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11.290.984</w:t>
            </w:r>
          </w:p>
        </w:tc>
        <w:tc>
          <w:tcPr>
            <w:tcW w:w="154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9.784.534</w:t>
            </w:r>
          </w:p>
        </w:tc>
        <w:tc>
          <w:tcPr>
            <w:tcW w:w="1140" w:type="dxa"/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1,15</w:t>
            </w:r>
          </w:p>
        </w:tc>
        <w:tc>
          <w:tcPr>
            <w:tcW w:w="1200" w:type="dxa"/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60" w:type="dxa"/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</w:tbl>
    <w:p w:rsidR="005F3F27" w:rsidRDefault="005F3F2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Zalihe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trgovačke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robe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priznaju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po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nabavnoj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vrijednosti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ili</w:t>
      </w:r>
      <w:proofErr w:type="gramEnd"/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neto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prodajnoj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vrijednosti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zavisnosti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toga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koja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je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ove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dvije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vrijednosti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niža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Zalihe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materijala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goriva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i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maziva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rezervnih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dijelova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,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HTZ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opreme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1575C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i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auto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guma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vode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se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po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nabavnoj</w:t>
      </w:r>
      <w:r w:rsidR="003E6B8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vrijednosti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Nabavna vrijednost uključuje vrijednost po fakturi dobavljača, transportne i zavisne troškove.</w:t>
      </w:r>
    </w:p>
    <w:p w:rsidR="009321D0" w:rsidRPr="009321D0" w:rsidRDefault="00D2755F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Sitan 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inventar otpisuje se 100% po stavljanju u upotrebu, osim sitnog inventara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zalihama </w:t>
      </w:r>
      <w:r w:rsidR="00A45D5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a koji</w:t>
      </w:r>
      <w:r w:rsidR="00E421F6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je zaduženo </w:t>
      </w:r>
      <w:r w:rsidR="00A45D5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odgovorno lice u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magacin</w:t>
      </w:r>
      <w:r w:rsidR="00A45D52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u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. 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Potraživanja </w:t>
      </w:r>
      <w:proofErr w:type="gramStart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od</w:t>
      </w:r>
      <w:proofErr w:type="gramEnd"/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kupaca ispravljaju se ukoliko nisu naplaćena prema procjeni komisije i po odluci Uprave Društva.</w:t>
      </w:r>
    </w:p>
    <w:p w:rsidR="0004287A" w:rsidRDefault="0004287A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Obračun izlaza zaliha (materijala, proizvoda i robe) vrši se po prosječnim cijenama.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Vrijednost zaliha učinaka sadrži i troškove kupovine, prodaje i finansiranja.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Gotovina i ekvivalenti gotovine sastoje se od novca u blagajni i novca na bankovnim računima. </w:t>
      </w:r>
    </w:p>
    <w:p w:rsidR="00C342E3" w:rsidRPr="009321D0" w:rsidRDefault="00C342E3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Svoje finansijsko poslovanje Dru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š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tvo obav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lj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a preko slede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ć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ih ra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č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una: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 xml:space="preserve">567 543 1100 3796 43 </w:t>
      </w:r>
      <w:r w:rsidR="001A395A">
        <w:rPr>
          <w:rFonts w:ascii="Palatino Linotype" w:eastAsia="Times New Roman" w:hAnsi="Palatino Linotype" w:cs="Calibri"/>
          <w:snapToGrid w:val="0"/>
          <w:sz w:val="24"/>
          <w:szCs w:val="20"/>
        </w:rPr>
        <w:t>Atos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bank (glavni račun)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161 040 0008 6600 54 Raiffeisen banka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555 008 0002 2363 49 Nova banka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551 025 0000 5778 46Uni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C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sr-Cyrl-CS"/>
        </w:rPr>
        <w:t>redit banka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562 099 0000 7332 32 NLB banka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552 008 0000 7527 79 Addiko banka</w:t>
      </w:r>
    </w:p>
    <w:p w:rsidR="00C342E3" w:rsidRDefault="00C342E3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371A47" w:rsidRDefault="00371A4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371A47" w:rsidRDefault="00371A4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371A47" w:rsidRDefault="00371A4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371A47" w:rsidRDefault="00371A4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371A47" w:rsidRPr="009321D0" w:rsidRDefault="00371A4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</w:pPr>
    </w:p>
    <w:p w:rsidR="009321D0" w:rsidRPr="0003130E" w:rsidRDefault="009321D0" w:rsidP="00F0738B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pl-PL"/>
        </w:rPr>
      </w:pPr>
      <w:r w:rsidRPr="0003130E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lastRenderedPageBreak/>
        <w:t xml:space="preserve">Nota broj </w:t>
      </w:r>
      <w:r w:rsidRPr="0003130E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pl-PL"/>
        </w:rPr>
        <w:t>4 - Kapital i rezervisanja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Strukturu kapitala Društva čini: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1296"/>
        <w:gridCol w:w="1533"/>
        <w:gridCol w:w="1140"/>
        <w:gridCol w:w="1200"/>
        <w:gridCol w:w="1360"/>
      </w:tblGrid>
      <w:tr w:rsidR="005F3F27" w:rsidRPr="005F3F27" w:rsidTr="00371A47">
        <w:trPr>
          <w:trHeight w:val="660"/>
        </w:trPr>
        <w:tc>
          <w:tcPr>
            <w:tcW w:w="316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KAPITAL</w:t>
            </w:r>
          </w:p>
        </w:tc>
        <w:tc>
          <w:tcPr>
            <w:tcW w:w="124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54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31.12.2023.</w:t>
            </w:r>
          </w:p>
        </w:tc>
        <w:tc>
          <w:tcPr>
            <w:tcW w:w="114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36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5F3F27" w:rsidRPr="005F3F27" w:rsidTr="00371A47">
        <w:trPr>
          <w:trHeight w:val="360"/>
        </w:trPr>
        <w:tc>
          <w:tcPr>
            <w:tcW w:w="316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Osnovni kapital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33.600.177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33.600.177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50,12%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53,06%</w:t>
            </w:r>
          </w:p>
        </w:tc>
      </w:tr>
      <w:tr w:rsidR="005F3F27" w:rsidRPr="005F3F27" w:rsidTr="00371A47">
        <w:trPr>
          <w:trHeight w:val="360"/>
        </w:trPr>
        <w:tc>
          <w:tcPr>
            <w:tcW w:w="316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Rezerve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5.562.140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5.562.140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8,30%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8,78%</w:t>
            </w:r>
          </w:p>
        </w:tc>
      </w:tr>
      <w:tr w:rsidR="005F3F27" w:rsidRPr="005F3F27" w:rsidTr="00371A47">
        <w:trPr>
          <w:trHeight w:val="360"/>
        </w:trPr>
        <w:tc>
          <w:tcPr>
            <w:tcW w:w="316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Revalorizacione rezerve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5.258.643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5.258.643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7,84%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8,30%</w:t>
            </w:r>
          </w:p>
        </w:tc>
      </w:tr>
      <w:tr w:rsidR="005F3F27" w:rsidRPr="005F3F27" w:rsidTr="00371A47">
        <w:trPr>
          <w:trHeight w:val="360"/>
        </w:trPr>
        <w:tc>
          <w:tcPr>
            <w:tcW w:w="316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Neraspoređeni dobitak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22.613.339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18.905.679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33,73%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29,85%</w:t>
            </w:r>
          </w:p>
        </w:tc>
      </w:tr>
      <w:tr w:rsidR="005F3F27" w:rsidRPr="005F3F27" w:rsidTr="00371A47">
        <w:trPr>
          <w:trHeight w:val="360"/>
        </w:trPr>
        <w:tc>
          <w:tcPr>
            <w:tcW w:w="316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24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67.034.299</w:t>
            </w:r>
          </w:p>
        </w:tc>
        <w:tc>
          <w:tcPr>
            <w:tcW w:w="1540" w:type="dxa"/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63.326.639</w:t>
            </w:r>
          </w:p>
        </w:tc>
        <w:tc>
          <w:tcPr>
            <w:tcW w:w="1140" w:type="dxa"/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1,06</w:t>
            </w:r>
          </w:p>
        </w:tc>
        <w:tc>
          <w:tcPr>
            <w:tcW w:w="1200" w:type="dxa"/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60" w:type="dxa"/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</w:tbl>
    <w:p w:rsidR="005F3F27" w:rsidRDefault="005F3F27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5F3F27" w:rsidRPr="009321D0" w:rsidRDefault="005F3F27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7E03E3" w:rsidRDefault="009321D0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 toku 202</w:t>
      </w:r>
      <w:r w:rsidR="005F3F2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4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.godine kapital je povećan za iznos neto dobiti</w:t>
      </w:r>
      <w:r w:rsidR="0004287A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tekućeg perioda</w:t>
      </w:r>
      <w:r w:rsidR="006A651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  <w:r w:rsidR="004B31C5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</w:p>
    <w:p w:rsidR="005A0425" w:rsidRDefault="005A0425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tbl>
      <w:tblPr>
        <w:tblW w:w="9427" w:type="dxa"/>
        <w:tblLook w:val="04A0" w:firstRow="1" w:lastRow="0" w:firstColumn="1" w:lastColumn="0" w:noHBand="0" w:noVBand="1"/>
      </w:tblPr>
      <w:tblGrid>
        <w:gridCol w:w="3175"/>
        <w:gridCol w:w="1325"/>
        <w:gridCol w:w="1416"/>
        <w:gridCol w:w="1101"/>
        <w:gridCol w:w="1205"/>
        <w:gridCol w:w="1205"/>
      </w:tblGrid>
      <w:tr w:rsidR="007E03E3" w:rsidRPr="007E03E3" w:rsidTr="002A65EB">
        <w:trPr>
          <w:trHeight w:val="624"/>
        </w:trPr>
        <w:tc>
          <w:tcPr>
            <w:tcW w:w="3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REZERVISANJA I ODLOŽENE PORESKE OBAVEZE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E03E3" w:rsidRPr="007E03E3" w:rsidRDefault="00025C2C" w:rsidP="000745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</w:rPr>
              <w:t>3</w:t>
            </w:r>
            <w:r w:rsidR="00074533">
              <w:rPr>
                <w:rFonts w:ascii="Palatino Linotype" w:eastAsia="Times New Roman" w:hAnsi="Palatino Linotype" w:cs="Times New Roman"/>
                <w:bCs/>
                <w:color w:val="000000"/>
              </w:rPr>
              <w:t>0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</w:rPr>
              <w:t>.0</w:t>
            </w:r>
            <w:r w:rsidR="00074533">
              <w:rPr>
                <w:rFonts w:ascii="Palatino Linotype" w:eastAsia="Times New Roman" w:hAnsi="Palatino Linotype" w:cs="Times New Roman"/>
                <w:bCs/>
                <w:color w:val="000000"/>
              </w:rPr>
              <w:t>6</w:t>
            </w:r>
            <w:r w:rsidR="005F3F27">
              <w:rPr>
                <w:rFonts w:ascii="Palatino Linotype" w:eastAsia="Times New Roman" w:hAnsi="Palatino Linotype" w:cs="Times New Roman"/>
                <w:bCs/>
                <w:color w:val="000000"/>
              </w:rPr>
              <w:t>.2024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</w:rPr>
              <w:t>.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E03E3" w:rsidRPr="007E03E3" w:rsidRDefault="005F3F27" w:rsidP="000745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</w:rPr>
              <w:t>30.06.2023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E03E3" w:rsidRPr="007E03E3" w:rsidRDefault="007E03E3" w:rsidP="007E03E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Indeks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E03E3" w:rsidRPr="007E03E3" w:rsidRDefault="007E03E3" w:rsidP="005A042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Struktura 202</w:t>
            </w:r>
            <w:r w:rsidR="005A0425">
              <w:rPr>
                <w:rFonts w:ascii="Palatino Linotype" w:eastAsia="Times New Roman" w:hAnsi="Palatino Linotype" w:cs="Times New Roman"/>
                <w:bCs/>
                <w:color w:val="000000"/>
              </w:rPr>
              <w:t>3</w:t>
            </w: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.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E03E3" w:rsidRPr="007E03E3" w:rsidRDefault="007E03E3" w:rsidP="005A042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Struktura 202</w:t>
            </w:r>
            <w:r w:rsidR="005A0425">
              <w:rPr>
                <w:rFonts w:ascii="Palatino Linotype" w:eastAsia="Times New Roman" w:hAnsi="Palatino Linotype" w:cs="Times New Roman"/>
                <w:bCs/>
                <w:color w:val="000000"/>
              </w:rPr>
              <w:t>2</w:t>
            </w: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.</w:t>
            </w:r>
          </w:p>
        </w:tc>
      </w:tr>
      <w:tr w:rsidR="007E03E3" w:rsidRPr="007E03E3" w:rsidTr="002A65EB">
        <w:trPr>
          <w:trHeight w:val="318"/>
        </w:trPr>
        <w:tc>
          <w:tcPr>
            <w:tcW w:w="31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Rezervisanja za beneficije zaposlenih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295.796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295.797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1.00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42,51%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42,51%</w:t>
            </w:r>
          </w:p>
        </w:tc>
      </w:tr>
      <w:tr w:rsidR="007E03E3" w:rsidRPr="007E03E3" w:rsidTr="002A65EB">
        <w:trPr>
          <w:trHeight w:val="305"/>
        </w:trPr>
        <w:tc>
          <w:tcPr>
            <w:tcW w:w="3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</w:p>
        </w:tc>
      </w:tr>
      <w:tr w:rsidR="007E03E3" w:rsidRPr="007E03E3" w:rsidTr="002A65EB">
        <w:trPr>
          <w:trHeight w:val="318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Odložene poreske obaveze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399.968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color w:val="000000"/>
              </w:rPr>
              <w:t>399.968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1.00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57,49%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57,49%</w:t>
            </w:r>
          </w:p>
        </w:tc>
      </w:tr>
      <w:tr w:rsidR="007E03E3" w:rsidRPr="007E03E3" w:rsidTr="002A65EB">
        <w:trPr>
          <w:trHeight w:val="318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Ukupno: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695.764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695.765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1.00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100,00%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E03E3" w:rsidRPr="007E03E3" w:rsidRDefault="007E03E3" w:rsidP="007E03E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Cs/>
                <w:color w:val="000000"/>
              </w:rPr>
            </w:pPr>
            <w:r w:rsidRPr="007E03E3">
              <w:rPr>
                <w:rFonts w:ascii="Palatino Linotype" w:eastAsia="Times New Roman" w:hAnsi="Palatino Linotype" w:cs="Times New Roman"/>
                <w:bCs/>
                <w:color w:val="000000"/>
              </w:rPr>
              <w:t>100,00%</w:t>
            </w:r>
          </w:p>
        </w:tc>
      </w:tr>
    </w:tbl>
    <w:p w:rsidR="007E03E3" w:rsidRDefault="007E03E3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7E03E3" w:rsidRDefault="00C25F46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Rezervisanja </w:t>
      </w:r>
      <w:r w:rsidR="00C17B4D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za penzionisanje i ostale beneficije zaposlenih 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su ostala na istom </w:t>
      </w:r>
      <w:r w:rsidR="00C17B4D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nivou kao i u prethodnoj godini.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Društvo nije radilo novu procjenu zbog značajnog nivoa rezervisanja i malog broja planiranih penzionisanja u 202</w:t>
      </w:r>
      <w:r w:rsidR="00B73AC4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4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 godini</w:t>
      </w:r>
      <w:r w:rsidR="00737603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, s jedne strane i povoljne starosne strukture zaposlenih s druge strane.</w:t>
      </w:r>
    </w:p>
    <w:p w:rsidR="002F4F16" w:rsidRDefault="00471BDE" w:rsidP="00471BDE">
      <w:pPr>
        <w:shd w:val="clear" w:color="auto" w:fill="FFFFFF"/>
        <w:tabs>
          <w:tab w:val="left" w:pos="1185"/>
        </w:tabs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ab/>
      </w:r>
    </w:p>
    <w:p w:rsidR="002F4F16" w:rsidRDefault="002F4F16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5 – Obaveze</w:t>
      </w:r>
    </w:p>
    <w:p w:rsidR="00CC5056" w:rsidRDefault="00CC5056" w:rsidP="00CC5056">
      <w:p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160"/>
        <w:gridCol w:w="1240"/>
        <w:gridCol w:w="1540"/>
        <w:gridCol w:w="1140"/>
        <w:gridCol w:w="1200"/>
        <w:gridCol w:w="1360"/>
      </w:tblGrid>
      <w:tr w:rsidR="005F3F27" w:rsidRPr="005F3F27" w:rsidTr="005F3F27">
        <w:trPr>
          <w:trHeight w:val="66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OBAVEZE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31.12.2023.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5F3F27" w:rsidRPr="005F3F27" w:rsidTr="005F3F27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Dugoročne obaveze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1.413.014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1.413.014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29,33%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27,15%</w:t>
            </w:r>
          </w:p>
        </w:tc>
      </w:tr>
      <w:tr w:rsidR="005F3F27" w:rsidRPr="005F3F27" w:rsidTr="005F3F27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Kratkoročne obaveze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3.404.146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3.790.999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70,67%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72,85%</w:t>
            </w:r>
          </w:p>
        </w:tc>
      </w:tr>
      <w:tr w:rsidR="005F3F27" w:rsidRPr="005F3F27" w:rsidTr="005F3F27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4.817.160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5.204.013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0,93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F3F27" w:rsidRPr="005F3F27" w:rsidRDefault="005F3F27" w:rsidP="005F3F27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5F3F2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</w:tbl>
    <w:p w:rsidR="005F3F27" w:rsidRDefault="005F3F27" w:rsidP="00CC5056">
      <w:p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</w:p>
    <w:p w:rsidR="005F3F27" w:rsidRDefault="005F3F27" w:rsidP="00CC5056">
      <w:p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</w:p>
    <w:p w:rsidR="00CC5056" w:rsidRDefault="00CC5056" w:rsidP="00CC5056">
      <w:p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5.1. Dugoročne obaveze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Struktura obaveza: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ab/>
      </w:r>
    </w:p>
    <w:p w:rsidR="005F3F27" w:rsidRDefault="005F3F27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240"/>
        <w:gridCol w:w="1540"/>
        <w:gridCol w:w="1140"/>
        <w:gridCol w:w="1200"/>
        <w:gridCol w:w="1360"/>
      </w:tblGrid>
      <w:tr w:rsidR="00153D29" w:rsidRPr="00153D29" w:rsidTr="00371A47">
        <w:trPr>
          <w:trHeight w:val="660"/>
        </w:trPr>
        <w:tc>
          <w:tcPr>
            <w:tcW w:w="3160" w:type="dxa"/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DUGOROČNE OBAVEZE</w:t>
            </w:r>
          </w:p>
        </w:tc>
        <w:tc>
          <w:tcPr>
            <w:tcW w:w="1240" w:type="dxa"/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540" w:type="dxa"/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31.12.2023.</w:t>
            </w:r>
          </w:p>
        </w:tc>
        <w:tc>
          <w:tcPr>
            <w:tcW w:w="1140" w:type="dxa"/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360" w:type="dxa"/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153D29" w:rsidRPr="00153D29" w:rsidTr="00371A47">
        <w:trPr>
          <w:trHeight w:val="360"/>
        </w:trPr>
        <w:tc>
          <w:tcPr>
            <w:tcW w:w="3160" w:type="dxa"/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Dugoročni kredit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1.413.014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1.413.014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0,00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  <w:tr w:rsidR="00153D29" w:rsidRPr="00153D29" w:rsidTr="00371A47">
        <w:trPr>
          <w:trHeight w:val="360"/>
        </w:trPr>
        <w:tc>
          <w:tcPr>
            <w:tcW w:w="3160" w:type="dxa"/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240" w:type="dxa"/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1.413.014</w:t>
            </w:r>
          </w:p>
        </w:tc>
        <w:tc>
          <w:tcPr>
            <w:tcW w:w="1540" w:type="dxa"/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1.413.014</w:t>
            </w:r>
          </w:p>
        </w:tc>
        <w:tc>
          <w:tcPr>
            <w:tcW w:w="1140" w:type="dxa"/>
            <w:shd w:val="clear" w:color="000000" w:fill="D9D9D9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0,00</w:t>
            </w:r>
          </w:p>
        </w:tc>
        <w:tc>
          <w:tcPr>
            <w:tcW w:w="1200" w:type="dxa"/>
            <w:shd w:val="clear" w:color="000000" w:fill="D9D9D9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60" w:type="dxa"/>
            <w:shd w:val="clear" w:color="000000" w:fill="D9D9D9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</w:tbl>
    <w:p w:rsidR="009321D0" w:rsidRPr="009321D0" w:rsidRDefault="009321D0" w:rsidP="009321D0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5.2.Kratkoročne obaveze</w:t>
      </w: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  <w:t>Struktura obaveza:</w:t>
      </w: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  <w:tab/>
      </w:r>
    </w:p>
    <w:tbl>
      <w:tblPr>
        <w:tblW w:w="9235" w:type="dxa"/>
        <w:tblLook w:val="04A0" w:firstRow="1" w:lastRow="0" w:firstColumn="1" w:lastColumn="0" w:noHBand="0" w:noVBand="1"/>
      </w:tblPr>
      <w:tblGrid>
        <w:gridCol w:w="3224"/>
        <w:gridCol w:w="1176"/>
        <w:gridCol w:w="1407"/>
        <w:gridCol w:w="1134"/>
        <w:gridCol w:w="1147"/>
        <w:gridCol w:w="1147"/>
      </w:tblGrid>
      <w:tr w:rsidR="00153D29" w:rsidRPr="00153D29" w:rsidTr="003E201C">
        <w:trPr>
          <w:trHeight w:val="720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KRATKOROCNE OBAVEZE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31.12.2023.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153D29" w:rsidRPr="00153D29" w:rsidTr="003E201C">
        <w:trPr>
          <w:trHeight w:val="72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Dio dugoročnih obaveza koji dospjevaju do godinu dana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756.119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1.502.111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22,21%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39,62%</w:t>
            </w:r>
          </w:p>
        </w:tc>
      </w:tr>
      <w:tr w:rsidR="00153D29" w:rsidRPr="00153D29" w:rsidTr="003E201C">
        <w:trPr>
          <w:trHeight w:val="36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371A4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Obaveze za primljene avanse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152.205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183.935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0,83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4,47%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4,85%</w:t>
            </w:r>
          </w:p>
        </w:tc>
      </w:tr>
      <w:tr w:rsidR="00153D29" w:rsidRPr="00153D29" w:rsidTr="003E201C">
        <w:trPr>
          <w:trHeight w:val="72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371A4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Obaveze prema dobavljačima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883.367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423.512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2,09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25,95%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11,17%</w:t>
            </w:r>
          </w:p>
        </w:tc>
      </w:tr>
      <w:tr w:rsidR="00153D29" w:rsidRPr="00153D29" w:rsidTr="003E201C">
        <w:trPr>
          <w:trHeight w:val="72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Ob. za zarade i ostala lič.prim.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482.339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732.442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14,17%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19,32%</w:t>
            </w:r>
          </w:p>
        </w:tc>
      </w:tr>
      <w:tr w:rsidR="00153D29" w:rsidRPr="00153D29" w:rsidTr="003E201C">
        <w:trPr>
          <w:trHeight w:val="36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Obaveze za porez na dobit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47.968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46.026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1,41%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1,21%</w:t>
            </w:r>
          </w:p>
        </w:tc>
      </w:tr>
      <w:tr w:rsidR="00153D29" w:rsidRPr="00153D29" w:rsidTr="003E201C">
        <w:trPr>
          <w:trHeight w:val="36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Obaveze za PDV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208.433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65.425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3,19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6,12%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1,73%</w:t>
            </w:r>
          </w:p>
        </w:tc>
      </w:tr>
      <w:tr w:rsidR="00153D29" w:rsidRPr="00153D29" w:rsidTr="003E201C">
        <w:trPr>
          <w:trHeight w:val="36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Ostale obaveze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713.833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698.189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20,97%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18,42%</w:t>
            </w:r>
          </w:p>
        </w:tc>
      </w:tr>
      <w:tr w:rsidR="00153D29" w:rsidRPr="00153D29" w:rsidTr="003E201C">
        <w:trPr>
          <w:trHeight w:val="72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Pasivna vremenska razgraničenja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159.882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139.359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4,70%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3,68%</w:t>
            </w:r>
          </w:p>
        </w:tc>
      </w:tr>
      <w:tr w:rsidR="00153D29" w:rsidRPr="00153D29" w:rsidTr="003E201C">
        <w:trPr>
          <w:trHeight w:val="36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3.404.146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3.790.999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</w:tbl>
    <w:p w:rsidR="00153D29" w:rsidRDefault="00153D2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</w:p>
    <w:p w:rsidR="00153D29" w:rsidRPr="009321D0" w:rsidRDefault="00153D2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Usaglašenja obaveza su rađena tokom cijelog perioda. Sravnjenja nisu u potpunosti odrađena, najvećim dijelom zbog nemogućnosti uspostavljanja kontakta</w:t>
      </w:r>
      <w:r w:rsidR="00A90A85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sa kupcima koji imaju manje obaveze (</w:t>
      </w:r>
      <w:r w:rsidR="00DF1BC8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uglavnom </w:t>
      </w:r>
      <w:r w:rsidR="00A90A85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fizička lica)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</w:p>
    <w:p w:rsidR="007C5130" w:rsidRDefault="00F86373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Značajan p</w:t>
      </w:r>
      <w:r w:rsidR="007C513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rocenat naplate potraživanja potvrđuje da društvo vodi ispravnu politiku kako same prodaje tako i naplate potraživanja.</w:t>
      </w:r>
    </w:p>
    <w:p w:rsidR="000F20A1" w:rsidRDefault="000F20A1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</w:p>
    <w:p w:rsidR="00B70A38" w:rsidRDefault="00B70A38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Default="009321D0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 xml:space="preserve">6 - </w:t>
      </w:r>
      <w:r w:rsidRPr="009321D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Vanbilansna evidencija</w:t>
      </w:r>
    </w:p>
    <w:p w:rsidR="00665409" w:rsidRDefault="00665409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160"/>
        <w:gridCol w:w="1240"/>
        <w:gridCol w:w="1540"/>
        <w:gridCol w:w="1140"/>
        <w:gridCol w:w="1200"/>
        <w:gridCol w:w="1360"/>
      </w:tblGrid>
      <w:tr w:rsidR="00665409" w:rsidRPr="00665409" w:rsidTr="00665409">
        <w:trPr>
          <w:trHeight w:val="66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31.12.2023.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665409" w:rsidRPr="00665409" w:rsidTr="00665409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Tuđa roba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2.156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2.016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0,09%</w:t>
            </w:r>
          </w:p>
        </w:tc>
      </w:tr>
      <w:tr w:rsidR="00665409" w:rsidRPr="00665409" w:rsidTr="00665409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Zemljište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556.242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556.242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60,93%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24,80%</w:t>
            </w:r>
          </w:p>
        </w:tc>
      </w:tr>
      <w:tr w:rsidR="00665409" w:rsidRPr="00665409" w:rsidTr="00665409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Primljene mjenice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324.499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1.654.500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0,20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35,55%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73,77%</w:t>
            </w:r>
          </w:p>
        </w:tc>
      </w:tr>
      <w:tr w:rsidR="00665409" w:rsidRPr="00665409" w:rsidTr="00665409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Primljene garancije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3,29%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1,34%</w:t>
            </w:r>
          </w:p>
        </w:tc>
      </w:tr>
      <w:tr w:rsidR="00665409" w:rsidRPr="00665409" w:rsidTr="00665409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912.897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2.242.758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0,41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</w:tbl>
    <w:p w:rsidR="00665409" w:rsidRDefault="00665409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</w:p>
    <w:p w:rsidR="00665409" w:rsidRDefault="00665409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</w:p>
    <w:p w:rsidR="00665409" w:rsidRDefault="00665409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</w:p>
    <w:p w:rsidR="00665409" w:rsidRPr="009321D0" w:rsidRDefault="00665409" w:rsidP="009321D0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</w:pPr>
      <w:r w:rsidRPr="00DD0C5F">
        <w:rPr>
          <w:rFonts w:ascii="Palatino Linotype" w:eastAsia="Times New Roman" w:hAnsi="Palatino Linotype" w:cs="Calibri"/>
          <w:snapToGrid w:val="0"/>
          <w:color w:val="000000" w:themeColor="text1"/>
          <w:sz w:val="24"/>
          <w:szCs w:val="20"/>
          <w:lang w:val="de-DE"/>
        </w:rPr>
        <w:lastRenderedPageBreak/>
        <w:t xml:space="preserve">Najznačajnija stavka vanbilansne evidencije se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  <w:t xml:space="preserve">odnosi na vrijednost neuknjiženog  zemljišta, 556.242 KM,  primljene mjenice </w:t>
      </w:r>
      <w:r w:rsidR="00665409"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  <w:t>324.499 KM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  <w:t xml:space="preserve"> i  primljene garancije  u iznosu 30.000 KM.</w:t>
      </w:r>
    </w:p>
    <w:p w:rsidR="00BD3843" w:rsidRPr="009321D0" w:rsidRDefault="00BD3843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de-DE"/>
        </w:rPr>
      </w:pPr>
    </w:p>
    <w:p w:rsidR="009321D0" w:rsidRPr="009321D0" w:rsidRDefault="009321D0" w:rsidP="009321D0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7 – Ukupan prihod</w:t>
      </w: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Strukturu  prihoda Društva čini: </w:t>
      </w:r>
    </w:p>
    <w:p w:rsidR="00C75295" w:rsidRDefault="00C75295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153D29" w:rsidRDefault="00153D2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109"/>
        <w:gridCol w:w="1296"/>
        <w:gridCol w:w="1535"/>
        <w:gridCol w:w="1140"/>
        <w:gridCol w:w="1200"/>
        <w:gridCol w:w="1360"/>
      </w:tblGrid>
      <w:tr w:rsidR="00153D29" w:rsidRPr="00153D29" w:rsidTr="00153D29">
        <w:trPr>
          <w:trHeight w:val="66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PRIHODI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30.06.2023.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153D29" w:rsidRPr="00153D29" w:rsidTr="00153D29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Poslovni prihodi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11.862.548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9.893.358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99,00%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99,37%</w:t>
            </w:r>
          </w:p>
        </w:tc>
      </w:tr>
      <w:tr w:rsidR="00153D29" w:rsidRPr="00153D29" w:rsidTr="00153D29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Finansijski prihodi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65.696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44.826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0,55%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0,45%</w:t>
            </w:r>
          </w:p>
        </w:tc>
      </w:tr>
      <w:tr w:rsidR="00153D29" w:rsidRPr="00153D29" w:rsidTr="00153D29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Ostali prihodi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24.971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6.342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0,21%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0,06%</w:t>
            </w:r>
          </w:p>
        </w:tc>
      </w:tr>
      <w:tr w:rsidR="00153D29" w:rsidRPr="00153D29" w:rsidTr="00153D29">
        <w:trPr>
          <w:trHeight w:val="7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Prihodi od ispravki greša</w:t>
            </w:r>
            <w:r w:rsidR="00652E2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-</w:t>
            </w: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ka iz ranijih godina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29.209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11.988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2,437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0,12%</w:t>
            </w:r>
          </w:p>
        </w:tc>
      </w:tr>
      <w:tr w:rsidR="00153D29" w:rsidRPr="00153D29" w:rsidTr="00153D29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11.982.424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9.956.514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1,2035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D29" w:rsidRPr="00153D29" w:rsidRDefault="00153D29" w:rsidP="00153D2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153D2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</w:tbl>
    <w:p w:rsidR="00153D29" w:rsidRDefault="00153D2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153D29" w:rsidRDefault="00153D2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Ukupan prihod ZTC  Banja Vrućica</w:t>
      </w:r>
      <w:r w:rsidR="00153D2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u periodu 01.01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.202</w:t>
      </w:r>
      <w:r w:rsidR="00153D2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4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. godine do </w:t>
      </w:r>
      <w:r w:rsidR="003273A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30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.0</w:t>
      </w:r>
      <w:r w:rsidR="003273A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6</w:t>
      </w:r>
      <w:r w:rsidR="00153D2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.2024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godine iznosi </w:t>
      </w:r>
      <w:r w:rsidR="00153D2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11.982.424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KM, što je </w:t>
      </w:r>
      <w:r w:rsidR="00153D2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20,35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% </w:t>
      </w:r>
      <w:r w:rsidR="004F1CAA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više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u odnosu na upored</w:t>
      </w:r>
      <w:r w:rsidR="005F3EE8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i period.</w:t>
      </w:r>
    </w:p>
    <w:p w:rsidR="00795A69" w:rsidRDefault="00795A6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Poslovni prihod ZTC</w:t>
      </w:r>
      <w:r w:rsidR="007A73F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Banja</w:t>
      </w:r>
      <w:r w:rsidR="007A73F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Vrućica u periodu 01.01.202</w:t>
      </w:r>
      <w:r w:rsidR="002C36E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. godine do 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</w:t>
      </w:r>
      <w:r w:rsidR="004E07F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0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.0</w:t>
      </w:r>
      <w:r w:rsidR="004E07F7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6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.2023.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godine iznosi </w:t>
      </w:r>
      <w:r w:rsidR="00153D2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9.893.358</w:t>
      </w:r>
      <w:r w:rsidR="004E07F7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  <w:r w:rsidR="007A73F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KM što je,</w:t>
      </w:r>
      <w:r w:rsidR="00153D2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takođe 5,50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% u odnosu na isti period prethodne godine.</w:t>
      </w:r>
    </w:p>
    <w:p w:rsidR="00795A69" w:rsidRDefault="00795A69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Default="004F2A6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U 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strukturi prihoda 202</w:t>
      </w:r>
      <w:r w:rsidR="0066540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4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. 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g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odine</w:t>
      </w: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d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ominantnu poziciju zauzimaju poslovni prihodi sa učešćem 99,</w:t>
      </w:r>
      <w:r w:rsidR="0066540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00</w:t>
      </w:r>
      <w:r w:rsidR="00EB4DF6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%, što ukazuje da je Društvo maksimalno posvećeno obavljanju osnovne djelatnosti.</w:t>
      </w:r>
    </w:p>
    <w:p w:rsidR="00F67E0C" w:rsidRDefault="00F67E0C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C546CE" w:rsidRDefault="009321D0" w:rsidP="00E312A5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it-IT"/>
        </w:rPr>
      </w:pPr>
      <w:r w:rsidRPr="00C546CE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C546CE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8-Rashodi</w:t>
      </w:r>
    </w:p>
    <w:p w:rsidR="009321D0" w:rsidRDefault="009321D0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  <w:t>Struktura ukupnih rashoda:</w:t>
      </w:r>
    </w:p>
    <w:p w:rsidR="00665409" w:rsidRDefault="00665409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160"/>
        <w:gridCol w:w="1240"/>
        <w:gridCol w:w="1540"/>
        <w:gridCol w:w="1140"/>
        <w:gridCol w:w="1200"/>
        <w:gridCol w:w="1360"/>
      </w:tblGrid>
      <w:tr w:rsidR="00665409" w:rsidRPr="00665409" w:rsidTr="00665409">
        <w:trPr>
          <w:trHeight w:val="66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UKUPNI RASHODI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30.06.2023.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665409" w:rsidRPr="00665409" w:rsidTr="00665409">
        <w:trPr>
          <w:trHeight w:val="3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Poslovni rashodi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7.808.864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7.114.153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99,37%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99,61%</w:t>
            </w:r>
          </w:p>
        </w:tc>
      </w:tr>
      <w:tr w:rsidR="00665409" w:rsidRPr="00665409" w:rsidTr="00665409">
        <w:trPr>
          <w:trHeight w:val="3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Finansijski rashodi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10.211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9.874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0,13%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0,14%</w:t>
            </w:r>
          </w:p>
        </w:tc>
      </w:tr>
      <w:tr w:rsidR="00665409" w:rsidRPr="00665409" w:rsidTr="00665409">
        <w:trPr>
          <w:trHeight w:val="4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Ostali rashodi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6.039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526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11,48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0,08%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0,01%</w:t>
            </w:r>
          </w:p>
        </w:tc>
      </w:tr>
      <w:tr w:rsidR="00665409" w:rsidRPr="00665409" w:rsidTr="00665409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Ispravke grešaka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32.867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17.370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0,42%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0,24%</w:t>
            </w:r>
          </w:p>
        </w:tc>
      </w:tr>
      <w:tr w:rsidR="00665409" w:rsidRPr="00665409" w:rsidTr="00665409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Ukupno  rashodi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7.857.981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7.141.923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</w:tbl>
    <w:p w:rsidR="00133996" w:rsidRPr="00133996" w:rsidRDefault="00133996" w:rsidP="00133996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133996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U strukturi ukupnih rashoda dominantni su poslovni rashodi,</w:t>
      </w:r>
      <w:r w:rsidR="00744745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sa 9</w:t>
      </w:r>
      <w:r w:rsidR="00A7686A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9</w:t>
      </w:r>
      <w:r w:rsidR="00744745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,</w:t>
      </w:r>
      <w:r w:rsidR="006C4D64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37</w:t>
      </w:r>
      <w:r w:rsidR="00771C2A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%</w:t>
      </w:r>
      <w:r w:rsidRPr="00133996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što</w:t>
      </w:r>
      <w:r w:rsidR="00771C2A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 </w:t>
      </w:r>
      <w:r w:rsidR="00A7686A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>t</w:t>
      </w:r>
      <w:r w:rsidR="00771C2A">
        <w:rPr>
          <w:rFonts w:ascii="Palatino Linotype" w:eastAsia="Times New Roman" w:hAnsi="Palatino Linotype" w:cs="Calibri"/>
          <w:snapToGrid w:val="0"/>
          <w:sz w:val="24"/>
          <w:szCs w:val="20"/>
          <w:lang w:val="it-IT"/>
        </w:rPr>
        <w:t xml:space="preserve">akođe potvrđuje da </w:t>
      </w:r>
      <w:r w:rsidRPr="00133996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je Društvo maksimalno posvećeno obavljanju osnovne djelatnosti.</w:t>
      </w:r>
    </w:p>
    <w:p w:rsidR="00A86C72" w:rsidRDefault="00A86C72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</w:pPr>
    </w:p>
    <w:p w:rsidR="00B95FD4" w:rsidRDefault="00B95FD4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</w:pPr>
    </w:p>
    <w:p w:rsidR="00B95FD4" w:rsidRDefault="00B95FD4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it-IT"/>
        </w:rPr>
      </w:pPr>
    </w:p>
    <w:p w:rsidR="009321D0" w:rsidRDefault="009321D0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lang w:val="it-IT"/>
        </w:rPr>
      </w:pPr>
      <w:r w:rsidRPr="009321D0">
        <w:rPr>
          <w:rFonts w:ascii="Palatino Linotype" w:eastAsia="Times New Roman" w:hAnsi="Palatino Linotype" w:cs="Calibri"/>
          <w:b/>
          <w:snapToGrid w:val="0"/>
          <w:lang w:val="it-IT"/>
        </w:rPr>
        <w:lastRenderedPageBreak/>
        <w:t>Struktura poslovnih rashoda:</w:t>
      </w:r>
    </w:p>
    <w:p w:rsidR="00665409" w:rsidRDefault="00665409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lang w:val="it-IT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160"/>
        <w:gridCol w:w="1240"/>
        <w:gridCol w:w="1540"/>
        <w:gridCol w:w="1140"/>
        <w:gridCol w:w="1200"/>
        <w:gridCol w:w="1360"/>
      </w:tblGrid>
      <w:tr w:rsidR="00665409" w:rsidRPr="00665409" w:rsidTr="00665409">
        <w:trPr>
          <w:trHeight w:val="6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POSLOVNI RASHODI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30.06.2023.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665409" w:rsidRPr="00665409" w:rsidTr="00665409">
        <w:trPr>
          <w:trHeight w:val="57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52E2E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Nabavna vr</w:t>
            </w:r>
            <w:r w:rsidR="00652E2E">
              <w:rPr>
                <w:rFonts w:ascii="Palatino Linotype" w:eastAsia="Times New Roman" w:hAnsi="Palatino Linotype" w:cs="Calibri"/>
                <w:color w:val="000000"/>
                <w:lang w:val="en-US"/>
              </w:rPr>
              <w:t>.</w:t>
            </w: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prodate robe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429.110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345.668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5,50%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4,86%</w:t>
            </w:r>
          </w:p>
        </w:tc>
      </w:tr>
      <w:tr w:rsidR="00665409" w:rsidRPr="00665409" w:rsidTr="00665409">
        <w:trPr>
          <w:trHeight w:val="3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Troškovi materijala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2.173.460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1.761.040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27,83%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24,75%</w:t>
            </w:r>
          </w:p>
        </w:tc>
      </w:tr>
      <w:tr w:rsidR="00665409" w:rsidRPr="00665409" w:rsidTr="00665409">
        <w:trPr>
          <w:trHeight w:val="3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Troškovi energije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612.142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663.655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7,84%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9,33%</w:t>
            </w:r>
          </w:p>
        </w:tc>
      </w:tr>
      <w:tr w:rsidR="00665409" w:rsidRPr="00665409" w:rsidTr="00665409">
        <w:trPr>
          <w:trHeight w:val="3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Troškovi bruto zarada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3.152.352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2.823.367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40,37%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39,69%</w:t>
            </w:r>
          </w:p>
        </w:tc>
      </w:tr>
      <w:tr w:rsidR="00665409" w:rsidRPr="00665409" w:rsidTr="00665409">
        <w:trPr>
          <w:trHeight w:val="40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Troškovi proizvodnih usluga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459.733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405.128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5,89%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5,69%</w:t>
            </w:r>
          </w:p>
        </w:tc>
      </w:tr>
      <w:tr w:rsidR="00665409" w:rsidRPr="00665409" w:rsidTr="00665409">
        <w:trPr>
          <w:trHeight w:val="40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52E2E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Troškovi amortizacije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748.723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947.652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9,59%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13,32%</w:t>
            </w:r>
          </w:p>
        </w:tc>
      </w:tr>
      <w:tr w:rsidR="00665409" w:rsidRPr="00665409" w:rsidTr="00665409">
        <w:trPr>
          <w:trHeight w:val="40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Nematerijali  troškovi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161.981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108.465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2,07%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1,52%</w:t>
            </w:r>
          </w:p>
        </w:tc>
      </w:tr>
      <w:tr w:rsidR="00665409" w:rsidRPr="00665409" w:rsidTr="00665409">
        <w:trPr>
          <w:trHeight w:val="40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Troškovi poreza i doprinosa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bookmarkStart w:id="0" w:name="_GoBack"/>
            <w:bookmarkEnd w:id="0"/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71.363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59.178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0,91%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0,83%</w:t>
            </w:r>
          </w:p>
        </w:tc>
      </w:tr>
      <w:tr w:rsidR="00665409" w:rsidRPr="00665409" w:rsidTr="00665409">
        <w:trPr>
          <w:trHeight w:val="40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Ukupno poslovni rashodi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7.808.864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7.114.153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1,0977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409" w:rsidRPr="00665409" w:rsidRDefault="00665409" w:rsidP="00665409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665409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</w:tbl>
    <w:p w:rsidR="00665409" w:rsidRDefault="00665409" w:rsidP="009321D0">
      <w:pPr>
        <w:spacing w:after="0" w:line="240" w:lineRule="auto"/>
        <w:ind w:left="360"/>
        <w:jc w:val="both"/>
        <w:rPr>
          <w:rFonts w:ascii="Palatino Linotype" w:eastAsia="Times New Roman" w:hAnsi="Palatino Linotype" w:cs="Calibri"/>
          <w:b/>
          <w:snapToGrid w:val="0"/>
          <w:lang w:val="it-IT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highlight w:val="yellow"/>
          <w:lang w:val="pl-PL"/>
        </w:rPr>
      </w:pPr>
    </w:p>
    <w:p w:rsid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Najznačajnije učešće u poslovnim rashod</w:t>
      </w:r>
      <w:r w:rsidR="009E4745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ima imaju rashodi bruto plata</w:t>
      </w:r>
      <w:r w:rsidR="00A1022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</w:t>
      </w:r>
      <w:r w:rsidR="0066540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40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,</w:t>
      </w:r>
      <w:r w:rsidR="0066540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37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%, zatim troškovi materijala </w:t>
      </w:r>
      <w:r w:rsidR="006B34F6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i energije </w:t>
      </w:r>
      <w:r w:rsidR="0066540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35,67 </w:t>
      </w:r>
      <w:r w:rsidR="00A1022B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%</w:t>
      </w:r>
      <w:r w:rsidR="00024B44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i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troškovi amortizacije </w:t>
      </w:r>
      <w:r w:rsidR="00665409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9,59</w:t>
      </w:r>
      <w:r w:rsidR="00024B44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%</w:t>
      </w:r>
      <w:r w:rsidR="003E726C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</w:p>
    <w:p w:rsidR="00B34AD2" w:rsidRDefault="00B34AD2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Rast troškova materijala je djelimično uslovljen ras</w:t>
      </w:r>
      <w:r w:rsidR="005B51C2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tom cijena</w:t>
      </w:r>
      <w:r w:rsidR="001E53A8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 xml:space="preserve"> i drugim dijelom </w:t>
      </w:r>
      <w:r w:rsidR="00A8486E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zbog povećanog broja naoćenja</w:t>
      </w:r>
      <w:r w:rsidR="005B51C2"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  <w:t>.</w:t>
      </w:r>
    </w:p>
    <w:p w:rsidR="00A8486E" w:rsidRDefault="00A8486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A8486E" w:rsidRDefault="00A8486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A8486E" w:rsidRDefault="00A8486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A8486E" w:rsidRDefault="00A8486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pl-PL"/>
        </w:rPr>
      </w:pPr>
    </w:p>
    <w:p w:rsidR="009321D0" w:rsidRPr="009321D0" w:rsidRDefault="009321D0" w:rsidP="009321D0">
      <w:pPr>
        <w:numPr>
          <w:ilvl w:val="0"/>
          <w:numId w:val="16"/>
        </w:numPr>
        <w:tabs>
          <w:tab w:val="left" w:pos="938"/>
        </w:tabs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it-IT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9</w:t>
      </w:r>
    </w:p>
    <w:p w:rsidR="009321D0" w:rsidRPr="009321D0" w:rsidRDefault="00C546CE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pl-PL"/>
        </w:rPr>
      </w:pPr>
      <w:r>
        <w:rPr>
          <w:rFonts w:ascii="Palatino Linotype" w:eastAsia="Times New Roman" w:hAnsi="Palatino Linotype" w:cs="Calibri"/>
          <w:b/>
          <w:snapToGrid w:val="0"/>
          <w:sz w:val="24"/>
          <w:szCs w:val="20"/>
          <w:lang w:val="pl-PL"/>
        </w:rPr>
        <w:t xml:space="preserve">Dobit </w:t>
      </w:r>
    </w:p>
    <w:p w:rsidR="00C75295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lang w:val="pl-PL"/>
        </w:rPr>
      </w:pPr>
      <w:r w:rsidRPr="009321D0">
        <w:rPr>
          <w:rFonts w:ascii="Palatino Linotype" w:eastAsia="Times New Roman" w:hAnsi="Palatino Linotype" w:cs="Calibri"/>
          <w:snapToGrid w:val="0"/>
          <w:lang w:val="pl-PL"/>
        </w:rPr>
        <w:t>Finansijski rezultat poslovanja  Društva za period 01.01.-</w:t>
      </w:r>
      <w:r w:rsidR="00025C2C">
        <w:rPr>
          <w:rFonts w:ascii="Palatino Linotype" w:eastAsia="Times New Roman" w:hAnsi="Palatino Linotype" w:cs="Calibri"/>
          <w:snapToGrid w:val="0"/>
          <w:lang w:val="pl-PL"/>
        </w:rPr>
        <w:t>3</w:t>
      </w:r>
      <w:r w:rsidR="00A8486E">
        <w:rPr>
          <w:rFonts w:ascii="Palatino Linotype" w:eastAsia="Times New Roman" w:hAnsi="Palatino Linotype" w:cs="Calibri"/>
          <w:snapToGrid w:val="0"/>
          <w:lang w:val="pl-PL"/>
        </w:rPr>
        <w:t>0</w:t>
      </w:r>
      <w:r w:rsidR="00025C2C">
        <w:rPr>
          <w:rFonts w:ascii="Palatino Linotype" w:eastAsia="Times New Roman" w:hAnsi="Palatino Linotype" w:cs="Calibri"/>
          <w:snapToGrid w:val="0"/>
          <w:lang w:val="pl-PL"/>
        </w:rPr>
        <w:t>.0</w:t>
      </w:r>
      <w:r w:rsidR="00A8486E">
        <w:rPr>
          <w:rFonts w:ascii="Palatino Linotype" w:eastAsia="Times New Roman" w:hAnsi="Palatino Linotype" w:cs="Calibri"/>
          <w:snapToGrid w:val="0"/>
          <w:lang w:val="pl-PL"/>
        </w:rPr>
        <w:t>6</w:t>
      </w:r>
      <w:r w:rsidR="00DC5DB0">
        <w:rPr>
          <w:rFonts w:ascii="Palatino Linotype" w:eastAsia="Times New Roman" w:hAnsi="Palatino Linotype" w:cs="Calibri"/>
          <w:snapToGrid w:val="0"/>
          <w:lang w:val="pl-PL"/>
        </w:rPr>
        <w:t>.2024</w:t>
      </w:r>
      <w:r w:rsidR="00025C2C">
        <w:rPr>
          <w:rFonts w:ascii="Palatino Linotype" w:eastAsia="Times New Roman" w:hAnsi="Palatino Linotype" w:cs="Calibri"/>
          <w:snapToGrid w:val="0"/>
          <w:lang w:val="pl-PL"/>
        </w:rPr>
        <w:t>.</w:t>
      </w:r>
      <w:r w:rsidRPr="009321D0">
        <w:rPr>
          <w:rFonts w:ascii="Palatino Linotype" w:eastAsia="Times New Roman" w:hAnsi="Palatino Linotype" w:cs="Calibri"/>
          <w:snapToGrid w:val="0"/>
          <w:lang w:val="pl-PL"/>
        </w:rPr>
        <w:t xml:space="preserve">godine </w:t>
      </w:r>
      <w:r w:rsidR="00444594">
        <w:rPr>
          <w:rFonts w:ascii="Palatino Linotype" w:eastAsia="Times New Roman" w:hAnsi="Palatino Linotype" w:cs="Calibri"/>
          <w:snapToGrid w:val="0"/>
          <w:lang w:val="pl-PL"/>
        </w:rPr>
        <w:t>iznosi</w:t>
      </w:r>
      <w:r w:rsidRPr="009321D0">
        <w:rPr>
          <w:rFonts w:ascii="Palatino Linotype" w:eastAsia="Times New Roman" w:hAnsi="Palatino Linotype" w:cs="Calibri"/>
          <w:snapToGrid w:val="0"/>
          <w:lang w:val="pl-PL"/>
        </w:rPr>
        <w:t>:</w:t>
      </w:r>
    </w:p>
    <w:p w:rsidR="00DC5DB0" w:rsidRDefault="00DC5DB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lang w:val="pl-PL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160"/>
        <w:gridCol w:w="1240"/>
        <w:gridCol w:w="1540"/>
        <w:gridCol w:w="1140"/>
        <w:gridCol w:w="1200"/>
        <w:gridCol w:w="1360"/>
      </w:tblGrid>
      <w:tr w:rsidR="00DC5DB0" w:rsidRPr="00DC5DB0" w:rsidTr="00DC5DB0">
        <w:trPr>
          <w:trHeight w:val="66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30.6.2024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30.06.2023.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Indeks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lang w:val="en-US"/>
              </w:rPr>
              <w:t>Struktura 2023.</w:t>
            </w:r>
          </w:p>
        </w:tc>
      </w:tr>
      <w:tr w:rsidR="00DC5DB0" w:rsidRPr="00DC5DB0" w:rsidTr="00DC5DB0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Dobitak prije oporez.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4.124.443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2.814.591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lang w:val="en-US"/>
              </w:rPr>
              <w:t>100,00%</w:t>
            </w:r>
          </w:p>
        </w:tc>
      </w:tr>
      <w:tr w:rsidR="00DC5DB0" w:rsidRPr="00DC5DB0" w:rsidTr="00DC5DB0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Porez na dobit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416.783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281.459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lang w:val="en-US"/>
              </w:rPr>
              <w:t>10,11%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lang w:val="en-US"/>
              </w:rPr>
              <w:t>10,00%</w:t>
            </w:r>
          </w:p>
        </w:tc>
      </w:tr>
      <w:tr w:rsidR="00DC5DB0" w:rsidRPr="00DC5DB0" w:rsidTr="00DC5DB0">
        <w:trPr>
          <w:trHeight w:val="36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Neto dobitak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3.707.660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2.533.132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lang w:val="en-US"/>
              </w:rPr>
              <w:t>89,89%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5DB0" w:rsidRPr="00DC5DB0" w:rsidRDefault="00DC5DB0" w:rsidP="00DC5DB0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DC5DB0">
              <w:rPr>
                <w:rFonts w:ascii="Palatino Linotype" w:eastAsia="Times New Roman" w:hAnsi="Palatino Linotype" w:cs="Calibri"/>
                <w:color w:val="000000"/>
                <w:lang w:val="en-US"/>
              </w:rPr>
              <w:t>90,00%</w:t>
            </w:r>
          </w:p>
        </w:tc>
      </w:tr>
    </w:tbl>
    <w:p w:rsidR="00DC5DB0" w:rsidRDefault="00DC5DB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lang w:val="pl-PL"/>
        </w:rPr>
      </w:pPr>
    </w:p>
    <w:p w:rsidR="009B72AF" w:rsidRDefault="009B72AF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lang w:val="pl-PL"/>
        </w:rPr>
      </w:pPr>
    </w:p>
    <w:p w:rsidR="009321D0" w:rsidRDefault="009321D0" w:rsidP="009321D0">
      <w:pPr>
        <w:numPr>
          <w:ilvl w:val="0"/>
          <w:numId w:val="16"/>
        </w:numPr>
        <w:tabs>
          <w:tab w:val="left" w:pos="938"/>
        </w:tabs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9321D0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10</w:t>
      </w:r>
    </w:p>
    <w:p w:rsidR="009B72AF" w:rsidRDefault="009B72AF" w:rsidP="009B72AF">
      <w:pPr>
        <w:tabs>
          <w:tab w:val="left" w:pos="938"/>
        </w:tabs>
        <w:spacing w:after="0" w:line="240" w:lineRule="auto"/>
        <w:ind w:left="720"/>
        <w:jc w:val="both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Novčani tokovi</w:t>
      </w:r>
    </w:p>
    <w:p w:rsidR="003D0C80" w:rsidRDefault="003D0C80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Prilivi</w:t>
      </w:r>
      <w:r w:rsidR="00FA424E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 xml:space="preserve"> i odlivi </w:t>
      </w:r>
      <w:r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gotovine iz poslovnih aktivnosti</w:t>
      </w:r>
    </w:p>
    <w:p w:rsidR="005253B2" w:rsidRDefault="001B7DE5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Najznačajniji dio priliva preds</w:t>
      </w:r>
      <w:r w:rsidR="003D0C80" w:rsidRPr="003D0C8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tavljaju prilivi koj</w:t>
      </w:r>
      <w:r w:rsidR="00D2755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i nastaju naplatom potraživanja </w:t>
      </w:r>
      <w:proofErr w:type="gramStart"/>
      <w:r w:rsidR="003D0C80" w:rsidRPr="003D0C8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od</w:t>
      </w:r>
      <w:proofErr w:type="gramEnd"/>
      <w:r w:rsidR="003D0C80" w:rsidRPr="003D0C8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kupaca u zemlji </w:t>
      </w:r>
      <w:r w:rsidR="005253B2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i</w:t>
      </w:r>
      <w:r w:rsidR="003D0C80" w:rsidRPr="003D0C80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inostranstvu i naplatom avansa od kupaca</w:t>
      </w:r>
      <w:r w:rsidR="005253B2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.</w:t>
      </w:r>
    </w:p>
    <w:p w:rsidR="00FA424E" w:rsidRDefault="005253B2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Ukupni prilivi po ovom osnovu su iznosili </w:t>
      </w:r>
      <w:r w:rsidR="00AF1966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10.654.648</w:t>
      </w: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KM.</w:t>
      </w:r>
    </w:p>
    <w:p w:rsidR="005973BE" w:rsidRDefault="005973BE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</w:p>
    <w:p w:rsidR="00FA424E" w:rsidRDefault="00352330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lastRenderedPageBreak/>
        <w:t xml:space="preserve">Najznačajniji odlivi iz poslovnih aktivnosti predstavljaju odlivi po osnovu plaćanja dobavljačima u zemlji </w:t>
      </w:r>
      <w:r w:rsidR="005973B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i</w:t>
      </w: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inostranstvu </w:t>
      </w:r>
      <w:r w:rsidR="005973B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i</w:t>
      </w: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po osnovu isplata </w:t>
      </w:r>
      <w:r w:rsidR="005973B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plata i drugih ličnih primanja.</w:t>
      </w:r>
    </w:p>
    <w:p w:rsidR="005973BE" w:rsidRDefault="005973BE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Ukupni odlivi iz </w:t>
      </w:r>
      <w:r w:rsidR="006840D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gotovine iz poslovnih aktivnosti izosili su </w:t>
      </w:r>
      <w:r w:rsidR="00AF1966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7.307.854 </w:t>
      </w:r>
      <w:r w:rsidR="006840DE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KM.</w:t>
      </w:r>
    </w:p>
    <w:p w:rsidR="006840DE" w:rsidRDefault="006840DE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Prema tome iz Bilansa tokova gotovine vidljivo je da je Društvo ostvarilo </w:t>
      </w:r>
      <w:r w:rsidR="00F94E08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neto </w:t>
      </w:r>
      <w:r w:rsidR="00AF1966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priliv</w:t>
      </w:r>
      <w:r w:rsidR="00F94E08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gotovine u iznosu </w:t>
      </w:r>
      <w:r w:rsidR="00AF1966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558.062</w:t>
      </w:r>
      <w:r w:rsidR="00F94E08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KM.</w:t>
      </w:r>
    </w:p>
    <w:p w:rsidR="001B7DE5" w:rsidRDefault="001B7DE5" w:rsidP="001B7DE5">
      <w:pPr>
        <w:tabs>
          <w:tab w:val="left" w:pos="938"/>
        </w:tabs>
        <w:spacing w:after="0" w:line="240" w:lineRule="auto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</w:p>
    <w:p w:rsidR="001B7DE5" w:rsidRDefault="001B7DE5" w:rsidP="003D0C80">
      <w:pPr>
        <w:tabs>
          <w:tab w:val="left" w:pos="938"/>
        </w:tabs>
        <w:spacing w:after="0" w:line="240" w:lineRule="auto"/>
        <w:ind w:left="720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</w:p>
    <w:p w:rsidR="00426811" w:rsidRDefault="00184CE2" w:rsidP="00C20BB8">
      <w:pPr>
        <w:numPr>
          <w:ilvl w:val="0"/>
          <w:numId w:val="16"/>
        </w:numPr>
        <w:tabs>
          <w:tab w:val="left" w:pos="938"/>
        </w:tabs>
        <w:spacing w:after="0" w:line="240" w:lineRule="auto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 w:rsidRPr="00A23FA9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A23FA9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11</w:t>
      </w:r>
    </w:p>
    <w:p w:rsidR="0061661F" w:rsidRPr="00A23FA9" w:rsidRDefault="0061661F" w:rsidP="0061661F">
      <w:pPr>
        <w:tabs>
          <w:tab w:val="left" w:pos="938"/>
        </w:tabs>
        <w:spacing w:after="0" w:line="240" w:lineRule="auto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</w:p>
    <w:p w:rsidR="00426811" w:rsidRDefault="00002004" w:rsidP="00426811">
      <w:pPr>
        <w:tabs>
          <w:tab w:val="left" w:pos="938"/>
        </w:tabs>
        <w:spacing w:after="0" w:line="240" w:lineRule="auto"/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ab/>
        <w:t>Aneks</w:t>
      </w:r>
      <w:r w:rsidR="00426811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, dodatni računovodstveni izvještaj</w:t>
      </w:r>
    </w:p>
    <w:p w:rsidR="00E90846" w:rsidRDefault="00160CF1" w:rsidP="00531D49">
      <w:pPr>
        <w:tabs>
          <w:tab w:val="left" w:pos="938"/>
        </w:tabs>
        <w:spacing w:after="0" w:line="240" w:lineRule="auto"/>
        <w:ind w:left="938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U Aneksu </w:t>
      </w:r>
      <w:r w:rsidR="00D2755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su </w:t>
      </w:r>
      <w:r w:rsidR="00467BCB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navedene informacije najvećim dijelom iz bruto bilansa a dio </w:t>
      </w:r>
      <w:r w:rsidR="00002004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i</w:t>
      </w:r>
      <w:r w:rsidR="00467BCB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nformacija o </w:t>
      </w:r>
      <w:r w:rsidR="00E90846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efektivnim časovima rada</w:t>
      </w:r>
      <w:r w:rsidR="00467BCB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iz evidencije obračuna plata</w:t>
      </w:r>
      <w:r w:rsidR="005653B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.</w:t>
      </w:r>
    </w:p>
    <w:p w:rsidR="00426811" w:rsidRDefault="00531D49" w:rsidP="00426811">
      <w:pPr>
        <w:tabs>
          <w:tab w:val="left" w:pos="938"/>
        </w:tabs>
        <w:spacing w:after="0" w:line="240" w:lineRule="auto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ab/>
      </w:r>
      <w:r w:rsidR="005653B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Dio informacija je već sadržan u notama 7,</w:t>
      </w:r>
      <w:r w:rsidR="00D2755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 xml:space="preserve"> </w:t>
      </w:r>
      <w:r w:rsidR="005653BF"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  <w:t>8 i 9.</w:t>
      </w:r>
    </w:p>
    <w:p w:rsidR="00E90846" w:rsidRPr="00426811" w:rsidRDefault="00E90846" w:rsidP="00426811">
      <w:pPr>
        <w:tabs>
          <w:tab w:val="left" w:pos="938"/>
        </w:tabs>
        <w:spacing w:after="0" w:line="240" w:lineRule="auto"/>
        <w:rPr>
          <w:rFonts w:ascii="Palatino Linotype" w:eastAsia="Times New Roman" w:hAnsi="Palatino Linotype" w:cs="Calibri"/>
          <w:bCs/>
          <w:snapToGrid w:val="0"/>
          <w:sz w:val="24"/>
          <w:szCs w:val="20"/>
          <w:lang w:val="en-US"/>
        </w:rPr>
      </w:pPr>
    </w:p>
    <w:p w:rsidR="00603B11" w:rsidRPr="00E90846" w:rsidRDefault="00E90846" w:rsidP="00C20BB8">
      <w:pPr>
        <w:numPr>
          <w:ilvl w:val="0"/>
          <w:numId w:val="16"/>
        </w:numPr>
        <w:tabs>
          <w:tab w:val="left" w:pos="938"/>
        </w:tabs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  <w:r w:rsidRPr="00E90846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sr-Cyrl-CS"/>
        </w:rPr>
        <w:t xml:space="preserve">Nota broj </w:t>
      </w:r>
      <w:r w:rsidRPr="00E90846">
        <w:rPr>
          <w:rFonts w:ascii="Palatino Linotype" w:eastAsia="Times New Roman" w:hAnsi="Palatino Linotype" w:cs="Calibri"/>
          <w:b/>
          <w:bCs/>
          <w:snapToGrid w:val="0"/>
          <w:sz w:val="24"/>
          <w:szCs w:val="20"/>
          <w:lang w:val="en-US"/>
        </w:rPr>
        <w:t>12</w:t>
      </w:r>
    </w:p>
    <w:p w:rsidR="009321D0" w:rsidRPr="009321D0" w:rsidRDefault="009321D0" w:rsidP="009321D0">
      <w:pPr>
        <w:tabs>
          <w:tab w:val="left" w:pos="938"/>
        </w:tabs>
        <w:spacing w:after="0" w:line="240" w:lineRule="auto"/>
        <w:jc w:val="both"/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b/>
          <w:snapToGrid w:val="0"/>
          <w:sz w:val="24"/>
          <w:szCs w:val="20"/>
          <w:lang w:val="en-US"/>
        </w:rPr>
        <w:t>Događaji nastali nakon datuma bilansa</w:t>
      </w:r>
    </w:p>
    <w:p w:rsidR="009321D0" w:rsidRPr="00DC5DB0" w:rsidRDefault="009321D0" w:rsidP="00DC5DB0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Nakon datuma bilansa 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3</w:t>
      </w:r>
      <w:r w:rsidR="0087590E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0</w:t>
      </w:r>
      <w:r w:rsidR="00025C2C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.0</w:t>
      </w:r>
      <w:r w:rsidR="0087590E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6</w:t>
      </w:r>
      <w:r w:rsidR="001B7DE5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.2024</w:t>
      </w:r>
      <w:r w:rsidR="00025C2C" w:rsidRPr="00DC5DB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</w:t>
      </w:r>
      <w:r w:rsidR="001B7DE5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proofErr w:type="gramStart"/>
      <w:r w:rsidR="001B7DE5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godine</w:t>
      </w:r>
      <w:proofErr w:type="gramEnd"/>
      <w:r w:rsidR="001B7DE5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Pr="00DC5DB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događaji povezani sa aktuelnom epidemijom</w:t>
      </w:r>
      <w:r w:rsidR="0084182C" w:rsidRPr="00DC5DB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i ratom u Ukrajini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značajno utiču </w:t>
      </w:r>
      <w:r w:rsidRPr="00DC5DB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na položaj i stanje u Društvu.</w:t>
      </w:r>
    </w:p>
    <w:p w:rsidR="009321D0" w:rsidRDefault="009321D0" w:rsidP="009321D0">
      <w:pPr>
        <w:numPr>
          <w:ilvl w:val="0"/>
          <w:numId w:val="23"/>
        </w:num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Značajna stalna i obrtna imovina Društva, s jedne, i relativno nizak nivo obaveza, s druge strane, garantuju da u naredom period ne bi trebalo doći do značajnog ugrožavan</w:t>
      </w:r>
      <w:r w:rsidR="00C928A1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ja stalnosti poslovanja Društva.</w:t>
      </w:r>
    </w:p>
    <w:p w:rsidR="009222A0" w:rsidRPr="009321D0" w:rsidRDefault="009222A0" w:rsidP="00AD676F">
      <w:pPr>
        <w:spacing w:after="0" w:line="240" w:lineRule="auto"/>
        <w:ind w:left="720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9321D0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</w:p>
    <w:p w:rsidR="009321D0" w:rsidRPr="009321D0" w:rsidRDefault="00D2755F" w:rsidP="009321D0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Lice </w:t>
      </w:r>
      <w:proofErr w:type="gramStart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sa</w:t>
      </w:r>
      <w:proofErr w:type="gramEnd"/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licencom:                                                                      Generalni direktor</w:t>
      </w:r>
    </w:p>
    <w:p w:rsidR="00F5680D" w:rsidRDefault="009321D0" w:rsidP="00F5680D">
      <w:pPr>
        <w:spacing w:after="0" w:line="240" w:lineRule="auto"/>
        <w:jc w:val="both"/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</w:pP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Vidaković</w:t>
      </w:r>
      <w:r w:rsidR="0091067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Dragan</w:t>
      </w:r>
      <w:r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,</w:t>
      </w:r>
      <w:r w:rsidR="00FA3D49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79155B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dip</w:t>
      </w:r>
      <w:r w:rsidR="0091067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l.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91067A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ecc,</w:t>
      </w:r>
      <w:r w:rsidR="00F5680D" w:rsidRPr="00F5680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F5680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                                                </w:t>
      </w:r>
      <w:r w:rsidR="00F5680D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Bogdanić dr </w:t>
      </w:r>
      <w:r w:rsidR="00F5680D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Dragan</w:t>
      </w:r>
    </w:p>
    <w:p w:rsidR="009567EB" w:rsidRDefault="00390139" w:rsidP="00F5680D">
      <w:pPr>
        <w:spacing w:after="0" w:line="240" w:lineRule="auto"/>
        <w:jc w:val="both"/>
      </w:pPr>
      <w:r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proofErr w:type="gramStart"/>
      <w:r w:rsidR="00DC5DB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br</w:t>
      </w:r>
      <w:proofErr w:type="gramEnd"/>
      <w:r w:rsidR="00DC5DB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.</w:t>
      </w:r>
      <w:r w:rsidR="00D2755F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</w:t>
      </w:r>
      <w:r w:rsidR="00DC5DB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licence SR-103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/2</w:t>
      </w:r>
      <w:r w:rsidR="00DC5DB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>4</w:t>
      </w:r>
      <w:r w:rsidR="009321D0" w:rsidRPr="009321D0">
        <w:rPr>
          <w:rFonts w:ascii="Palatino Linotype" w:eastAsia="Times New Roman" w:hAnsi="Palatino Linotype" w:cs="Calibri"/>
          <w:snapToGrid w:val="0"/>
          <w:sz w:val="24"/>
          <w:szCs w:val="20"/>
          <w:lang w:val="en-US"/>
        </w:rPr>
        <w:t xml:space="preserve">                 </w:t>
      </w:r>
    </w:p>
    <w:sectPr w:rsidR="009567EB" w:rsidSect="00C40F0B">
      <w:footerReference w:type="default" r:id="rId7"/>
      <w:headerReference w:type="first" r:id="rId8"/>
      <w:footerReference w:type="first" r:id="rId9"/>
      <w:pgSz w:w="11909" w:h="16834"/>
      <w:pgMar w:top="993" w:right="1277" w:bottom="851" w:left="1440" w:header="720" w:footer="5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1A" w:rsidRDefault="00B4311A">
      <w:pPr>
        <w:spacing w:after="0" w:line="240" w:lineRule="auto"/>
      </w:pPr>
      <w:r>
        <w:separator/>
      </w:r>
    </w:p>
  </w:endnote>
  <w:endnote w:type="continuationSeparator" w:id="0">
    <w:p w:rsidR="00B4311A" w:rsidRDefault="00B4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Times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Roman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witzerland">
    <w:altName w:val="Arial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D6" w:rsidRDefault="009255D6">
    <w:pPr>
      <w:pStyle w:val="Footer"/>
      <w:framePr w:wrap="around" w:vAnchor="text" w:hAnchor="margin" w:xAlign="right" w:y="1"/>
      <w:ind w:right="-121"/>
      <w:rPr>
        <w:rStyle w:val="PageNumber"/>
        <w:rFonts w:ascii="Times New Roman" w:hAnsi="Times New Roman"/>
        <w:sz w:val="21"/>
      </w:rPr>
    </w:pPr>
    <w:r>
      <w:rPr>
        <w:rStyle w:val="PageNumber"/>
        <w:rFonts w:ascii="Times New Roman" w:hAnsi="Times New Roman"/>
        <w:sz w:val="21"/>
      </w:rPr>
      <w:fldChar w:fldCharType="begin"/>
    </w:r>
    <w:r>
      <w:rPr>
        <w:rStyle w:val="PageNumber"/>
        <w:rFonts w:ascii="Times New Roman" w:hAnsi="Times New Roman"/>
        <w:sz w:val="21"/>
      </w:rPr>
      <w:instrText xml:space="preserve">PAGE  </w:instrText>
    </w:r>
    <w:r>
      <w:rPr>
        <w:rStyle w:val="PageNumber"/>
        <w:rFonts w:ascii="Times New Roman" w:hAnsi="Times New Roman"/>
        <w:sz w:val="21"/>
      </w:rPr>
      <w:fldChar w:fldCharType="separate"/>
    </w:r>
    <w:r w:rsidR="00F7182F">
      <w:rPr>
        <w:rStyle w:val="PageNumber"/>
        <w:rFonts w:ascii="Times New Roman" w:hAnsi="Times New Roman"/>
        <w:noProof/>
        <w:sz w:val="21"/>
      </w:rPr>
      <w:t>15</w:t>
    </w:r>
    <w:r>
      <w:rPr>
        <w:rStyle w:val="PageNumber"/>
        <w:rFonts w:ascii="Times New Roman" w:hAnsi="Times New Roman"/>
        <w:sz w:val="21"/>
      </w:rPr>
      <w:fldChar w:fldCharType="end"/>
    </w:r>
  </w:p>
  <w:p w:rsidR="009255D6" w:rsidRDefault="009255D6">
    <w:pPr>
      <w:widowControl w:val="0"/>
      <w:tabs>
        <w:tab w:val="center" w:pos="4680"/>
        <w:tab w:val="right" w:pos="8789"/>
        <w:tab w:val="right" w:pos="9360"/>
      </w:tabs>
      <w:ind w:right="158"/>
      <w:jc w:val="center"/>
      <w:rPr>
        <w:rFonts w:ascii="Times New Roman" w:hAnsi="Times New Roman"/>
        <w:b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D6" w:rsidRDefault="009255D6">
    <w:pPr>
      <w:pStyle w:val="Footer"/>
      <w:jc w:val="right"/>
      <w:rPr>
        <w:rFonts w:ascii="TimesRoman" w:hAnsi="TimesRoman"/>
        <w:sz w:val="20"/>
      </w:rPr>
    </w:pPr>
    <w:r>
      <w:rPr>
        <w:rStyle w:val="PageNumber"/>
        <w:rFonts w:ascii="TimesRoman" w:hAnsi="TimesRoman"/>
        <w:sz w:val="20"/>
      </w:rPr>
      <w:fldChar w:fldCharType="begin"/>
    </w:r>
    <w:r>
      <w:rPr>
        <w:rStyle w:val="PageNumber"/>
        <w:rFonts w:ascii="TimesRoman" w:hAnsi="TimesRoman"/>
        <w:sz w:val="20"/>
      </w:rPr>
      <w:instrText xml:space="preserve"> PAGE </w:instrText>
    </w:r>
    <w:r>
      <w:rPr>
        <w:rStyle w:val="PageNumber"/>
        <w:rFonts w:ascii="TimesRoman" w:hAnsi="TimesRoman"/>
        <w:sz w:val="20"/>
      </w:rPr>
      <w:fldChar w:fldCharType="separate"/>
    </w:r>
    <w:r>
      <w:rPr>
        <w:rStyle w:val="PageNumber"/>
        <w:rFonts w:ascii="TimesRoman" w:hAnsi="TimesRoman"/>
        <w:noProof/>
        <w:sz w:val="20"/>
      </w:rPr>
      <w:t>7</w:t>
    </w:r>
    <w:r>
      <w:rPr>
        <w:rStyle w:val="PageNumber"/>
        <w:rFonts w:ascii="TimesRoman" w:hAnsi="Times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1A" w:rsidRDefault="00B4311A">
      <w:pPr>
        <w:spacing w:after="0" w:line="240" w:lineRule="auto"/>
      </w:pPr>
      <w:r>
        <w:separator/>
      </w:r>
    </w:p>
  </w:footnote>
  <w:footnote w:type="continuationSeparator" w:id="0">
    <w:p w:rsidR="00B4311A" w:rsidRDefault="00B4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D6" w:rsidRDefault="009255D6">
    <w:pPr>
      <w:tabs>
        <w:tab w:val="center" w:pos="4512"/>
      </w:tabs>
      <w:spacing w:line="210" w:lineRule="atLeast"/>
      <w:jc w:val="right"/>
      <w:rPr>
        <w:rFonts w:ascii="Times New Roman Bold" w:hAnsi="Times New Roman Bold"/>
        <w:b/>
        <w:sz w:val="20"/>
      </w:rPr>
    </w:pPr>
    <w:r>
      <w:rPr>
        <w:rFonts w:ascii="Times New Roman Bold" w:hAnsi="Times New Roman Bold"/>
        <w:b/>
        <w:sz w:val="20"/>
      </w:rPr>
      <w:t>ODP FABRIKA DUVANA, BAWA LUKA</w:t>
    </w:r>
  </w:p>
  <w:p w:rsidR="009255D6" w:rsidRDefault="009255D6">
    <w:pPr>
      <w:tabs>
        <w:tab w:val="right" w:pos="9025"/>
      </w:tabs>
      <w:spacing w:line="210" w:lineRule="atLeast"/>
      <w:jc w:val="both"/>
      <w:rPr>
        <w:rFonts w:ascii="Times New Roman Bold" w:hAnsi="Times New Roman Bold"/>
        <w:b/>
        <w:sz w:val="20"/>
      </w:rPr>
    </w:pPr>
  </w:p>
  <w:p w:rsidR="009255D6" w:rsidRDefault="009255D6">
    <w:pPr>
      <w:tabs>
        <w:tab w:val="right" w:pos="9025"/>
      </w:tabs>
      <w:spacing w:line="210" w:lineRule="atLeast"/>
      <w:jc w:val="both"/>
      <w:rPr>
        <w:rFonts w:ascii="Times New Roman Bold" w:hAnsi="Times New Roman Bold"/>
        <w:b/>
        <w:sz w:val="20"/>
      </w:rPr>
    </w:pPr>
    <w:r>
      <w:rPr>
        <w:rFonts w:ascii="Times New Roman Bold" w:hAnsi="Times New Roman Bold"/>
        <w:b/>
        <w:sz w:val="20"/>
      </w:rPr>
      <w:t>NAPOMENE UZ GODI[WI RA^UN</w:t>
    </w:r>
  </w:p>
  <w:p w:rsidR="009255D6" w:rsidRDefault="009255D6">
    <w:pPr>
      <w:tabs>
        <w:tab w:val="right" w:pos="9025"/>
      </w:tabs>
      <w:spacing w:line="210" w:lineRule="atLeast"/>
      <w:jc w:val="both"/>
      <w:rPr>
        <w:rFonts w:ascii="Times New Roman Bold" w:hAnsi="Times New Roman Bold"/>
        <w:b/>
        <w:sz w:val="20"/>
      </w:rPr>
    </w:pPr>
    <w:r>
      <w:rPr>
        <w:rFonts w:ascii="Times New Roman Bold" w:hAnsi="Times New Roman Bold"/>
        <w:b/>
        <w:sz w:val="20"/>
      </w:rPr>
      <w:t>31. decembar 2002. godine</w:t>
    </w:r>
  </w:p>
  <w:p w:rsidR="009255D6" w:rsidRDefault="009255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90E2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720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314F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626DBB"/>
    <w:multiLevelType w:val="hybridMultilevel"/>
    <w:tmpl w:val="E4D2E768"/>
    <w:lvl w:ilvl="0" w:tplc="ACAA923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C71D95"/>
    <w:multiLevelType w:val="hybridMultilevel"/>
    <w:tmpl w:val="0F360666"/>
    <w:lvl w:ilvl="0" w:tplc="ACAA92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2F2A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6640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CC286B"/>
    <w:multiLevelType w:val="hybridMultilevel"/>
    <w:tmpl w:val="74988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A1280"/>
    <w:multiLevelType w:val="hybridMultilevel"/>
    <w:tmpl w:val="5B7648E8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13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16799C"/>
    <w:multiLevelType w:val="hybridMultilevel"/>
    <w:tmpl w:val="419E9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67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1686C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DD9522B"/>
    <w:multiLevelType w:val="hybridMultilevel"/>
    <w:tmpl w:val="730C0DBC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B0F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3053A53"/>
    <w:multiLevelType w:val="hybridMultilevel"/>
    <w:tmpl w:val="A4806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151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150E3E"/>
    <w:multiLevelType w:val="hybridMultilevel"/>
    <w:tmpl w:val="8C308EBA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54B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47042E5"/>
    <w:multiLevelType w:val="hybridMultilevel"/>
    <w:tmpl w:val="F7787E1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78E35C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FEC44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14"/>
  </w:num>
  <w:num w:numId="5">
    <w:abstractNumId w:val="12"/>
  </w:num>
  <w:num w:numId="6">
    <w:abstractNumId w:val="18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19"/>
  </w:num>
  <w:num w:numId="14">
    <w:abstractNumId w:val="15"/>
  </w:num>
  <w:num w:numId="15">
    <w:abstractNumId w:val="3"/>
  </w:num>
  <w:num w:numId="16">
    <w:abstractNumId w:val="7"/>
  </w:num>
  <w:num w:numId="17">
    <w:abstractNumId w:val="10"/>
  </w:num>
  <w:num w:numId="18">
    <w:abstractNumId w:val="8"/>
  </w:num>
  <w:num w:numId="19">
    <w:abstractNumId w:val="13"/>
  </w:num>
  <w:num w:numId="20">
    <w:abstractNumId w:val="17"/>
  </w:num>
  <w:num w:numId="21">
    <w:abstractNumId w:val="0"/>
  </w:num>
  <w:num w:numId="22">
    <w:abstractNumId w:val="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02"/>
    <w:rsid w:val="00002004"/>
    <w:rsid w:val="00003CE1"/>
    <w:rsid w:val="000115E7"/>
    <w:rsid w:val="00024B44"/>
    <w:rsid w:val="000259F9"/>
    <w:rsid w:val="00025C2C"/>
    <w:rsid w:val="00025E59"/>
    <w:rsid w:val="0003130E"/>
    <w:rsid w:val="000323D9"/>
    <w:rsid w:val="0004287A"/>
    <w:rsid w:val="00051371"/>
    <w:rsid w:val="00065641"/>
    <w:rsid w:val="00074533"/>
    <w:rsid w:val="00092A04"/>
    <w:rsid w:val="00093682"/>
    <w:rsid w:val="000B184F"/>
    <w:rsid w:val="000D3672"/>
    <w:rsid w:val="000E14DD"/>
    <w:rsid w:val="000E4592"/>
    <w:rsid w:val="000E71B0"/>
    <w:rsid w:val="000F0891"/>
    <w:rsid w:val="000F20A1"/>
    <w:rsid w:val="000F3D60"/>
    <w:rsid w:val="00113AD8"/>
    <w:rsid w:val="001163FF"/>
    <w:rsid w:val="00120911"/>
    <w:rsid w:val="0012498C"/>
    <w:rsid w:val="00133996"/>
    <w:rsid w:val="00133AB3"/>
    <w:rsid w:val="00142AB9"/>
    <w:rsid w:val="00153D29"/>
    <w:rsid w:val="001575C9"/>
    <w:rsid w:val="00160CF1"/>
    <w:rsid w:val="00163A77"/>
    <w:rsid w:val="00166F4E"/>
    <w:rsid w:val="00167844"/>
    <w:rsid w:val="00181218"/>
    <w:rsid w:val="001824F2"/>
    <w:rsid w:val="00184CE2"/>
    <w:rsid w:val="00193F4B"/>
    <w:rsid w:val="00195A67"/>
    <w:rsid w:val="00197A42"/>
    <w:rsid w:val="001A1E46"/>
    <w:rsid w:val="001A2B8E"/>
    <w:rsid w:val="001A395A"/>
    <w:rsid w:val="001B1437"/>
    <w:rsid w:val="001B2933"/>
    <w:rsid w:val="001B7DE5"/>
    <w:rsid w:val="001C21A2"/>
    <w:rsid w:val="001D0A82"/>
    <w:rsid w:val="001D1B71"/>
    <w:rsid w:val="001E378D"/>
    <w:rsid w:val="001E53A8"/>
    <w:rsid w:val="001E5677"/>
    <w:rsid w:val="001F0FD1"/>
    <w:rsid w:val="001F1EF1"/>
    <w:rsid w:val="001F4FA7"/>
    <w:rsid w:val="001F517C"/>
    <w:rsid w:val="00203FCA"/>
    <w:rsid w:val="00204720"/>
    <w:rsid w:val="00222545"/>
    <w:rsid w:val="00227F27"/>
    <w:rsid w:val="00230474"/>
    <w:rsid w:val="00240875"/>
    <w:rsid w:val="00250065"/>
    <w:rsid w:val="00252B30"/>
    <w:rsid w:val="0025408E"/>
    <w:rsid w:val="002634A0"/>
    <w:rsid w:val="00263528"/>
    <w:rsid w:val="00281F11"/>
    <w:rsid w:val="00290742"/>
    <w:rsid w:val="002917CA"/>
    <w:rsid w:val="002A65EB"/>
    <w:rsid w:val="002A7927"/>
    <w:rsid w:val="002C15C4"/>
    <w:rsid w:val="002C365F"/>
    <w:rsid w:val="002C36EB"/>
    <w:rsid w:val="002D224C"/>
    <w:rsid w:val="002D694D"/>
    <w:rsid w:val="002D6B97"/>
    <w:rsid w:val="002E06E1"/>
    <w:rsid w:val="002E0C11"/>
    <w:rsid w:val="002E1A99"/>
    <w:rsid w:val="002E7B20"/>
    <w:rsid w:val="002F0748"/>
    <w:rsid w:val="002F4F16"/>
    <w:rsid w:val="00305BA8"/>
    <w:rsid w:val="003141E7"/>
    <w:rsid w:val="00324753"/>
    <w:rsid w:val="00324B3D"/>
    <w:rsid w:val="003263AB"/>
    <w:rsid w:val="003273A7"/>
    <w:rsid w:val="00343766"/>
    <w:rsid w:val="00352330"/>
    <w:rsid w:val="00356EBF"/>
    <w:rsid w:val="00371A47"/>
    <w:rsid w:val="003742F1"/>
    <w:rsid w:val="00376D26"/>
    <w:rsid w:val="00377885"/>
    <w:rsid w:val="00386637"/>
    <w:rsid w:val="00390139"/>
    <w:rsid w:val="00390155"/>
    <w:rsid w:val="00391CB4"/>
    <w:rsid w:val="003A3AE8"/>
    <w:rsid w:val="003C03CD"/>
    <w:rsid w:val="003D0C80"/>
    <w:rsid w:val="003D17FC"/>
    <w:rsid w:val="003D2748"/>
    <w:rsid w:val="003E201C"/>
    <w:rsid w:val="003E4B0E"/>
    <w:rsid w:val="003E6B8A"/>
    <w:rsid w:val="003E6EBF"/>
    <w:rsid w:val="003E726C"/>
    <w:rsid w:val="003F41A9"/>
    <w:rsid w:val="00416A3D"/>
    <w:rsid w:val="00426811"/>
    <w:rsid w:val="00437C0A"/>
    <w:rsid w:val="00444594"/>
    <w:rsid w:val="00445DC8"/>
    <w:rsid w:val="00453691"/>
    <w:rsid w:val="00456659"/>
    <w:rsid w:val="00460F0E"/>
    <w:rsid w:val="00467BCB"/>
    <w:rsid w:val="00467D2E"/>
    <w:rsid w:val="00471BDE"/>
    <w:rsid w:val="004758B3"/>
    <w:rsid w:val="00475FAB"/>
    <w:rsid w:val="004841D7"/>
    <w:rsid w:val="004A61DF"/>
    <w:rsid w:val="004B31C5"/>
    <w:rsid w:val="004B5A90"/>
    <w:rsid w:val="004D7819"/>
    <w:rsid w:val="004E00D1"/>
    <w:rsid w:val="004E07F7"/>
    <w:rsid w:val="004F1CAA"/>
    <w:rsid w:val="004F2408"/>
    <w:rsid w:val="004F2A6E"/>
    <w:rsid w:val="0051068D"/>
    <w:rsid w:val="00521D41"/>
    <w:rsid w:val="005253B2"/>
    <w:rsid w:val="00526EB6"/>
    <w:rsid w:val="005306E7"/>
    <w:rsid w:val="00531D49"/>
    <w:rsid w:val="00532AEB"/>
    <w:rsid w:val="005441A0"/>
    <w:rsid w:val="00546EB6"/>
    <w:rsid w:val="005524EE"/>
    <w:rsid w:val="005629CD"/>
    <w:rsid w:val="005653BF"/>
    <w:rsid w:val="00566628"/>
    <w:rsid w:val="0057108F"/>
    <w:rsid w:val="005938B7"/>
    <w:rsid w:val="00593AD6"/>
    <w:rsid w:val="005973BE"/>
    <w:rsid w:val="005A0425"/>
    <w:rsid w:val="005B51C2"/>
    <w:rsid w:val="005B719F"/>
    <w:rsid w:val="005D1DB1"/>
    <w:rsid w:val="005E0499"/>
    <w:rsid w:val="005E4687"/>
    <w:rsid w:val="005F3EE8"/>
    <w:rsid w:val="005F3F27"/>
    <w:rsid w:val="005F63BE"/>
    <w:rsid w:val="00603B11"/>
    <w:rsid w:val="0061256E"/>
    <w:rsid w:val="00613675"/>
    <w:rsid w:val="0061661F"/>
    <w:rsid w:val="006229F1"/>
    <w:rsid w:val="00652E2E"/>
    <w:rsid w:val="006616DF"/>
    <w:rsid w:val="00665409"/>
    <w:rsid w:val="00670D71"/>
    <w:rsid w:val="006763E6"/>
    <w:rsid w:val="006840DE"/>
    <w:rsid w:val="00693876"/>
    <w:rsid w:val="006A1356"/>
    <w:rsid w:val="006A651B"/>
    <w:rsid w:val="006B066E"/>
    <w:rsid w:val="006B34F6"/>
    <w:rsid w:val="006C3D32"/>
    <w:rsid w:val="006C4D64"/>
    <w:rsid w:val="006F026F"/>
    <w:rsid w:val="00706F5C"/>
    <w:rsid w:val="007179E3"/>
    <w:rsid w:val="00722139"/>
    <w:rsid w:val="00735F1C"/>
    <w:rsid w:val="00737603"/>
    <w:rsid w:val="00743380"/>
    <w:rsid w:val="00744745"/>
    <w:rsid w:val="0075055B"/>
    <w:rsid w:val="00750C3C"/>
    <w:rsid w:val="00760C2A"/>
    <w:rsid w:val="00771C2A"/>
    <w:rsid w:val="00780697"/>
    <w:rsid w:val="0079155B"/>
    <w:rsid w:val="00795A69"/>
    <w:rsid w:val="00795D09"/>
    <w:rsid w:val="007A0F1C"/>
    <w:rsid w:val="007A56C7"/>
    <w:rsid w:val="007A73F9"/>
    <w:rsid w:val="007C5130"/>
    <w:rsid w:val="007D60EB"/>
    <w:rsid w:val="007E03E3"/>
    <w:rsid w:val="007E4F8A"/>
    <w:rsid w:val="00800396"/>
    <w:rsid w:val="00801FD3"/>
    <w:rsid w:val="008109BF"/>
    <w:rsid w:val="00812F54"/>
    <w:rsid w:val="0082073A"/>
    <w:rsid w:val="008249BD"/>
    <w:rsid w:val="0083164A"/>
    <w:rsid w:val="00831DB8"/>
    <w:rsid w:val="00834ABF"/>
    <w:rsid w:val="0084182C"/>
    <w:rsid w:val="00855AC7"/>
    <w:rsid w:val="00867EED"/>
    <w:rsid w:val="0087590E"/>
    <w:rsid w:val="008831AD"/>
    <w:rsid w:val="00883810"/>
    <w:rsid w:val="008B6F4C"/>
    <w:rsid w:val="008C33E6"/>
    <w:rsid w:val="008F0458"/>
    <w:rsid w:val="00902DA1"/>
    <w:rsid w:val="00905965"/>
    <w:rsid w:val="0091067A"/>
    <w:rsid w:val="009222A0"/>
    <w:rsid w:val="009255D6"/>
    <w:rsid w:val="009321D0"/>
    <w:rsid w:val="009435E2"/>
    <w:rsid w:val="0094396F"/>
    <w:rsid w:val="00950F99"/>
    <w:rsid w:val="009567EB"/>
    <w:rsid w:val="009852B0"/>
    <w:rsid w:val="009953E1"/>
    <w:rsid w:val="009A0161"/>
    <w:rsid w:val="009A0CB3"/>
    <w:rsid w:val="009A23ED"/>
    <w:rsid w:val="009A5E2C"/>
    <w:rsid w:val="009A756E"/>
    <w:rsid w:val="009B1293"/>
    <w:rsid w:val="009B72AF"/>
    <w:rsid w:val="009C46AF"/>
    <w:rsid w:val="009D0044"/>
    <w:rsid w:val="009D00B4"/>
    <w:rsid w:val="009D04CB"/>
    <w:rsid w:val="009D6030"/>
    <w:rsid w:val="009D6633"/>
    <w:rsid w:val="009E15B5"/>
    <w:rsid w:val="009E324D"/>
    <w:rsid w:val="009E4745"/>
    <w:rsid w:val="009F59D9"/>
    <w:rsid w:val="00A1022B"/>
    <w:rsid w:val="00A23FA9"/>
    <w:rsid w:val="00A40174"/>
    <w:rsid w:val="00A43B4D"/>
    <w:rsid w:val="00A45D52"/>
    <w:rsid w:val="00A47802"/>
    <w:rsid w:val="00A52B3C"/>
    <w:rsid w:val="00A60C5A"/>
    <w:rsid w:val="00A7686A"/>
    <w:rsid w:val="00A8486E"/>
    <w:rsid w:val="00A86C72"/>
    <w:rsid w:val="00A90A85"/>
    <w:rsid w:val="00A97CB9"/>
    <w:rsid w:val="00AD676F"/>
    <w:rsid w:val="00AE3866"/>
    <w:rsid w:val="00AE5B98"/>
    <w:rsid w:val="00AF1966"/>
    <w:rsid w:val="00AF36E6"/>
    <w:rsid w:val="00AF5DC9"/>
    <w:rsid w:val="00B238E6"/>
    <w:rsid w:val="00B25489"/>
    <w:rsid w:val="00B34AD2"/>
    <w:rsid w:val="00B3604B"/>
    <w:rsid w:val="00B40EBE"/>
    <w:rsid w:val="00B4311A"/>
    <w:rsid w:val="00B44A82"/>
    <w:rsid w:val="00B466F7"/>
    <w:rsid w:val="00B55AE5"/>
    <w:rsid w:val="00B634D8"/>
    <w:rsid w:val="00B660C0"/>
    <w:rsid w:val="00B70A38"/>
    <w:rsid w:val="00B730BA"/>
    <w:rsid w:val="00B73AC4"/>
    <w:rsid w:val="00B82643"/>
    <w:rsid w:val="00B95FD4"/>
    <w:rsid w:val="00BA088B"/>
    <w:rsid w:val="00BA221A"/>
    <w:rsid w:val="00BA3264"/>
    <w:rsid w:val="00BA72D0"/>
    <w:rsid w:val="00BB1FE6"/>
    <w:rsid w:val="00BB39BE"/>
    <w:rsid w:val="00BB43A1"/>
    <w:rsid w:val="00BC3344"/>
    <w:rsid w:val="00BC6B61"/>
    <w:rsid w:val="00BD3843"/>
    <w:rsid w:val="00BE26CF"/>
    <w:rsid w:val="00BE44FE"/>
    <w:rsid w:val="00C0728F"/>
    <w:rsid w:val="00C11379"/>
    <w:rsid w:val="00C11F09"/>
    <w:rsid w:val="00C17B4D"/>
    <w:rsid w:val="00C20BB8"/>
    <w:rsid w:val="00C25F46"/>
    <w:rsid w:val="00C260A2"/>
    <w:rsid w:val="00C31221"/>
    <w:rsid w:val="00C32953"/>
    <w:rsid w:val="00C342E3"/>
    <w:rsid w:val="00C40D46"/>
    <w:rsid w:val="00C40F0B"/>
    <w:rsid w:val="00C546CE"/>
    <w:rsid w:val="00C63DAF"/>
    <w:rsid w:val="00C75295"/>
    <w:rsid w:val="00C928A1"/>
    <w:rsid w:val="00CA4C4E"/>
    <w:rsid w:val="00CA53ED"/>
    <w:rsid w:val="00CB31C0"/>
    <w:rsid w:val="00CB591D"/>
    <w:rsid w:val="00CC5056"/>
    <w:rsid w:val="00CD22AD"/>
    <w:rsid w:val="00CD30F0"/>
    <w:rsid w:val="00CE3180"/>
    <w:rsid w:val="00CF510F"/>
    <w:rsid w:val="00D039B4"/>
    <w:rsid w:val="00D04BB6"/>
    <w:rsid w:val="00D115EF"/>
    <w:rsid w:val="00D20B10"/>
    <w:rsid w:val="00D2739E"/>
    <w:rsid w:val="00D2755F"/>
    <w:rsid w:val="00D319B7"/>
    <w:rsid w:val="00D8085B"/>
    <w:rsid w:val="00D869FC"/>
    <w:rsid w:val="00DA1CE3"/>
    <w:rsid w:val="00DA3804"/>
    <w:rsid w:val="00DA5C35"/>
    <w:rsid w:val="00DC0D9E"/>
    <w:rsid w:val="00DC2D31"/>
    <w:rsid w:val="00DC517B"/>
    <w:rsid w:val="00DC5DB0"/>
    <w:rsid w:val="00DC7EC3"/>
    <w:rsid w:val="00DD0C5F"/>
    <w:rsid w:val="00DD180B"/>
    <w:rsid w:val="00DD4FD8"/>
    <w:rsid w:val="00DE1530"/>
    <w:rsid w:val="00DF1BC8"/>
    <w:rsid w:val="00DF71F9"/>
    <w:rsid w:val="00E0222E"/>
    <w:rsid w:val="00E1637F"/>
    <w:rsid w:val="00E22D78"/>
    <w:rsid w:val="00E24428"/>
    <w:rsid w:val="00E272CC"/>
    <w:rsid w:val="00E30F8F"/>
    <w:rsid w:val="00E312A5"/>
    <w:rsid w:val="00E41148"/>
    <w:rsid w:val="00E421F6"/>
    <w:rsid w:val="00E6566F"/>
    <w:rsid w:val="00E65BC2"/>
    <w:rsid w:val="00E77DB4"/>
    <w:rsid w:val="00E90846"/>
    <w:rsid w:val="00EA107C"/>
    <w:rsid w:val="00EA42E6"/>
    <w:rsid w:val="00EB2F1B"/>
    <w:rsid w:val="00EB4DF6"/>
    <w:rsid w:val="00ED5BAD"/>
    <w:rsid w:val="00EE44C1"/>
    <w:rsid w:val="00EF485C"/>
    <w:rsid w:val="00F06906"/>
    <w:rsid w:val="00F0738B"/>
    <w:rsid w:val="00F1122F"/>
    <w:rsid w:val="00F139C0"/>
    <w:rsid w:val="00F27B9E"/>
    <w:rsid w:val="00F32033"/>
    <w:rsid w:val="00F36862"/>
    <w:rsid w:val="00F37319"/>
    <w:rsid w:val="00F4501A"/>
    <w:rsid w:val="00F5680D"/>
    <w:rsid w:val="00F5792E"/>
    <w:rsid w:val="00F60DD2"/>
    <w:rsid w:val="00F67E0C"/>
    <w:rsid w:val="00F7182F"/>
    <w:rsid w:val="00F723C1"/>
    <w:rsid w:val="00F723F1"/>
    <w:rsid w:val="00F86373"/>
    <w:rsid w:val="00F94E08"/>
    <w:rsid w:val="00F95B63"/>
    <w:rsid w:val="00FA1528"/>
    <w:rsid w:val="00FA3D49"/>
    <w:rsid w:val="00FA424E"/>
    <w:rsid w:val="00FA5928"/>
    <w:rsid w:val="00FB5539"/>
    <w:rsid w:val="00FC1E3A"/>
    <w:rsid w:val="00FD48AF"/>
    <w:rsid w:val="00FD7600"/>
    <w:rsid w:val="00FE4DDD"/>
    <w:rsid w:val="00FE7280"/>
    <w:rsid w:val="00FE7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8CB33-291A-4DA1-BF3E-827B614B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9CD"/>
  </w:style>
  <w:style w:type="paragraph" w:styleId="Heading1">
    <w:name w:val="heading 1"/>
    <w:basedOn w:val="Normal"/>
    <w:next w:val="Normal"/>
    <w:link w:val="Heading1Char"/>
    <w:uiPriority w:val="9"/>
    <w:qFormat/>
    <w:rsid w:val="009321D0"/>
    <w:pPr>
      <w:keepNext/>
      <w:tabs>
        <w:tab w:val="right" w:pos="9025"/>
      </w:tabs>
      <w:spacing w:after="0" w:line="210" w:lineRule="auto"/>
      <w:jc w:val="both"/>
      <w:outlineLvl w:val="0"/>
    </w:pPr>
    <w:rPr>
      <w:rFonts w:ascii="CTimesBold" w:eastAsia="Times New Roman" w:hAnsi="CTimesBold" w:cs="Times New Roman"/>
      <w:b/>
      <w:snapToGrid w:val="0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321D0"/>
    <w:pPr>
      <w:keepNext/>
      <w:widowControl w:val="0"/>
      <w:spacing w:after="0" w:line="240" w:lineRule="auto"/>
      <w:jc w:val="center"/>
      <w:outlineLvl w:val="1"/>
    </w:pPr>
    <w:rPr>
      <w:rFonts w:ascii="CTimesRoman" w:eastAsia="Times New Roman" w:hAnsi="CTimesRoman" w:cs="Times New Roman"/>
      <w:b/>
      <w:snapToGrid w:val="0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321D0"/>
    <w:pPr>
      <w:keepNext/>
      <w:tabs>
        <w:tab w:val="left" w:pos="288"/>
        <w:tab w:val="left" w:pos="821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outlineLvl w:val="2"/>
    </w:pPr>
    <w:rPr>
      <w:rFonts w:ascii="CTimesBold" w:eastAsia="Times New Roman" w:hAnsi="CTimesBold" w:cs="Times New Roman"/>
      <w:b/>
      <w:snapToGrid w:val="0"/>
      <w:sz w:val="1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321D0"/>
    <w:pPr>
      <w:keepNext/>
      <w:spacing w:after="0" w:line="240" w:lineRule="auto"/>
      <w:ind w:firstLine="360"/>
      <w:outlineLvl w:val="3"/>
    </w:pPr>
    <w:rPr>
      <w:rFonts w:ascii="CTimesBold" w:eastAsia="Times New Roman" w:hAnsi="CTimesBold" w:cs="Times New Roman"/>
      <w:i/>
      <w:snapToGrid w:val="0"/>
      <w:color w:val="000000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9321D0"/>
    <w:pPr>
      <w:keepNext/>
      <w:tabs>
        <w:tab w:val="left" w:pos="288"/>
        <w:tab w:val="left" w:pos="821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center"/>
      <w:outlineLvl w:val="4"/>
    </w:pPr>
    <w:rPr>
      <w:rFonts w:ascii="CTimesBold" w:eastAsia="Times New Roman" w:hAnsi="CTimesBold" w:cs="Times New Roman"/>
      <w:snapToGrid w:val="0"/>
      <w:sz w:val="20"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9321D0"/>
    <w:pPr>
      <w:keepNext/>
      <w:spacing w:after="0" w:line="240" w:lineRule="auto"/>
      <w:outlineLvl w:val="5"/>
    </w:pPr>
    <w:rPr>
      <w:rFonts w:ascii="CTimesRoman" w:eastAsia="Times New Roman" w:hAnsi="CTimesRoman" w:cs="Times New Roman"/>
      <w:b/>
      <w:snapToGrid w:val="0"/>
      <w:color w:val="000000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321D0"/>
    <w:pPr>
      <w:keepNext/>
      <w:tabs>
        <w:tab w:val="left" w:pos="-1440"/>
        <w:tab w:val="left" w:pos="-720"/>
        <w:tab w:val="left" w:pos="538"/>
        <w:tab w:val="left" w:pos="720"/>
        <w:tab w:val="left" w:pos="889"/>
        <w:tab w:val="left" w:pos="1094"/>
        <w:tab w:val="left" w:pos="4514"/>
        <w:tab w:val="right" w:pos="5472"/>
        <w:tab w:val="left" w:pos="5677"/>
        <w:tab w:val="right" w:pos="6635"/>
        <w:tab w:val="left" w:pos="6840"/>
        <w:tab w:val="right" w:pos="7729"/>
        <w:tab w:val="left" w:pos="7866"/>
        <w:tab w:val="right" w:pos="8960"/>
      </w:tabs>
      <w:spacing w:after="0" w:line="210" w:lineRule="atLeast"/>
      <w:ind w:left="720" w:hanging="720"/>
      <w:jc w:val="both"/>
      <w:outlineLvl w:val="6"/>
    </w:pPr>
    <w:rPr>
      <w:rFonts w:ascii="CTimesBold" w:eastAsia="Times New Roman" w:hAnsi="CTimesBold" w:cs="Times New Roman"/>
      <w:i/>
      <w:snapToGrid w:val="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9321D0"/>
    <w:pPr>
      <w:keepNext/>
      <w:widowControl w:val="0"/>
      <w:spacing w:after="0" w:line="240" w:lineRule="auto"/>
      <w:outlineLvl w:val="7"/>
    </w:pPr>
    <w:rPr>
      <w:rFonts w:ascii="CTimesRoman" w:eastAsia="Times New Roman" w:hAnsi="CTimesRoman" w:cs="Times New Roman"/>
      <w:b/>
      <w:snapToGrid w:val="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9321D0"/>
    <w:pPr>
      <w:keepNext/>
      <w:spacing w:after="0" w:line="240" w:lineRule="auto"/>
      <w:ind w:left="720"/>
      <w:jc w:val="both"/>
      <w:outlineLvl w:val="8"/>
    </w:pPr>
    <w:rPr>
      <w:rFonts w:ascii="CTimesBold" w:eastAsia="Times New Roman" w:hAnsi="CTimesBold" w:cs="Times New Roman"/>
      <w:i/>
      <w:snapToGrid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1D0"/>
    <w:rPr>
      <w:rFonts w:ascii="CTimesBold" w:eastAsia="Times New Roman" w:hAnsi="CTimesBold" w:cs="Times New Roman"/>
      <w:b/>
      <w:snapToGrid w:val="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321D0"/>
    <w:rPr>
      <w:rFonts w:ascii="CTimesRoman" w:eastAsia="Times New Roman" w:hAnsi="CTimesRoman" w:cs="Times New Roman"/>
      <w:b/>
      <w:snapToGrid w:val="0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321D0"/>
    <w:rPr>
      <w:rFonts w:ascii="CTimesBold" w:eastAsia="Times New Roman" w:hAnsi="CTimesBold" w:cs="Times New Roman"/>
      <w:b/>
      <w:snapToGrid w:val="0"/>
      <w:sz w:val="1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321D0"/>
    <w:rPr>
      <w:rFonts w:ascii="CTimesBold" w:eastAsia="Times New Roman" w:hAnsi="CTimesBold" w:cs="Times New Roman"/>
      <w:i/>
      <w:snapToGrid w:val="0"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321D0"/>
    <w:rPr>
      <w:rFonts w:ascii="CTimesBold" w:eastAsia="Times New Roman" w:hAnsi="CTimesBold" w:cs="Times New Roman"/>
      <w:snapToGrid w:val="0"/>
      <w:sz w:val="20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9321D0"/>
    <w:rPr>
      <w:rFonts w:ascii="CTimesRoman" w:eastAsia="Times New Roman" w:hAnsi="CTimesRoman" w:cs="Times New Roman"/>
      <w:b/>
      <w:snapToGrid w:val="0"/>
      <w:color w:val="00000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321D0"/>
    <w:rPr>
      <w:rFonts w:ascii="CTimesBold" w:eastAsia="Times New Roman" w:hAnsi="CTimesBold" w:cs="Times New Roman"/>
      <w:i/>
      <w:snapToGrid w:val="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321D0"/>
    <w:rPr>
      <w:rFonts w:ascii="CTimesRoman" w:eastAsia="Times New Roman" w:hAnsi="CTimesRoman" w:cs="Times New Roman"/>
      <w:b/>
      <w:snapToGrid w:val="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321D0"/>
    <w:rPr>
      <w:rFonts w:ascii="CTimesBold" w:eastAsia="Times New Roman" w:hAnsi="CTimesBold" w:cs="Times New Roman"/>
      <w:i/>
      <w:snapToGrid w:val="0"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321D0"/>
  </w:style>
  <w:style w:type="paragraph" w:styleId="Header">
    <w:name w:val="header"/>
    <w:basedOn w:val="Normal"/>
    <w:link w:val="HeaderChar"/>
    <w:rsid w:val="009321D0"/>
    <w:pPr>
      <w:tabs>
        <w:tab w:val="center" w:pos="4320"/>
        <w:tab w:val="right" w:pos="8640"/>
      </w:tabs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9321D0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rsid w:val="009321D0"/>
    <w:pPr>
      <w:tabs>
        <w:tab w:val="center" w:pos="4320"/>
        <w:tab w:val="right" w:pos="8640"/>
      </w:tabs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321D0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character" w:styleId="PageNumber">
    <w:name w:val="page number"/>
    <w:basedOn w:val="DefaultParagraphFont"/>
    <w:rsid w:val="009321D0"/>
  </w:style>
  <w:style w:type="paragraph" w:styleId="CommentText">
    <w:name w:val="annotation text"/>
    <w:basedOn w:val="Normal"/>
    <w:link w:val="CommentTextChar"/>
    <w:semiHidden/>
    <w:rsid w:val="009321D0"/>
    <w:pPr>
      <w:spacing w:after="0" w:line="240" w:lineRule="auto"/>
    </w:pPr>
    <w:rPr>
      <w:rFonts w:ascii="Helvetica" w:eastAsia="Times New Roman" w:hAnsi="Helvetica" w:cs="Times New Roman"/>
      <w:snapToGrid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9321D0"/>
    <w:rPr>
      <w:rFonts w:ascii="Helvetica" w:eastAsia="Times New Roman" w:hAnsi="Helvetica" w:cs="Times New Roman"/>
      <w:snapToGrid w:val="0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21D0"/>
    <w:pPr>
      <w:spacing w:after="24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321D0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9321D0"/>
    <w:pPr>
      <w:widowControl w:val="0"/>
      <w:tabs>
        <w:tab w:val="left" w:pos="-1440"/>
        <w:tab w:val="left" w:pos="-720"/>
        <w:tab w:val="left" w:pos="0"/>
        <w:tab w:val="right" w:pos="8960"/>
      </w:tabs>
      <w:spacing w:after="0" w:line="240" w:lineRule="auto"/>
      <w:ind w:left="1080"/>
      <w:jc w:val="both"/>
    </w:pPr>
    <w:rPr>
      <w:rFonts w:ascii="TimesRoman" w:eastAsia="Times New Roman" w:hAnsi="Times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321D0"/>
    <w:rPr>
      <w:rFonts w:ascii="TimesRoman" w:eastAsia="Times New Roman" w:hAnsi="Times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9321D0"/>
    <w:pPr>
      <w:widowControl w:val="0"/>
      <w:tabs>
        <w:tab w:val="left" w:pos="-1440"/>
        <w:tab w:val="left" w:pos="-720"/>
        <w:tab w:val="left" w:pos="990"/>
      </w:tabs>
      <w:spacing w:after="0" w:line="240" w:lineRule="auto"/>
      <w:ind w:left="993" w:hanging="453"/>
      <w:jc w:val="both"/>
    </w:pPr>
    <w:rPr>
      <w:rFonts w:ascii="TimesRoman" w:eastAsia="Times New Roman" w:hAnsi="TimesRoman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9321D0"/>
    <w:rPr>
      <w:rFonts w:ascii="TimesRoman" w:eastAsia="Times New Roman" w:hAnsi="TimesRoman" w:cs="Times New Roman"/>
      <w:sz w:val="20"/>
      <w:szCs w:val="20"/>
      <w:lang w:val="en-US"/>
    </w:rPr>
  </w:style>
  <w:style w:type="paragraph" w:styleId="BodyTextIndent2">
    <w:name w:val="Body Text Indent 2"/>
    <w:aliases w:val="  uvlaka 2,uvlaka 2"/>
    <w:basedOn w:val="Normal"/>
    <w:link w:val="BodyTextIndent2Char"/>
    <w:rsid w:val="009321D0"/>
    <w:pPr>
      <w:widowControl w:val="0"/>
      <w:tabs>
        <w:tab w:val="left" w:pos="-1440"/>
        <w:tab w:val="left" w:pos="-720"/>
        <w:tab w:val="left" w:pos="990"/>
      </w:tabs>
      <w:spacing w:after="0" w:line="240" w:lineRule="auto"/>
      <w:ind w:left="993" w:hanging="426"/>
      <w:jc w:val="both"/>
    </w:pPr>
    <w:rPr>
      <w:rFonts w:ascii="TimesRoman" w:eastAsia="Times New Roman" w:hAnsi="TimesRoman" w:cs="Times New Roman"/>
      <w:sz w:val="20"/>
      <w:szCs w:val="20"/>
      <w:lang w:val="en-US"/>
    </w:rPr>
  </w:style>
  <w:style w:type="character" w:customStyle="1" w:styleId="BodyTextIndent2Char">
    <w:name w:val="Body Text Indent 2 Char"/>
    <w:aliases w:val="  uvlaka 2 Char,uvlaka 2 Char"/>
    <w:basedOn w:val="DefaultParagraphFont"/>
    <w:link w:val="BodyTextIndent2"/>
    <w:rsid w:val="009321D0"/>
    <w:rPr>
      <w:rFonts w:ascii="TimesRoman" w:eastAsia="Times New Roman" w:hAnsi="TimesRoman" w:cs="Times New Roman"/>
      <w:sz w:val="20"/>
      <w:szCs w:val="20"/>
      <w:lang w:val="en-US"/>
    </w:rPr>
  </w:style>
  <w:style w:type="paragraph" w:styleId="BlockText">
    <w:name w:val="Block Text"/>
    <w:basedOn w:val="Normal"/>
    <w:rsid w:val="009321D0"/>
    <w:pPr>
      <w:tabs>
        <w:tab w:val="left" w:pos="-1440"/>
        <w:tab w:val="left" w:pos="-720"/>
        <w:tab w:val="left" w:pos="0"/>
        <w:tab w:val="left" w:pos="810"/>
        <w:tab w:val="left" w:pos="889"/>
        <w:tab w:val="left" w:pos="1231"/>
        <w:tab w:val="right" w:pos="8960"/>
      </w:tabs>
      <w:spacing w:after="0" w:line="240" w:lineRule="auto"/>
      <w:ind w:left="720" w:right="-11" w:hanging="720"/>
      <w:jc w:val="both"/>
    </w:pPr>
    <w:rPr>
      <w:rFonts w:ascii="CTimesRoman" w:eastAsia="Times New Roman" w:hAnsi="CTimesRoman" w:cs="Times New Roman"/>
      <w:snapToGrid w:val="0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321D0"/>
    <w:pPr>
      <w:tabs>
        <w:tab w:val="left" w:pos="-1440"/>
        <w:tab w:val="left" w:pos="-720"/>
        <w:tab w:val="left" w:pos="0"/>
        <w:tab w:val="left" w:pos="810"/>
        <w:tab w:val="right" w:pos="8647"/>
      </w:tabs>
      <w:spacing w:before="100" w:after="0" w:line="240" w:lineRule="auto"/>
      <w:jc w:val="both"/>
    </w:pPr>
    <w:rPr>
      <w:rFonts w:ascii="CTimesRoman" w:eastAsia="Times New Roman" w:hAnsi="CTimesRoman" w:cs="Times New Roman"/>
      <w:snapToGrid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321D0"/>
    <w:rPr>
      <w:rFonts w:ascii="CTimesRoman" w:eastAsia="Times New Roman" w:hAnsi="CTimesRoman" w:cs="Times New Roman"/>
      <w:snapToGrid w:val="0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9321D0"/>
    <w:pPr>
      <w:widowControl w:val="0"/>
      <w:spacing w:after="0" w:line="240" w:lineRule="auto"/>
      <w:jc w:val="right"/>
    </w:pPr>
    <w:rPr>
      <w:rFonts w:ascii="CTimesBold" w:eastAsia="Times New Roman" w:hAnsi="CTimesBold" w:cs="Times New Roman"/>
      <w:snapToGrid w:val="0"/>
      <w:sz w:val="17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321D0"/>
    <w:rPr>
      <w:rFonts w:ascii="CTimesBold" w:eastAsia="Times New Roman" w:hAnsi="CTimesBold" w:cs="Times New Roman"/>
      <w:snapToGrid w:val="0"/>
      <w:sz w:val="17"/>
      <w:szCs w:val="20"/>
      <w:lang w:val="en-US"/>
    </w:rPr>
  </w:style>
  <w:style w:type="character" w:styleId="Hyperlink">
    <w:name w:val="Hyperlink"/>
    <w:uiPriority w:val="99"/>
    <w:rsid w:val="009321D0"/>
    <w:rPr>
      <w:color w:val="0000FF"/>
      <w:u w:val="single"/>
    </w:rPr>
  </w:style>
  <w:style w:type="character" w:styleId="FollowedHyperlink">
    <w:name w:val="FollowedHyperlink"/>
    <w:uiPriority w:val="99"/>
    <w:rsid w:val="009321D0"/>
    <w:rPr>
      <w:color w:val="800080"/>
      <w:u w:val="single"/>
    </w:rPr>
  </w:style>
  <w:style w:type="paragraph" w:customStyle="1" w:styleId="xl24">
    <w:name w:val="xl24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9321D0"/>
    <w:pPr>
      <w:spacing w:before="100" w:beforeAutospacing="1" w:after="100" w:afterAutospacing="1" w:line="240" w:lineRule="auto"/>
      <w:jc w:val="center"/>
      <w:textAlignment w:val="top"/>
    </w:pPr>
    <w:rPr>
      <w:rFonts w:ascii="CTimesRoman" w:eastAsia="Arial Unicode MS" w:hAnsi="CTimesRoman" w:cs="Arial Unicode MS"/>
      <w:sz w:val="24"/>
      <w:szCs w:val="24"/>
      <w:lang w:val="en-US"/>
    </w:rPr>
  </w:style>
  <w:style w:type="paragraph" w:customStyle="1" w:styleId="xl26">
    <w:name w:val="xl26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TimesRomanBold" w:eastAsia="Arial Unicode MS" w:hAnsi="TimesRomanBold" w:cs="Arial Unicode MS"/>
      <w:sz w:val="24"/>
      <w:szCs w:val="24"/>
      <w:lang w:val="en-US"/>
    </w:rPr>
  </w:style>
  <w:style w:type="paragraph" w:customStyle="1" w:styleId="xl27">
    <w:name w:val="xl27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28">
    <w:name w:val="xl28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CTimesBold" w:eastAsia="Arial Unicode MS" w:hAnsi="CTimesBold" w:cs="Arial Unicode MS"/>
      <w:sz w:val="24"/>
      <w:szCs w:val="24"/>
      <w:lang w:val="en-US"/>
    </w:rPr>
  </w:style>
  <w:style w:type="paragraph" w:customStyle="1" w:styleId="xl29">
    <w:name w:val="xl29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Helvetica" w:eastAsia="Arial Unicode MS" w:hAnsi="Helvetica" w:cs="Arial Unicode MS"/>
      <w:sz w:val="24"/>
      <w:szCs w:val="24"/>
      <w:lang w:val="en-US"/>
    </w:rPr>
  </w:style>
  <w:style w:type="paragraph" w:customStyle="1" w:styleId="xl30">
    <w:name w:val="xl30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Helvetica" w:eastAsia="Arial Unicode MS" w:hAnsi="Helvetica" w:cs="Arial Unicode MS"/>
      <w:sz w:val="24"/>
      <w:szCs w:val="24"/>
      <w:lang w:val="en-US"/>
    </w:rPr>
  </w:style>
  <w:style w:type="paragraph" w:customStyle="1" w:styleId="xl31">
    <w:name w:val="xl31"/>
    <w:basedOn w:val="Normal"/>
    <w:rsid w:val="009321D0"/>
    <w:pPr>
      <w:spacing w:before="100" w:beforeAutospacing="1" w:after="100" w:afterAutospacing="1" w:line="240" w:lineRule="auto"/>
      <w:jc w:val="center"/>
      <w:textAlignment w:val="top"/>
    </w:pPr>
    <w:rPr>
      <w:rFonts w:ascii="Helvetica" w:eastAsia="Arial Unicode MS" w:hAnsi="Helvetica" w:cs="Arial Unicode MS"/>
      <w:sz w:val="24"/>
      <w:szCs w:val="24"/>
      <w:lang w:val="en-US"/>
    </w:rPr>
  </w:style>
  <w:style w:type="paragraph" w:customStyle="1" w:styleId="xl32">
    <w:name w:val="xl32"/>
    <w:basedOn w:val="Normal"/>
    <w:rsid w:val="009321D0"/>
    <w:pPr>
      <w:spacing w:before="100" w:beforeAutospacing="1" w:after="100" w:afterAutospacing="1" w:line="240" w:lineRule="auto"/>
      <w:jc w:val="right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3">
    <w:name w:val="xl33"/>
    <w:basedOn w:val="Normal"/>
    <w:rsid w:val="009321D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4">
    <w:name w:val="xl34"/>
    <w:basedOn w:val="Normal"/>
    <w:rsid w:val="009321D0"/>
    <w:pPr>
      <w:pBdr>
        <w:bottom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5">
    <w:name w:val="xl35"/>
    <w:basedOn w:val="Normal"/>
    <w:rsid w:val="009321D0"/>
    <w:pPr>
      <w:spacing w:before="100" w:beforeAutospacing="1" w:after="100" w:afterAutospacing="1" w:line="240" w:lineRule="auto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6">
    <w:name w:val="xl36"/>
    <w:basedOn w:val="Normal"/>
    <w:rsid w:val="009321D0"/>
    <w:pPr>
      <w:spacing w:before="100" w:beforeAutospacing="1" w:after="100" w:afterAutospacing="1" w:line="240" w:lineRule="auto"/>
      <w:jc w:val="right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7">
    <w:name w:val="xl37"/>
    <w:basedOn w:val="Normal"/>
    <w:rsid w:val="009321D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Roman" w:eastAsia="Arial Unicode MS" w:hAnsi="TimesRoman" w:cs="Arial Unicode MS"/>
      <w:sz w:val="24"/>
      <w:szCs w:val="24"/>
      <w:lang w:val="en-US"/>
    </w:rPr>
  </w:style>
  <w:style w:type="paragraph" w:customStyle="1" w:styleId="xl38">
    <w:name w:val="xl38"/>
    <w:basedOn w:val="Normal"/>
    <w:rsid w:val="009321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TimesRoman" w:eastAsia="Arial Unicode MS" w:hAnsi="CTimesRoman" w:cs="Arial Unicode MS"/>
      <w:sz w:val="24"/>
      <w:szCs w:val="24"/>
      <w:lang w:val="en-US"/>
    </w:rPr>
  </w:style>
  <w:style w:type="paragraph" w:customStyle="1" w:styleId="BodyText21">
    <w:name w:val="Body Text 21"/>
    <w:basedOn w:val="Normal"/>
    <w:rsid w:val="009321D0"/>
    <w:pPr>
      <w:widowControl w:val="0"/>
      <w:tabs>
        <w:tab w:val="left" w:pos="90"/>
      </w:tabs>
      <w:autoSpaceDE w:val="0"/>
      <w:autoSpaceDN w:val="0"/>
      <w:adjustRightInd w:val="0"/>
      <w:spacing w:after="0" w:line="240" w:lineRule="auto"/>
      <w:ind w:left="90" w:hanging="90"/>
      <w:jc w:val="both"/>
    </w:pPr>
    <w:rPr>
      <w:rFonts w:ascii="TimesRoman" w:eastAsia="Times New Roman" w:hAnsi="TimesRoman" w:cs="Times New Roman"/>
      <w:sz w:val="20"/>
      <w:szCs w:val="20"/>
      <w:lang w:val="en-US"/>
    </w:rPr>
  </w:style>
  <w:style w:type="paragraph" w:customStyle="1" w:styleId="TableHeader">
    <w:name w:val="Table Header"/>
    <w:basedOn w:val="Normal"/>
    <w:autoRedefine/>
    <w:rsid w:val="009321D0"/>
    <w:pPr>
      <w:spacing w:after="0" w:line="240" w:lineRule="auto"/>
      <w:ind w:right="72"/>
      <w:jc w:val="right"/>
    </w:pPr>
    <w:rPr>
      <w:rFonts w:ascii="Times New Roman" w:eastAsia="Times New Roman" w:hAnsi="Times New Roman" w:cs="Times New Roman"/>
      <w:b/>
      <w:bCs/>
      <w:snapToGrid w:val="0"/>
      <w:sz w:val="18"/>
      <w:szCs w:val="18"/>
      <w:lang w:val="sr-Cyrl-CS"/>
    </w:rPr>
  </w:style>
  <w:style w:type="paragraph" w:customStyle="1" w:styleId="TableNumber">
    <w:name w:val="Table Number"/>
    <w:basedOn w:val="Normal"/>
    <w:autoRedefine/>
    <w:rsid w:val="009321D0"/>
    <w:pPr>
      <w:spacing w:after="0" w:line="240" w:lineRule="auto"/>
      <w:ind w:right="72"/>
      <w:jc w:val="right"/>
    </w:pPr>
    <w:rPr>
      <w:rFonts w:ascii="Arial" w:eastAsia="Arial Unicode MS" w:hAnsi="Arial" w:cs="Times New Roman"/>
      <w:bCs/>
      <w:snapToGrid w:val="0"/>
      <w:color w:val="000000"/>
      <w:sz w:val="18"/>
      <w:szCs w:val="24"/>
      <w:lang w:val="en-US"/>
    </w:rPr>
  </w:style>
  <w:style w:type="paragraph" w:customStyle="1" w:styleId="TableDecription">
    <w:name w:val="Table Decription"/>
    <w:basedOn w:val="Normal"/>
    <w:autoRedefine/>
    <w:rsid w:val="009321D0"/>
    <w:pPr>
      <w:spacing w:after="0" w:line="240" w:lineRule="auto"/>
    </w:pPr>
    <w:rPr>
      <w:rFonts w:ascii="Times New Roman" w:eastAsia="Arial Unicode MS" w:hAnsi="Times New Roman" w:cs="Times New Roman"/>
      <w:snapToGrid w:val="0"/>
      <w:sz w:val="21"/>
      <w:szCs w:val="24"/>
      <w:lang w:val="sr-Cyrl-CS"/>
    </w:rPr>
  </w:style>
  <w:style w:type="paragraph" w:customStyle="1" w:styleId="Default">
    <w:name w:val="Default"/>
    <w:rsid w:val="009321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Indent">
    <w:name w:val="Normal Indent"/>
    <w:basedOn w:val="Normal"/>
    <w:rsid w:val="009321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dst">
    <w:name w:val="odst"/>
    <w:basedOn w:val="Normal"/>
    <w:autoRedefine/>
    <w:rsid w:val="009321D0"/>
    <w:pPr>
      <w:tabs>
        <w:tab w:val="left" w:pos="-1440"/>
        <w:tab w:val="left" w:pos="-720"/>
        <w:tab w:val="left" w:pos="0"/>
        <w:tab w:val="left" w:pos="538"/>
        <w:tab w:val="left" w:pos="889"/>
        <w:tab w:val="left" w:pos="1231"/>
        <w:tab w:val="left" w:pos="1710"/>
        <w:tab w:val="right" w:pos="8640"/>
      </w:tabs>
      <w:spacing w:after="0" w:line="140" w:lineRule="exact"/>
      <w:ind w:firstLine="720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BodyText22">
    <w:name w:val="Body Text 22"/>
    <w:basedOn w:val="Normal"/>
    <w:rsid w:val="009321D0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Roman" w:eastAsia="Times New Roman" w:hAnsi="Times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9321D0"/>
    <w:pPr>
      <w:spacing w:after="0" w:line="240" w:lineRule="auto"/>
    </w:pPr>
    <w:rPr>
      <w:rFonts w:ascii="Tahoma" w:eastAsia="Times New Roman" w:hAnsi="Tahoma" w:cs="Times New Roman"/>
      <w:snapToGrid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9321D0"/>
    <w:rPr>
      <w:rFonts w:ascii="Tahoma" w:eastAsia="Times New Roman" w:hAnsi="Tahoma" w:cs="Times New Roman"/>
      <w:snapToGrid w:val="0"/>
      <w:sz w:val="16"/>
      <w:szCs w:val="16"/>
      <w:lang w:val="en-US"/>
    </w:rPr>
  </w:style>
  <w:style w:type="paragraph" w:customStyle="1" w:styleId="Bodycopy">
    <w:name w:val="Body copy"/>
    <w:rsid w:val="009321D0"/>
    <w:pPr>
      <w:spacing w:before="20" w:after="0" w:line="210" w:lineRule="exact"/>
    </w:pPr>
    <w:rPr>
      <w:rFonts w:ascii="Arial" w:eastAsia="PMingLiU" w:hAnsi="Arial" w:cs="Arial"/>
      <w:color w:val="000000"/>
      <w:sz w:val="17"/>
      <w:szCs w:val="17"/>
      <w:lang w:val="en-US"/>
    </w:rPr>
  </w:style>
  <w:style w:type="paragraph" w:customStyle="1" w:styleId="Bodycopyheader1">
    <w:name w:val="Body copy header 1"/>
    <w:basedOn w:val="Bodycopy"/>
    <w:rsid w:val="009321D0"/>
    <w:rPr>
      <w:b/>
    </w:rPr>
  </w:style>
  <w:style w:type="paragraph" w:customStyle="1" w:styleId="Bodycopyrightindent">
    <w:name w:val="Body copy right indent"/>
    <w:basedOn w:val="Bodycopy"/>
    <w:rsid w:val="009321D0"/>
    <w:pPr>
      <w:jc w:val="right"/>
    </w:pPr>
  </w:style>
  <w:style w:type="character" w:styleId="CommentReference">
    <w:name w:val="annotation reference"/>
    <w:rsid w:val="009321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2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21D0"/>
    <w:rPr>
      <w:rFonts w:ascii="Helvetica" w:eastAsia="Times New Roman" w:hAnsi="Helvetica" w:cs="Times New Roman"/>
      <w:b/>
      <w:bCs/>
      <w:snapToGrid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321D0"/>
    <w:pPr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paragraph" w:customStyle="1" w:styleId="Indent">
    <w:name w:val="Indent"/>
    <w:rsid w:val="009321D0"/>
    <w:pPr>
      <w:widowControl w:val="0"/>
      <w:autoSpaceDE w:val="0"/>
      <w:autoSpaceDN w:val="0"/>
      <w:adjustRightInd w:val="0"/>
      <w:spacing w:after="120" w:line="240" w:lineRule="auto"/>
      <w:ind w:left="54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9321D0"/>
  </w:style>
  <w:style w:type="character" w:customStyle="1" w:styleId="hpsatn">
    <w:name w:val="hps atn"/>
    <w:basedOn w:val="DefaultParagraphFont"/>
    <w:rsid w:val="009321D0"/>
  </w:style>
  <w:style w:type="paragraph" w:styleId="DocumentMap">
    <w:name w:val="Document Map"/>
    <w:basedOn w:val="Normal"/>
    <w:link w:val="DocumentMapChar"/>
    <w:rsid w:val="009321D0"/>
    <w:pPr>
      <w:spacing w:after="0" w:line="240" w:lineRule="auto"/>
    </w:pPr>
    <w:rPr>
      <w:rFonts w:ascii="Tahoma" w:eastAsia="Times New Roman" w:hAnsi="Tahoma" w:cs="Times New Roman"/>
      <w:snapToGrid w:val="0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rsid w:val="009321D0"/>
    <w:rPr>
      <w:rFonts w:ascii="Tahoma" w:eastAsia="Times New Roman" w:hAnsi="Tahoma" w:cs="Times New Roman"/>
      <w:snapToGrid w:val="0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rsid w:val="00932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321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9321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21D0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rsid w:val="00932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naslov2">
    <w:name w:val="Podnaslov2"/>
    <w:basedOn w:val="Normal"/>
    <w:rsid w:val="009321D0"/>
    <w:pPr>
      <w:spacing w:after="0" w:line="240" w:lineRule="auto"/>
      <w:jc w:val="both"/>
    </w:pPr>
    <w:rPr>
      <w:rFonts w:ascii="Switzerland" w:eastAsia="Times New Roman" w:hAnsi="Switzerland" w:cs="Times New Roman"/>
      <w:b/>
      <w:bCs/>
      <w:sz w:val="24"/>
      <w:szCs w:val="24"/>
      <w:lang w:val="en-US"/>
    </w:rPr>
  </w:style>
  <w:style w:type="paragraph" w:customStyle="1" w:styleId="Podnaslov1">
    <w:name w:val="Podnaslov1"/>
    <w:basedOn w:val="Normal"/>
    <w:rsid w:val="009321D0"/>
    <w:pPr>
      <w:spacing w:after="0" w:line="240" w:lineRule="auto"/>
      <w:jc w:val="both"/>
    </w:pPr>
    <w:rPr>
      <w:rFonts w:ascii="Switzerland" w:eastAsia="Times New Roman" w:hAnsi="Switzerland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3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TMLPreformattedChar">
    <w:name w:val="HTML Preformatted Char"/>
    <w:link w:val="HTMLPreformatted"/>
    <w:uiPriority w:val="99"/>
    <w:rsid w:val="009321D0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2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PreformattedChar1">
    <w:name w:val="HTML Preformatted Char1"/>
    <w:basedOn w:val="DefaultParagraphFont"/>
    <w:rsid w:val="009321D0"/>
    <w:rPr>
      <w:rFonts w:ascii="Consolas" w:hAnsi="Consolas" w:cs="Consolas"/>
      <w:sz w:val="20"/>
      <w:szCs w:val="20"/>
    </w:rPr>
  </w:style>
  <w:style w:type="paragraph" w:styleId="Title">
    <w:name w:val="Title"/>
    <w:basedOn w:val="Normal"/>
    <w:link w:val="TitleChar"/>
    <w:qFormat/>
    <w:rsid w:val="009321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9321D0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ListBullet">
    <w:name w:val="List Bullet"/>
    <w:basedOn w:val="Normal"/>
    <w:rsid w:val="009321D0"/>
    <w:pPr>
      <w:numPr>
        <w:numId w:val="2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15</Pages>
  <Words>4294</Words>
  <Characters>24479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Vidakovic</dc:creator>
  <cp:keywords/>
  <dc:description/>
  <cp:lastModifiedBy>Vidakovic</cp:lastModifiedBy>
  <cp:revision>21</cp:revision>
  <cp:lastPrinted>2024-07-16T11:44:00Z</cp:lastPrinted>
  <dcterms:created xsi:type="dcterms:W3CDTF">2024-07-16T09:09:00Z</dcterms:created>
  <dcterms:modified xsi:type="dcterms:W3CDTF">2024-07-22T07:05:00Z</dcterms:modified>
</cp:coreProperties>
</file>