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D0" w:rsidRPr="00B25489" w:rsidRDefault="009321D0" w:rsidP="009321D0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538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10" w:lineRule="atLeast"/>
        <w:ind w:left="270"/>
        <w:jc w:val="center"/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</w:pPr>
      <w:r w:rsidRPr="00B25489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Napomene uz finansijski izvještaj za period 01.01.-</w:t>
      </w:r>
      <w:r w:rsidR="00DB35F7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3</w:t>
      </w:r>
      <w:r w:rsidR="00254E64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1</w:t>
      </w:r>
      <w:r w:rsidR="00DB35F7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.</w:t>
      </w:r>
      <w:r w:rsidR="00254E64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12</w:t>
      </w:r>
      <w:r w:rsidR="00DB35F7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.2023.</w:t>
      </w:r>
      <w:r w:rsidRPr="00B25489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 xml:space="preserve"> godine</w:t>
      </w:r>
    </w:p>
    <w:p w:rsidR="009321D0" w:rsidRPr="009321D0" w:rsidRDefault="009321D0" w:rsidP="009321D0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538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8505"/>
        </w:tabs>
        <w:spacing w:after="0" w:line="210" w:lineRule="atLeast"/>
        <w:ind w:left="270" w:right="-43"/>
        <w:jc w:val="center"/>
        <w:rPr>
          <w:rFonts w:ascii="Palatino Linotype" w:eastAsia="Times New Roman" w:hAnsi="Palatino Linotype" w:cs="Calibri"/>
          <w:snapToGrid w:val="0"/>
          <w:sz w:val="21"/>
          <w:szCs w:val="20"/>
          <w:lang w:val="sr-Cyrl-BA"/>
        </w:rPr>
      </w:pPr>
    </w:p>
    <w:p w:rsidR="009321D0" w:rsidRPr="009321D0" w:rsidRDefault="009321D0" w:rsidP="009321D0">
      <w:pPr>
        <w:tabs>
          <w:tab w:val="left" w:pos="-1440"/>
          <w:tab w:val="left" w:pos="-720"/>
          <w:tab w:val="left" w:pos="0"/>
          <w:tab w:val="left" w:pos="269"/>
          <w:tab w:val="left" w:pos="720"/>
          <w:tab w:val="left" w:pos="806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0"/>
          <w:highlight w:val="yellow"/>
          <w:lang w:val="it-IT"/>
        </w:rPr>
      </w:pPr>
    </w:p>
    <w:p w:rsidR="009321D0" w:rsidRPr="009321D0" w:rsidRDefault="009321D0" w:rsidP="009321D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69"/>
          <w:tab w:val="left" w:pos="720"/>
          <w:tab w:val="left" w:pos="806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40" w:lineRule="auto"/>
        <w:contextualSpacing/>
        <w:jc w:val="both"/>
        <w:rPr>
          <w:rFonts w:ascii="Palatino Linotype" w:eastAsia="Times New Roman" w:hAnsi="Palatino Linotype" w:cs="Calibri"/>
          <w:b/>
          <w:snapToGrid w:val="0"/>
          <w:sz w:val="21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1"/>
          <w:szCs w:val="20"/>
          <w:lang w:val="sr-Cyrl-BA"/>
        </w:rPr>
        <w:t xml:space="preserve">OSNIVANJE I </w:t>
      </w:r>
      <w:r w:rsidRPr="009321D0">
        <w:rPr>
          <w:rFonts w:ascii="Palatino Linotype" w:eastAsia="Times New Roman" w:hAnsi="Palatino Linotype" w:cs="Calibri"/>
          <w:b/>
          <w:snapToGrid w:val="0"/>
          <w:sz w:val="21"/>
          <w:szCs w:val="20"/>
          <w:lang w:val="sr-Cyrl-CS"/>
        </w:rPr>
        <w:t>OPŠTE INFORMACIJE O PREDUZEĆU</w:t>
      </w:r>
    </w:p>
    <w:p w:rsidR="009321D0" w:rsidRPr="009321D0" w:rsidRDefault="009321D0" w:rsidP="009321D0">
      <w:pPr>
        <w:spacing w:after="0" w:line="240" w:lineRule="auto"/>
        <w:ind w:left="706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it-IT"/>
        </w:rPr>
      </w:pPr>
    </w:p>
    <w:p w:rsidR="009321D0" w:rsidRPr="009321D0" w:rsidRDefault="009321D0" w:rsidP="009321D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  <w:t>Osniva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nj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  <w:t>e i registracija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Zdravstveno-turistički centar "Banja Vrućica" upisan je u Sudski registar dana 06.09.2001. godine, registarski uložak br. U/I-512/2001 u Osnovnom sudu u Doboju.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Posljednja promjena u registraciji vršena je 28.12.2022. godine, radi promjene lica ovlaštenog za zastupanje.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Društvo nastavlja poslovati sa slijedećim podacima: 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Firma: Akcionarsko društvo zdravstveno-turistički centar “BANJA VRUĆICA”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Skraćena oznaka firme : ZTC,,Banja Vrućica</w:t>
      </w:r>
      <w:r w:rsidR="001D1B7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”</w:t>
      </w: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, ad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Sjedište: ulica Nede Nedića 1,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MBS: 85-02-0009-09( stari broj 1-3576-00)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MB: 01867440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JIB: 4400096630002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Carinski broj : 4400096630002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Pravni osnov upisa: Odluka o imenovanju Generalnog direktora SP-91/2022 od 16.12.2022. godine.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Broj rješenja: 60-0-Reg-22-000546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Vlasnici </w:t>
      </w:r>
      <w:r w:rsidR="006229F1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na dan </w:t>
      </w:r>
      <w:r w:rsidR="00DB35F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3</w:t>
      </w:r>
      <w:r w:rsidR="008F2B89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1</w:t>
      </w:r>
      <w:r w:rsidR="00DB35F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.</w:t>
      </w:r>
      <w:r w:rsidR="008F2B89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12</w:t>
      </w:r>
      <w:r w:rsidR="00DB35F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.2023.</w:t>
      </w:r>
      <w:r w:rsidR="001E567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 godine</w:t>
      </w:r>
    </w:p>
    <w:p w:rsidR="009321D0" w:rsidRPr="009321D0" w:rsidRDefault="009321D0" w:rsidP="009321D0">
      <w:pPr>
        <w:spacing w:after="0" w:line="240" w:lineRule="auto"/>
        <w:ind w:left="792"/>
        <w:contextualSpacing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5306E7">
      <w:pPr>
        <w:spacing w:after="0" w:line="240" w:lineRule="auto"/>
        <w:ind w:left="720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Vlasnici su akcionari,prema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evidenciji koju vodi “Centralni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registar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hartija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od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vrijednosti”,</w:t>
      </w:r>
      <w:r w:rsidR="001E567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d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Banja</w:t>
      </w:r>
      <w:r w:rsidR="001E567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Luka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ulica Bana</w:t>
      </w:r>
      <w:r w:rsidR="0026352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Milosavljevi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a</w:t>
      </w:r>
      <w:r w:rsidR="0026352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broj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6.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sr-Cyrl-CS"/>
        </w:rPr>
      </w:pPr>
    </w:p>
    <w:p w:rsidR="009321D0" w:rsidRDefault="009321D0" w:rsidP="009321D0">
      <w:pPr>
        <w:pBdr>
          <w:bottom w:val="single" w:sz="6" w:space="0" w:color="075296"/>
        </w:pBdr>
        <w:shd w:val="clear" w:color="auto" w:fill="FFFFFF"/>
        <w:spacing w:before="120" w:after="0" w:line="240" w:lineRule="auto"/>
        <w:ind w:right="45"/>
        <w:outlineLvl w:val="1"/>
        <w:rPr>
          <w:rFonts w:ascii="Palatino Linotype" w:eastAsia="Times New Roman" w:hAnsi="Palatino Linotype" w:cs="Arial"/>
          <w:b/>
          <w:bCs/>
          <w:color w:val="000000"/>
        </w:rPr>
      </w:pPr>
      <w:r w:rsidRPr="009321D0">
        <w:rPr>
          <w:rFonts w:ascii="Palatino Linotype" w:eastAsia="Times New Roman" w:hAnsi="Palatino Linotype" w:cs="Arial"/>
          <w:b/>
          <w:bCs/>
          <w:color w:val="000000"/>
        </w:rPr>
        <w:t>Deset najvećih akcionara</w:t>
      </w:r>
    </w:p>
    <w:tbl>
      <w:tblPr>
        <w:tblW w:w="9159" w:type="dxa"/>
        <w:tblLook w:val="04A0" w:firstRow="1" w:lastRow="0" w:firstColumn="1" w:lastColumn="0" w:noHBand="0" w:noVBand="1"/>
      </w:tblPr>
      <w:tblGrid>
        <w:gridCol w:w="1072"/>
        <w:gridCol w:w="5022"/>
        <w:gridCol w:w="1750"/>
        <w:gridCol w:w="1315"/>
      </w:tblGrid>
      <w:tr w:rsidR="00D20B10" w:rsidRPr="00902DA1" w:rsidTr="00376D26">
        <w:trPr>
          <w:trHeight w:val="118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5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Naziv/Prezime i ime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02DA1" w:rsidRPr="00902DA1" w:rsidTr="00376D26">
        <w:trPr>
          <w:trHeight w:val="11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Sloboprom d.o.o. Lončari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Lončari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09752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63,3</w:t>
            </w:r>
            <w:r w:rsidR="00097524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99053</w:t>
            </w:r>
          </w:p>
        </w:tc>
      </w:tr>
      <w:tr w:rsidR="00902DA1" w:rsidRPr="00902DA1" w:rsidTr="00376D26">
        <w:trPr>
          <w:trHeight w:val="11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Pobjeda doo  Bijeljina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Bijeljina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12,034193</w:t>
            </w:r>
          </w:p>
        </w:tc>
      </w:tr>
      <w:tr w:rsidR="00902DA1" w:rsidRPr="00902DA1" w:rsidTr="00376D26">
        <w:trPr>
          <w:trHeight w:val="69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PREF AD </w:t>
            </w:r>
            <w:r w:rsidR="00376D26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Banjaluka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 Luka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9,012018</w:t>
            </w:r>
          </w:p>
        </w:tc>
      </w:tr>
      <w:tr w:rsidR="00902DA1" w:rsidRPr="00902DA1" w:rsidTr="00376D26">
        <w:trPr>
          <w:trHeight w:val="100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Akcijski fond RS a.d.</w:t>
            </w:r>
            <w:r w:rsidR="00376D26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Banjaluka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 Luka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4,675648</w:t>
            </w:r>
          </w:p>
        </w:tc>
      </w:tr>
      <w:tr w:rsidR="00902DA1" w:rsidRPr="00902DA1" w:rsidTr="00376D26">
        <w:trPr>
          <w:trHeight w:val="85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Fond za restituciju RS a.d.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 Luka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4,473533</w:t>
            </w:r>
          </w:p>
        </w:tc>
      </w:tr>
      <w:tr w:rsidR="00902DA1" w:rsidRPr="00902DA1" w:rsidTr="00376D26">
        <w:trPr>
          <w:trHeight w:val="121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Bogdanić Dragan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1,983076</w:t>
            </w:r>
          </w:p>
        </w:tc>
      </w:tr>
      <w:tr w:rsidR="00902DA1" w:rsidRPr="00902DA1" w:rsidTr="00376D26">
        <w:trPr>
          <w:trHeight w:val="75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Despot Borka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Kotor Varoš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0,086297</w:t>
            </w:r>
          </w:p>
        </w:tc>
      </w:tr>
      <w:tr w:rsidR="00902DA1" w:rsidRPr="00902DA1" w:rsidTr="00376D26">
        <w:trPr>
          <w:trHeight w:val="69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Hipp Marija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Našice-RH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0,068202</w:t>
            </w:r>
          </w:p>
        </w:tc>
      </w:tr>
      <w:tr w:rsidR="00902DA1" w:rsidRPr="00902DA1" w:rsidTr="00376D26">
        <w:trPr>
          <w:trHeight w:val="8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Kostić Božo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0,049446</w:t>
            </w:r>
          </w:p>
        </w:tc>
      </w:tr>
      <w:tr w:rsidR="00902DA1" w:rsidRPr="00902DA1" w:rsidTr="00376D26">
        <w:trPr>
          <w:trHeight w:val="79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Jauševac Radmila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0,040324</w:t>
            </w:r>
          </w:p>
        </w:tc>
      </w:tr>
    </w:tbl>
    <w:p w:rsidR="0057108F" w:rsidRDefault="0057108F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  <w:r w:rsidRPr="009321D0">
        <w:rPr>
          <w:rFonts w:ascii="Palatino Linotype" w:eastAsia="Times New Roman" w:hAnsi="Palatino Linotype" w:cs="Tahoma"/>
          <w:color w:val="333333"/>
        </w:rPr>
        <w:t>Izvor:Banjalučka berza</w:t>
      </w:r>
    </w:p>
    <w:p w:rsidR="0057108F" w:rsidRDefault="0057108F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0259F9" w:rsidRDefault="000259F9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0259F9" w:rsidRPr="009321D0" w:rsidRDefault="000259F9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lastRenderedPageBreak/>
        <w:t>Struktura akcionara</w:t>
      </w:r>
    </w:p>
    <w:tbl>
      <w:tblPr>
        <w:tblW w:w="6525" w:type="dxa"/>
        <w:tblInd w:w="118" w:type="dxa"/>
        <w:tblLook w:val="04A0" w:firstRow="1" w:lastRow="0" w:firstColumn="1" w:lastColumn="0" w:noHBand="0" w:noVBand="1"/>
      </w:tblPr>
      <w:tblGrid>
        <w:gridCol w:w="1137"/>
        <w:gridCol w:w="930"/>
        <w:gridCol w:w="781"/>
        <w:gridCol w:w="975"/>
        <w:gridCol w:w="952"/>
        <w:gridCol w:w="781"/>
        <w:gridCol w:w="974"/>
      </w:tblGrid>
      <w:tr w:rsidR="009321D0" w:rsidRPr="009321D0" w:rsidTr="009321D0">
        <w:trPr>
          <w:trHeight w:val="282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Udio akcionara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Broj akcionara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% vlasništva od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ukupnog kapitala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Domaći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Strani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Domaći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Strani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&lt; 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97524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26</w:t>
            </w:r>
            <w:r w:rsidR="0099669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4</w:t>
            </w:r>
            <w:r w:rsidR="0009752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</w:t>
            </w:r>
            <w:r w:rsidR="00025E5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97524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</w:t>
            </w:r>
            <w:r w:rsidR="009852B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6</w:t>
            </w:r>
            <w:r w:rsidR="0009752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852B0" w:rsidP="00710AA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15</w:t>
            </w:r>
            <w:r w:rsidR="009321D0"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.</w:t>
            </w:r>
            <w:r w:rsidR="00710AA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852B0" w:rsidP="00710AA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  <w:r w:rsidR="009321D0"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025E5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710AA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5%-10%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9.01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9.01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10%-25%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12.03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12.03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&gt; 25%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A60C5A" w:rsidP="00710AA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63</w:t>
            </w:r>
            <w:r w:rsidR="009321D0"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.</w:t>
            </w:r>
            <w:r w:rsidR="00710AA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A60C5A" w:rsidP="002347A4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63</w:t>
            </w:r>
            <w:r w:rsidR="009321D0"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2347A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UKUPNO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97524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26</w:t>
            </w:r>
            <w:r w:rsidR="00996693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="0009752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="00025E5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97524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="00A60C5A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="00996693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7</w:t>
            </w:r>
            <w:r w:rsidR="0009752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99.73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A756E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0.2</w:t>
            </w:r>
            <w:r w:rsidR="009A756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100,00</w:t>
            </w:r>
          </w:p>
        </w:tc>
      </w:tr>
    </w:tbl>
    <w:p w:rsidR="009321D0" w:rsidRPr="009321D0" w:rsidRDefault="009321D0" w:rsidP="009321D0">
      <w:pPr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Uvrštenje akcija na berzu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Cs/>
          <w:sz w:val="24"/>
          <w:szCs w:val="24"/>
          <w:lang w:val="pl-PL"/>
        </w:rPr>
      </w:pPr>
      <w:r w:rsidRPr="009321D0">
        <w:rPr>
          <w:rFonts w:ascii="Palatino Linotype" w:eastAsia="Times New Roman" w:hAnsi="Palatino Linotype" w:cs="Calibri"/>
          <w:bCs/>
          <w:sz w:val="24"/>
          <w:szCs w:val="24"/>
          <w:lang w:val="pl-PL"/>
        </w:rPr>
        <w:t xml:space="preserve">Oznaka i registarski broj emitenta u Registru emitenta kod Komisije 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Emitent je upisan u Registar emitenata kod Komisije za hartije od vrijednosti Republ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ike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Srpske pod oznakom i registarskim brojem 04-506-48-/03.</w:t>
      </w:r>
    </w:p>
    <w:p w:rsidR="009321D0" w:rsidRPr="009321D0" w:rsidRDefault="009321D0" w:rsidP="009321D0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Matični broj je 1867440 a identifikacioni broj (JIB) 4400096630002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Upis u Centralni registar hartija od vrijednosti 13.05.2003. godine sa lokalnom oznakom BVRU, identifikacioni broj 21867440.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kupan broj akcija iznosi</w:t>
      </w:r>
      <w:r w:rsidR="00240875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33.600.177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, nominaln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vrijednost jedn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akcije je 1 KM.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Djelatnost društva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Iako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tvo paralelno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ravnopravno i istovremeno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obavlja dvije osnovne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: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zdravstvenu i ugostiteljsko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-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turisti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ku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kao osnovna djelatnost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tva registrovana je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MEDICINSKA REHABILITACIJA –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DJELATNOST BOLNICA U ŠIREM SMISLU statistička </w:t>
      </w: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  <w:t>šifra 86.10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Pored osnovne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između ostalih,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tvo je registrovano i za obavljanje sljede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ih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: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134"/>
          <w:tab w:val="left" w:pos="2410"/>
        </w:tabs>
        <w:spacing w:after="0" w:line="240" w:lineRule="auto"/>
        <w:ind w:left="1134" w:hanging="425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10.52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proizvodnja sladoleda i drugih smrznutih smjesa,</w:t>
      </w:r>
    </w:p>
    <w:p w:rsidR="009321D0" w:rsidRPr="009321D0" w:rsidRDefault="009321D0" w:rsidP="009321D0">
      <w:pPr>
        <w:numPr>
          <w:ilvl w:val="0"/>
          <w:numId w:val="3"/>
        </w:numPr>
        <w:tabs>
          <w:tab w:val="num" w:pos="264"/>
          <w:tab w:val="num" w:pos="1134"/>
        </w:tabs>
        <w:spacing w:after="0" w:line="240" w:lineRule="auto"/>
        <w:ind w:left="1134" w:hanging="425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10.71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proizvodnja hljeba, svježih peciva i kolača,</w:t>
      </w:r>
    </w:p>
    <w:p w:rsidR="009321D0" w:rsidRPr="009321D0" w:rsidRDefault="009321D0" w:rsidP="00166F4E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36.00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- prikupljanje, prečišćavanje i snabdijevanje vodom</w:t>
      </w:r>
      <w:r w:rsidR="00166F4E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sakupljanje, prečišćavanje i distribucija vode,odnosno eksploatacija termomineralne vode i CO2  gasa koji seu njoj nalazi rastvoren, u granicama eksploataci</w:t>
      </w:r>
      <w:r w:rsidR="00166F4E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-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onog  polja,</w:t>
      </w:r>
    </w:p>
    <w:p w:rsidR="009321D0" w:rsidRPr="009321D0" w:rsidRDefault="009321D0" w:rsidP="009321D0">
      <w:pPr>
        <w:numPr>
          <w:ilvl w:val="0"/>
          <w:numId w:val="7"/>
        </w:numPr>
        <w:tabs>
          <w:tab w:val="num" w:pos="-42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46.34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trgovina na veliko  pićima,</w:t>
      </w:r>
    </w:p>
    <w:p w:rsidR="009321D0" w:rsidRPr="009321D0" w:rsidRDefault="009321D0" w:rsidP="009321D0">
      <w:pPr>
        <w:numPr>
          <w:ilvl w:val="0"/>
          <w:numId w:val="7"/>
        </w:numPr>
        <w:tabs>
          <w:tab w:val="num" w:pos="-42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46.39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nespecijalizovana trgovina na veliko, hranom, pićima  i duvanom,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55.10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 hoteli i sličan smještaj,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55.20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odmarališta i ostali smještaj za kraći odmor,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56.10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 restorana i usluge dostave hrane,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56.30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 pripreme i posluživanja pića,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82.30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organizacija sastanaka i poslovnih sajmova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93.11  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- rad sportskih objekata,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93.13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fitnes centri,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93.29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ostale zabavne i rekreativne aktivnosti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96.02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frizerski i drugi tretmani za uljepšavanje,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96.04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djelatnosti za njegu i održavanje tijela,</w:t>
      </w:r>
    </w:p>
    <w:p w:rsidR="009321D0" w:rsidRPr="009321D0" w:rsidRDefault="009321D0" w:rsidP="009321D0">
      <w:p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 xml:space="preserve">Društvo ima upisano pravo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obavljanja  spoljnotrgovinskog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poslovanja  u okviru registrovane djelatnosti.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snapToGrid w:val="0"/>
          <w:color w:val="00000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Cs/>
          <w:snapToGrid w:val="0"/>
          <w:color w:val="000000"/>
          <w:sz w:val="24"/>
          <w:szCs w:val="20"/>
          <w:lang w:val="pl-PL"/>
        </w:rPr>
        <w:t>Struktura zaposlenih</w:t>
      </w:r>
    </w:p>
    <w:p w:rsidR="00812F54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Na dan 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30.09.2023.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godine, u ZTC 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“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Banja Vrućica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”</w:t>
      </w:r>
      <w:r w:rsidR="006C16A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a.d. Banja Vrućica</w:t>
      </w:r>
      <w:r w:rsidR="00812F54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 prema kadrovskoj evidenciji,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ukupno je zaposleno 2</w:t>
      </w:r>
      <w:r w:rsidR="000E3F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90</w:t>
      </w:r>
      <w:r w:rsidR="002D694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radnika, a prema broju sati bilo je zaposleno</w:t>
      </w:r>
      <w:r w:rsidR="0056662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2</w:t>
      </w:r>
      <w:r w:rsidR="00B71C9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</w:t>
      </w:r>
      <w:r w:rsidR="000E3F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56662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0E3F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42</w:t>
      </w:r>
      <w:r w:rsidR="0056662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radnika.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 toga 2</w:t>
      </w:r>
      <w:r w:rsidR="00795D0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E7751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radnika u radnom odnosu na neodređeno i </w:t>
      </w:r>
      <w:proofErr w:type="gramStart"/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radnika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na određeno  radno vrijeme.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Kvalifikaciona struktura stalno zaposlenih je sledeća: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609"/>
        <w:gridCol w:w="1609"/>
        <w:gridCol w:w="1183"/>
      </w:tblGrid>
      <w:tr w:rsidR="009321D0" w:rsidRPr="009321D0" w:rsidTr="00FE7280">
        <w:trPr>
          <w:trHeight w:val="495"/>
        </w:trPr>
        <w:tc>
          <w:tcPr>
            <w:tcW w:w="1664" w:type="dxa"/>
            <w:shd w:val="clear" w:color="auto" w:fill="D9D9D9"/>
            <w:hideMark/>
          </w:tcPr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</w:p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Kvalifikacija</w:t>
            </w:r>
          </w:p>
        </w:tc>
        <w:tc>
          <w:tcPr>
            <w:tcW w:w="1609" w:type="dxa"/>
            <w:shd w:val="clear" w:color="auto" w:fill="D9D9D9"/>
            <w:hideMark/>
          </w:tcPr>
          <w:p w:rsidR="009321D0" w:rsidRPr="00812F54" w:rsidRDefault="009321D0" w:rsidP="00FA36B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Rad na neodređeno vrijeme</w:t>
            </w:r>
          </w:p>
        </w:tc>
        <w:tc>
          <w:tcPr>
            <w:tcW w:w="1609" w:type="dxa"/>
            <w:shd w:val="clear" w:color="auto" w:fill="D9D9D9"/>
            <w:hideMark/>
          </w:tcPr>
          <w:p w:rsidR="009321D0" w:rsidRPr="00812F54" w:rsidRDefault="009321D0" w:rsidP="00FA36B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Rad na određeno vrijeme</w:t>
            </w:r>
          </w:p>
        </w:tc>
        <w:tc>
          <w:tcPr>
            <w:tcW w:w="1183" w:type="dxa"/>
            <w:shd w:val="clear" w:color="auto" w:fill="D9D9D9"/>
            <w:hideMark/>
          </w:tcPr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</w:p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Ukupno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VSS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  <w:r w:rsidR="00F0229F">
              <w:rPr>
                <w:rFonts w:ascii="Palatino Linotype" w:hAnsi="Palatino Linotype"/>
                <w:color w:val="000000"/>
              </w:rPr>
              <w:t>5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</w:t>
            </w:r>
            <w:r w:rsidR="00F0229F">
              <w:rPr>
                <w:rFonts w:ascii="Palatino Linotype" w:hAnsi="Palatino Linotype"/>
                <w:color w:val="000000"/>
              </w:rPr>
              <w:t>2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VŠS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  <w:r w:rsidR="00F0229F">
              <w:rPr>
                <w:rFonts w:ascii="Palatino Linotype" w:hAnsi="Palatino Linotype"/>
                <w:color w:val="000000"/>
              </w:rPr>
              <w:t>8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F0229F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F0229F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SSS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</w:t>
            </w:r>
            <w:r w:rsidR="00F0229F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  <w:r w:rsidR="00F0229F">
              <w:rPr>
                <w:rFonts w:ascii="Palatino Linotype" w:hAnsi="Palatino Linotype"/>
                <w:color w:val="000000"/>
              </w:rPr>
              <w:t>23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KV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F0229F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  <w:r w:rsidR="001D0A82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F0229F" w:rsidP="00F0229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72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000000" w:fill="FFFFFF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3D46EE" w:rsidP="003D46EE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NK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</w:t>
            </w:r>
          </w:p>
        </w:tc>
      </w:tr>
      <w:tr w:rsidR="001D0A82" w:rsidRPr="009321D0" w:rsidTr="00FE7280">
        <w:trPr>
          <w:trHeight w:val="142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UKUPNO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1D0A82" w:rsidRDefault="001D0A82" w:rsidP="00124BC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  <w:r w:rsidR="00477568">
              <w:rPr>
                <w:rFonts w:ascii="Palatino Linotype" w:hAnsi="Palatino Linotype"/>
                <w:color w:val="000000"/>
              </w:rPr>
              <w:t>8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1D0A82" w:rsidRDefault="003D46EE" w:rsidP="003D46EE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82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D0A82" w:rsidRDefault="001D0A82" w:rsidP="003D46EE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  <w:r w:rsidR="003D46EE">
              <w:rPr>
                <w:rFonts w:ascii="Palatino Linotype" w:hAnsi="Palatino Linotype"/>
                <w:color w:val="000000"/>
              </w:rPr>
              <w:t>90</w:t>
            </w:r>
          </w:p>
        </w:tc>
      </w:tr>
    </w:tbl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Razvrstavanje pravnih lica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Na osnovu člana 5. Zakona o računovodstvu i revizi</w:t>
      </w:r>
      <w:r w:rsidR="00181218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ji Republike Srpske, ZTC Banja 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rućica je klasifikovano kao veliko pravno lice.</w:t>
      </w:r>
    </w:p>
    <w:p w:rsid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255739" w:rsidRPr="009321D0" w:rsidRDefault="00255739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lastRenderedPageBreak/>
        <w:t>2. OSNOVA ZA SASTAVLJANJE FINANSIJSKIH IZVJEŠTAJA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Finansijski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izvještaji</w:t>
      </w:r>
      <w:r w:rsidR="006C16AC" w:rsidRPr="006C16A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6C16AC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ZTC 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“</w:t>
      </w:r>
      <w:r w:rsidR="006C16AC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Banja Vrućica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”</w:t>
      </w:r>
      <w:r w:rsidR="006C16A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a.d. Banja Vrućica,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za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period 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01.01-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.2023.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godin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sastav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eni su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u</w:t>
      </w:r>
      <w:r w:rsidR="0085190C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skladu sa</w:t>
      </w:r>
      <w:r w:rsidR="00092A04">
        <w:rPr>
          <w:rFonts w:ascii="Palatino Linotype" w:eastAsia="Times New Roman" w:hAnsi="Palatino Linotype" w:cs="Calibri"/>
          <w:snapToGrid w:val="0"/>
          <w:sz w:val="24"/>
          <w:szCs w:val="20"/>
          <w:lang w:val="sr-Latn-BA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F20FF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važećim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đ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unarodni</w:t>
      </w:r>
      <w:r w:rsidR="008545B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standard</w:t>
      </w:r>
      <w:r w:rsidR="008545B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ima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finansijskog 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tavanja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(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MSFI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)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i na osnovu </w:t>
      </w:r>
      <w:r w:rsidR="005D1FB9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važećih Računovodstvenih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propisa Republike Srpske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.</w:t>
      </w:r>
    </w:p>
    <w:p w:rsidR="009321D0" w:rsidRPr="009321D0" w:rsidRDefault="009321D0" w:rsidP="009321D0">
      <w:pPr>
        <w:spacing w:after="0" w:line="240" w:lineRule="auto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D82E3A" w:rsidRDefault="00D82E3A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Finansijski izvještaji </w:t>
      </w:r>
      <w:r w:rsidR="001D6E2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ZTC 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“</w:t>
      </w:r>
      <w:r w:rsidR="001D6E2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Banja Vrućica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” a.d. Banja Vrućica</w:t>
      </w:r>
      <w:r w:rsidR="00DF5A1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(Društva)</w:t>
      </w:r>
      <w:r w:rsidR="001D6E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C6225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sastavljeni </w:t>
      </w:r>
      <w:r w:rsidR="00DF5A1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su p</w:t>
      </w:r>
      <w:r w:rsidR="00C6225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 načelu nabavne vrijednosti osim za naknadna vrednovanja</w:t>
      </w:r>
      <w:r w:rsidR="007765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65142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 na </w:t>
      </w:r>
      <w:proofErr w:type="gramStart"/>
      <w:r w:rsidR="0065142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osnovu  usvojenih</w:t>
      </w:r>
      <w:proofErr w:type="gramEnd"/>
      <w:r w:rsidR="007765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računovodstveni</w:t>
      </w:r>
      <w:r w:rsidR="0065142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h</w:t>
      </w:r>
      <w:r w:rsidR="007765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politika, koje su sastavni dio ovog finansijskog izvještaja.</w:t>
      </w:r>
    </w:p>
    <w:p w:rsidR="004A5411" w:rsidRDefault="004A541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D077E3" w:rsidRDefault="00D077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 potrebe izrade </w:t>
      </w: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</w:rPr>
        <w:t>Finansijskog</w:t>
      </w:r>
      <w:r w:rsidRPr="00D077E3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D077E3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izvještaj</w:t>
      </w:r>
      <w:r>
        <w:rPr>
          <w:rFonts w:ascii="Palatino Linotype" w:eastAsia="Times New Roman" w:hAnsi="Palatino Linotype" w:cs="Calibri"/>
          <w:snapToGrid w:val="0"/>
          <w:sz w:val="24"/>
          <w:szCs w:val="20"/>
        </w:rPr>
        <w:t>a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Upravni odbor </w:t>
      </w:r>
      <w:r w:rsidRPr="00D077E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ZTC “Banja Vrućica”a.d. Banja Vrućica,</w:t>
      </w:r>
      <w:r w:rsidRPr="00D077E3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</w:t>
      </w:r>
      <w:r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je donijeo odluku o </w:t>
      </w:r>
      <w:r w:rsidR="00215C62">
        <w:rPr>
          <w:rFonts w:ascii="Palatino Linotype" w:eastAsia="Times New Roman" w:hAnsi="Palatino Linotype" w:cs="Calibri"/>
          <w:snapToGrid w:val="0"/>
          <w:sz w:val="24"/>
          <w:szCs w:val="20"/>
        </w:rPr>
        <w:t>revidiranju</w:t>
      </w:r>
      <w:r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računovodstvenih politika</w:t>
      </w:r>
      <w:r w:rsidRPr="00D077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</w:p>
    <w:p w:rsidR="009321D0" w:rsidRDefault="0094685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Za izradu </w:t>
      </w:r>
      <w:r w:rsidR="004D4BAF">
        <w:rPr>
          <w:rFonts w:ascii="Palatino Linotype" w:eastAsia="Times New Roman" w:hAnsi="Palatino Linotype" w:cs="Calibri"/>
          <w:snapToGrid w:val="0"/>
          <w:sz w:val="24"/>
          <w:szCs w:val="20"/>
        </w:rPr>
        <w:t>finansijskog izvještaja ZTC“Banja Vrućica“ a.d. Banja Vrućica</w:t>
      </w:r>
      <w:r w:rsidR="003D239F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(Društva)</w:t>
      </w:r>
      <w:r w:rsidR="004D4BAF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period </w:t>
      </w:r>
      <w:r w:rsidR="00221B30"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01.01-</w:t>
      </w:r>
      <w:r w:rsidR="00221B3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31.12.2023.</w:t>
      </w:r>
      <w:r w:rsidR="000109DD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korišteni </w:t>
      </w:r>
      <w:r w:rsidR="0024685A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su aktivirani standardi i to:</w:t>
      </w:r>
    </w:p>
    <w:p w:rsidR="00E62491" w:rsidRDefault="00E6249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1-Prezentacija finansijskih izvještaja</w:t>
      </w:r>
      <w:r w:rsidR="001C2F6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E62491" w:rsidRDefault="00E6249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2-Zalihe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E62491" w:rsidRDefault="00E6249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</w:t>
      </w:r>
      <w:r w:rsidR="00DF796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7-Izvještaj o tokovima gotovine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DF7960" w:rsidRDefault="00DF796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8-Računovodstvene politike, promjene računovodstvenih procjena i greške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B3312C" w:rsidRDefault="00B3312C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10-Događaji poslije dana bilansiranja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B3312C" w:rsidRDefault="00B3312C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</w:t>
      </w:r>
      <w:r w:rsidR="00A41485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12-Porez na dobit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A41485" w:rsidRDefault="00A41485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16-Nekretnine, postrojenja i oprema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9D2E94" w:rsidRDefault="009D2E9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19-Primanja zaposlenih</w:t>
      </w:r>
      <w:r w:rsidR="00BF527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9D2E94" w:rsidRDefault="009D2E9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20-</w:t>
      </w:r>
      <w:r w:rsidR="001C2F6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Računovodstveno obuhvatanje državnih davanja i objelodanjivanje državne pomoći;</w:t>
      </w:r>
    </w:p>
    <w:p w:rsidR="00BF5271" w:rsidRDefault="00BF527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21-</w:t>
      </w:r>
      <w:r w:rsidR="005D2515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Efekti promjene deviznih kurseva;</w:t>
      </w:r>
    </w:p>
    <w:p w:rsidR="005D2515" w:rsidRDefault="005D2515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- MRS 24-Objelodanjivanje </w:t>
      </w:r>
      <w:r w:rsidR="00E11A56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povezanih strana;</w:t>
      </w:r>
    </w:p>
    <w:p w:rsidR="00E11A56" w:rsidRDefault="00E11A5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32-Finansijski instrumenti;</w:t>
      </w:r>
    </w:p>
    <w:p w:rsidR="00E11A56" w:rsidRDefault="00E11A5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33-Zarada po akciji;</w:t>
      </w:r>
    </w:p>
    <w:p w:rsidR="00E11A56" w:rsidRDefault="00E11A5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- MRS </w:t>
      </w:r>
      <w:r w:rsidR="003931F9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34-Periodično finansijsko izvještavanje</w:t>
      </w:r>
    </w:p>
    <w:p w:rsidR="003931F9" w:rsidRDefault="003931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36-Umanjenje vrijednosti imovine;</w:t>
      </w:r>
    </w:p>
    <w:p w:rsidR="007D332A" w:rsidRDefault="003931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</w:t>
      </w:r>
      <w:r w:rsidR="00ED01D2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37-</w:t>
      </w:r>
      <w:r w:rsidR="007D332A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Rezervisanja,potencijalne obaveze i potencijalna sredstva;</w:t>
      </w:r>
    </w:p>
    <w:p w:rsidR="00FE50DC" w:rsidRDefault="007D332A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38</w:t>
      </w:r>
      <w:r w:rsidR="00ED01D2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Nematerijalna imovina</w:t>
      </w:r>
      <w:r w:rsidR="00FE50DC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FE50DC" w:rsidRDefault="00ED01D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MRS 39-</w:t>
      </w:r>
      <w:r w:rsidR="00FE50DC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Finansijski instrumenti: priznavanje i odmjeravanje;</w:t>
      </w:r>
    </w:p>
    <w:p w:rsidR="00EB16A6" w:rsidRDefault="00ED01D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MSFI 7 -</w:t>
      </w:r>
      <w:r w:rsidR="00EB16A6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Finansijski instrumenti: objelodanjivanja;</w:t>
      </w:r>
    </w:p>
    <w:p w:rsidR="003931F9" w:rsidRDefault="00EB16A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</w:t>
      </w:r>
      <w:r w:rsidR="00ED01D2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MSFI  9-Finansijski instrumenti</w:t>
      </w:r>
      <w:r w:rsidR="00E1632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  <w:r w:rsidR="007D332A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</w:t>
      </w:r>
      <w:r w:rsidR="003931F9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</w:t>
      </w:r>
    </w:p>
    <w:p w:rsidR="00FC0194" w:rsidRDefault="00FC019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MSFI 13-Odmjeravanje fer vrijednosti</w:t>
      </w:r>
      <w:r w:rsidR="00E1632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FC0194" w:rsidRDefault="00FC019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MSFI</w:t>
      </w:r>
      <w:r w:rsidR="00E1632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14-Regulisanje vremenskih razgraničenja;</w:t>
      </w:r>
    </w:p>
    <w:p w:rsidR="00E1632B" w:rsidRDefault="00E1632B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- </w:t>
      </w:r>
      <w:r w:rsidR="00776D8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MSFI 15-Prihodi od ugovora sa kupcima;</w:t>
      </w:r>
    </w:p>
    <w:p w:rsidR="0070740D" w:rsidRDefault="0070740D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</w:p>
    <w:p w:rsidR="00CD2120" w:rsidRDefault="0070740D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U koncipiranju i provođenju poslovne </w:t>
      </w:r>
      <w:r w:rsidR="004A541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politike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Uprava Društv</w:t>
      </w:r>
      <w:r w:rsidR="004A541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a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je </w:t>
      </w:r>
      <w:r w:rsidR="00AE7BA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primjenjivala važeća opšta akta i</w:t>
      </w:r>
      <w:r w:rsidR="004A541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ostala akta i</w:t>
      </w:r>
      <w:r w:rsidR="00AE7BA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to:</w:t>
      </w:r>
    </w:p>
    <w:p w:rsidR="00CD2120" w:rsidRDefault="00CD212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Statut Društva;</w:t>
      </w:r>
    </w:p>
    <w:p w:rsidR="00CD2120" w:rsidRDefault="00CD212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Pravilnik o radu;</w:t>
      </w:r>
    </w:p>
    <w:p w:rsidR="00CD2120" w:rsidRDefault="00CD212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Pravilnik o računovodstvu</w:t>
      </w:r>
      <w:r w:rsidR="00163D4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:</w:t>
      </w:r>
    </w:p>
    <w:p w:rsidR="00776D8F" w:rsidRDefault="00CD212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Pravilnik o računovodstvenim politikama;</w:t>
      </w:r>
      <w:r w:rsidR="0070740D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</w:t>
      </w:r>
      <w:r w:rsidR="00776D8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 </w:t>
      </w:r>
    </w:p>
    <w:p w:rsidR="008704A9" w:rsidRDefault="008704A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lastRenderedPageBreak/>
        <w:t xml:space="preserve">- Odluku o </w:t>
      </w:r>
      <w:r w:rsidR="00893A04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revidi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ranju računovodstvenih politika</w:t>
      </w:r>
      <w:r w:rsidR="00DF5A1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;</w:t>
      </w:r>
    </w:p>
    <w:p w:rsidR="00163D4F" w:rsidRDefault="00163D4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- Pravilnik o organizaciji i sistematizaciji radnih mjesta;</w:t>
      </w:r>
    </w:p>
    <w:p w:rsidR="00163D4F" w:rsidRPr="009321D0" w:rsidRDefault="00163D4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- Pravilnik o načinu i rokovima vršenja popisa i usklađivanju </w:t>
      </w:r>
      <w:r w:rsidR="008704A9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knjigovodstvenog stanja sa stvarnim stanjem.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3. IZVJEŠTAJNA VALUTA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color w:val="FF000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Finansijski izvještaji</w:t>
      </w:r>
      <w:r w:rsidR="00DF5A1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Društva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izraženi su u konvertibilnim markama (KM). Izvještaji su pripremljeni za period 01.01.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</w:t>
      </w:r>
      <w:proofErr w:type="gramEnd"/>
      <w:r w:rsidR="00F723F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godine, sa uporednim podacima za prethodnu godinu.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Finansijske izvještaje</w:t>
      </w:r>
      <w:r w:rsidR="0025573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Društva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period 01.01.-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E41B7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godine,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čine :</w:t>
      </w:r>
      <w:proofErr w:type="gramEnd"/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sta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 izvještaj o finansijskom položaju</w:t>
      </w:r>
      <w:r w:rsidR="0006564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 kraju perioda)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uspjeha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( izvještaj o ukupnom rezultatu  za  period)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tokova gotovine,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taj o promjenama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na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kapitalu,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napomene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(note) uz  finansijske izvještaje.</w:t>
      </w:r>
    </w:p>
    <w:p w:rsidR="009321D0" w:rsidRPr="009321D0" w:rsidRDefault="009321D0" w:rsidP="009321D0">
      <w:pPr>
        <w:spacing w:after="0" w:line="240" w:lineRule="auto"/>
        <w:ind w:left="180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PREGLED  PRIMIJENJENIH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RAČUNOVODSTVENIH POLITIKA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izvještaji  istinito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– fer  prikazuju  finansijsku poziciju, finansijski uspjeh i tokove gotovine Društva. 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Fer prezentacija zahtijeva vjerno prikazivanje efekata transakcija, drugih događaja i uslova u skladu sa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definicijama  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kriterijima za priznavanje imovine, obaveza, prihoda i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Pretpostavlja se da primjena IFRS, zajedno sa dodatnim objelodanjivanjem kada je to neophodno, ima za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rezultat  finansijske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izvještaje u kojima se postiže fer prezentacija.</w:t>
      </w:r>
    </w:p>
    <w:p w:rsidR="00DC2ACD" w:rsidRDefault="00DC2ACD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Kada priprema finansijske izvještaje, rukovodstvo procjenjuje sposobnost entiteta da nastavi da trajno posluje u smislu stalnosti poslovanja.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Finansijski izvještaji se sastavljaju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osnovu načela stalnosti poslovanja.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Društvo sastavlja svoje finansijske izvještaje, osim informacija o tokovima gotovine, korišćenjem načela uzročnosti prihoda i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 sve iznose koji su dati u finansijskim izvještajima tekućeg perioda se objelodanjuju uporedne informacije o prethodnom periodu, osim kada MSFI dozvoljavaju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zahtijevaju drugačije.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Uporedne informacije se uključuju i za narativne i opisne informacije, kada je to relevantno za razumijevanje finansijskih izvještaja za tekući period.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.Stalna</w:t>
      </w:r>
      <w:proofErr w:type="gramEnd"/>
      <w:r w:rsidR="00113AD8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sredstva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Nekretnine, postrojenja, oprema i investicione nekretnine, iskazuju se zemljište, građevinski objekti, postrojenja, oprema i investicione nekretnine u vlasništvu pravnog lica i preduzetnika, postrojenja i oprema uzeti u finansijski lizing, alat i inventar sa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 xml:space="preserve">kalkulativnim otpisom tokom više godina i ostale nekretnine, postrojenja i oprema koji ispunjavaju uslove za priznavanje po MRS, odnosno </w:t>
      </w:r>
      <w:r w:rsidR="005938B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MSFI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 kao i ulaganja za pribavljanje nekretnina, postrojenja, opreme i investicionih nekretnina.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Pod </w:t>
      </w:r>
      <w:r w:rsidR="005E049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staln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</w:t>
      </w:r>
      <w:r w:rsidR="005E049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m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sredstvima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smatraju se nekretnine, postrojenja i oprema i druga stalna materijalna sredstva čiji je očekivani korisni vijek upotrebe duži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jedne godine.</w:t>
      </w:r>
    </w:p>
    <w:p w:rsidR="009321D0" w:rsidRPr="009321D0" w:rsidRDefault="005E049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Stalna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sredstva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se iskazuju po nabavnoj, odnosno nadoknadivoj vrijednosti umanjenoj za akumuliranu amortizaciju obračunatu u periodu korištenja sredstava. Početno priznavanje </w:t>
      </w:r>
      <w:r w:rsidR="00F95B6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stalne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sredstava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izvršeno u skladu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Zakonom o privatizaciji prilikom izrade početnog bilansa stanja 30.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juna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1998.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godine.,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a na osnovu cijena utvrđenih od ovlaštenog organa skupštine opštine na čijoj teritoriji se nalazi zemljište.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CF510F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CF510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4.2. Amortizacija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Amortizacija se obračunava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osnovicu koju čini nabavna vrijednost. Primjenjene stope amortizacije za glavne kategorije </w:t>
      </w:r>
      <w:r w:rsidR="0061256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stalnih sredstava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su: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Građevinski objekti od 1</w:t>
      </w:r>
      <w:proofErr w:type="gramStart"/>
      <w:r w:rsidR="00BB1FE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,5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BB1FE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%, procijenjeni vijek trajanja od </w:t>
      </w:r>
      <w:r w:rsidR="005C560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8,</w:t>
      </w:r>
      <w:r w:rsidR="001F4FA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 </w:t>
      </w:r>
      <w:r w:rsidR="001F4FA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66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godina.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Oprema  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8F045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5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-20% , procijenjeni vijek trajanja od 5 do 9 godina.</w:t>
      </w:r>
    </w:p>
    <w:p w:rsidR="009321D0" w:rsidRPr="009321D0" w:rsidRDefault="008F045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Računarska oprema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od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25-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30</w:t>
      </w:r>
      <w:r w:rsidR="00AF5D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%, softver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20%, procij</w:t>
      </w:r>
      <w:r w:rsidR="005C560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enjeni vijek trajanja od 5 do 6</w:t>
      </w:r>
      <w:proofErr w:type="gramStart"/>
      <w:r w:rsidR="005C560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9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godina.</w:t>
      </w:r>
    </w:p>
    <w:p w:rsidR="00181218" w:rsidRPr="009321D0" w:rsidRDefault="0018121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4.3. Nematerijalna ulaganja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Nematerijalna ulaganja, iskazuju se ulaganja u određeno nematerijalno sredstvo bez fizičkog sadržaja, koje služi za proizvodnju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isporuku robe ili usluga, za iznajmljivanje drugim licima ili se koristi u administrativne svrhe.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Patenti i licence priznaju se po trošku nabavke umanjenom za ispravku vrijednosti i gubitke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obezvrjeđenja vrijednosti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4.4. Dugoročni finansijski plasmani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Dugoročni finansijski plasmani, iskazuje se učešće u kapitalu povezanih pravnih lica, učešće u kapitalu drugih pravnih lica, dugoročni krediti povezanim pravnim licima, dugoročni krediti u zemlji, dugoročni krediti u inostranstvu,finansijska sredstva raspoloživa za prodaju, finansijska sredstva koja se drže do roka dospijeća, ostali dugoročni finansijski plasmani i ispravka vrijednosti dugoročnih finansijskih plasmana.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4.5. Zalihe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 materijala, iskazuju se zalihe materijala, rezervnih dijelova, i alata i inventara koji se u cjelosti otpisuju u obračunskom periodu.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Zalihe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trgovačke  robe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priznaju se po nabavnoj vrijednosti ili neto prodajnoj vrijednosti, u zavisnosti od toga koja je od ove dvije vrijednosti niža.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 materijala, goriva i maziva, rezervnih dijelova, HTZ opreme i auto guma vode se po nabavnoj vrijednosti. Nabavna vrijednost uključuje vrijednost po fakturi dobavljača, transportne i zavisne troškove.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Sitan  inventar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otpisuje se 100% po stavljanju u upotrebu.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Obračun izlaza zaliha (materijala, proizvoda i robe) vrši se po prosječnim cijenama.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Vrijednost zaliha učinaka sadrži i troškove kupovine, prodaje i finansiranja.</w:t>
      </w:r>
    </w:p>
    <w:p w:rsidR="00706127" w:rsidRDefault="007061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706127" w:rsidRPr="009321D0" w:rsidRDefault="007061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pl-PL"/>
        </w:rPr>
        <w:t>4.6. Kratkoročna potraživanja, plasmani i gotovina i druga finansijska sredstva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Potraživanja po osnovu prodaje, iskazuju se potraživanja od kupaca – povezana pravna lica i ostalih kupaca u zemlji i inostranstvu po osnovu prodaje proizvoda, robe i usluga.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Kratkoročni finansijski plasmani, iskazuju se krediti i zajmovi, hartije od vrijednosti i ostali kratkoročni plasmani sa rokom dospijeća, odnosno prodaje, do godinu dana od dana činidbe, odnosno od dana bilansa.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Gotovinski ekvivalenti i gotovina, iskazuju se neposredno unovčive hartije od vrijednosti, depoziti po viđenju, gotovina.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Gotovina i ekvivalenti gotovine sastoje 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novca u blagajni i novca na bankovnim računima, a priznaju se po nominalnoj vrijednosti.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4.7. Ispravka vrijednosti potraživanja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Društvo primjenjuje odredbe MRS koji se primjenjuju za finansij</w:t>
      </w:r>
      <w:r w:rsidR="00A21C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ske izvještaje </w:t>
      </w:r>
      <w:proofErr w:type="gramStart"/>
      <w:r w:rsidR="00A21C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A21CA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dan 31.12.2021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.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te  Zakona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 računovodstvu i reviziji Republike Srpske  i Računovodstvene standarde u pogledu procjenjivanja i naplativosti potraživanja. Potraživanja koja po procjeni popisnih komisija i odluke Uprave nisu naplativa, otpis</w:t>
      </w:r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uju se </w:t>
      </w:r>
      <w:proofErr w:type="gramStart"/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teret ostalih rashoda po godišnjem finansijskom izvještaju.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4.8. Akcijski kapital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Akcijski kapital, iskazuju se obične i prioritetne akcije s pravom učešća u upravljanju, pravom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učešće u dobitku akcionarskog društva i pravom na dio likvidacione mase u skladu s aktom o osnivanju.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4.9. Rezerve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Rezerve, iskazuju se rezerve iz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dobitka(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zakonske, statutarne i druge).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Zakonske rezerve, iskazuju se obavezne rezerve koje se formiraju u skladu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zakonom. Statutarne rezerve, iskazuju se rezerve koje se formiraju u skladu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statutom. Revalorizacione rezerve, iskazuju se efekti promjene fer vrijednosti nekretnina, postrojenja, opreme, nematerijalnih ulaganja, učešća u kapitalu u stranoj valuti i drugih finansijskih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instrumenata .</w:t>
      </w:r>
      <w:proofErr w:type="gramEnd"/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Neraspoređeni dobitak, iskazuje se neraspoređeni dobitak prethodnih i tekuće godine.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4.10. Dugoročna rezervisanja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Dugoročna rezervisanja predstavljaju obavezu za pokriće troškova i rizika proisteklih iz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prethodnog  poslovanja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koji će se pojaviti u narednim godinama a odnose se na 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troškove u garantnom roku po osnovu prodatih učinaka za koje je obračunat prihod u punom iznosu.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troškove obnavljanja prirodnih bogatstava,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zadržane kaucije i depozite,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troškove restrukturiranja,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 naknade i druge beneficije zaposlenih,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-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ostala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rezervisanja za vjerovatne troškove.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 xml:space="preserve">Ova rezervisanja društvo procjenjuje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bazi stvarno očekivanih troškova a ukida ih u momentu nastanka troškova koji terete rezervisanje. Neiskorištena dugoročna rezervisanja za pokriće troškova ukidaju se u korist ostalih prihoda.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4.11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.Obaveze</w:t>
      </w:r>
      <w:proofErr w:type="gramEnd"/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Obaveze se priznaju u visini nominalne vrijednosti po dokumentaciji povjerilaca, 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osnovu izvršene poslovne ili finansijske transakcije.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Dugoročne obaveze iskazuju obaveze koje se mogu konvertovati u kapital, dugoročni krediti i zajmovi. Predstavljaju obaveze koje dospijevaju u roku dužem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godinu dana od dana bilansa.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Kratkoročne  finansijske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obaveze, iskazuju se obaveze po kreditima i zajmovima, kratkoročne obaveze po fer vrijednosti kroz bilans uspjeha i ostale kratkoročne obaveze koje dospijevaju u roku do godinu dana od dana činidbe, odnosno od dana bilansa.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4.12. Poslovni prihodi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Osnov poslovanja privrednog društva predstavljaju poslovni prihodi (prihodi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prodaje proizvoda i usluga).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Priznavanje prihoda se vrši razgraničavanjem na periode u kojima su nastali, ako se mogu pouzdano izmjeriti 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imaju  zadovoljavajući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stepen izvjesnosti naplate.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Prihodi su prikazani po fakturisanoj vrijednosti, odnosno naplaćenim iznosima umanjenim za date popuste i poreze koji su naplaćeni za račun države.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4.13. Poslovni rashodi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Poslovni rashodi se priznaju u iznosu koji se odnosi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obračunski period, a vezani su za poslovanje Društva i ostvarenje prihoda. Rashodi se priznaju u bilansu uspjeha kada nastane smanjenje budućih ekonomskih koristi, koje se odnose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smanjenje imovine ili na povećanje obaveza i mogu se pouzdano mjeriti.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335546" w:rsidRDefault="0033554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335546" w:rsidRDefault="0033554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335546" w:rsidRDefault="0033554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4.14. Ostali rashodi po osnovu ispravke vrijednosti potraživanja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Društvo primjenjuje odredbe Zakona o računovodstvu i reviziji Republike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Srpske  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Računovodstvene standarde u pogledu procjenjivanja i naplativosti potraživanja. Potraživanja koja su starija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60 dana, otpisuju se na teret ostalih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4.15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.Preračunavanje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sredstava i obaveza u stranim sredstvima plaćanja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Pozicije sredstava i obaveza u stranim sredstvima plaćanja su iskazane u konvertibilnim markama po zvaničnom kursu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dan bilansiranja. Poslovne promjene u stranim sredstvima plaćanja tokom godine preračunavaju se 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konvertibilne  marke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po zvaničnom kursu na dan promjene, a nastale pozitivne i negativne kursne razlike priznaju se u bilansu uspjeha.</w:t>
      </w:r>
    </w:p>
    <w:p w:rsidR="00C33B7E" w:rsidRDefault="00C33B7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C33B7E" w:rsidRPr="009321D0" w:rsidRDefault="00C33B7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lastRenderedPageBreak/>
        <w:t>4.16. Porezi i doprinosi</w:t>
      </w:r>
    </w:p>
    <w:p w:rsidR="000D1D48" w:rsidRPr="009321D0" w:rsidRDefault="000D1D4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4.16.1. Tekući porez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dobitak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Porez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dobitak predstavlja iznos koji se obračunava i plaća u skladu sa poreskim propisima Republike Srpske (Zakon o porezu na dobit).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Oporezivi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dobitak  prikazan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 poreskom bilansu uključuje dobitak prikazan po zvaničnom bilansu uspjeha korigovan za stalne rizike definisane poreskim propisima Republike Srpske.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Ove korekcije se odnose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isključivanje troškova koji se ne priznaju i umanjenje za određena ulaganja u osnovna sredstva i druge plasmane izvršene u toku godine.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Poreski propisi Republike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Srpske  ne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priznaju privremene razlike i shodno tome ne priznaju razgraničene obaveze po osnovu poreza na dobitak.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Poreski propisi Republike Srpske ne predviđaju mogućnost da se poreski gubici iz tekuće godine - perioda koriste kao osnova za povraćaj poreza plaćenog u prethodnim periodima.</w:t>
      </w:r>
    </w:p>
    <w:p w:rsidR="00693876" w:rsidRDefault="0069387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693876" w:rsidRPr="009321D0" w:rsidRDefault="0069387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4.16.2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.Porezi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i doprinosi koji ne zavise od rezultata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Porezi i doprinosi koji ne zavise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rezultata poslovanja predstavljaju plaćanja prema važećim republičkim i opštinskim propisima radi finansiranja raznih komunalnih i republičkih potreba. Evidentiraju se u okviru ostalih poslovnih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4.16.3. Porez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dodanu vrijednost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Zakonom o porezu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dodanu vrijednost, uvedena je obaveza i regulisan sistem obračuna i plaćanja poreza na dodanu vrijednost na teritoriji BiH, čime je zamijenjen sistem oporezivanja primjenom poreza na promet proizvoda i usluga.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D45C06" w:rsidRDefault="00D45C0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>5. POJEDINAČNE NOTE</w:t>
      </w:r>
    </w:p>
    <w:p w:rsidR="009321D0" w:rsidRPr="00B4497C" w:rsidRDefault="009321D0" w:rsidP="009321D0">
      <w:pPr>
        <w:keepNext/>
        <w:numPr>
          <w:ilvl w:val="0"/>
          <w:numId w:val="16"/>
        </w:numPr>
        <w:spacing w:before="240" w:after="60" w:line="240" w:lineRule="auto"/>
        <w:jc w:val="both"/>
        <w:outlineLvl w:val="1"/>
        <w:rPr>
          <w:rFonts w:ascii="Palatino Linotype" w:eastAsia="Times New Roman" w:hAnsi="Palatino Linotype" w:cs="Calibri"/>
          <w:bCs/>
          <w:i/>
          <w:snapToGrid w:val="0"/>
          <w:sz w:val="24"/>
          <w:szCs w:val="24"/>
          <w:lang w:val="bs-Latn-BA"/>
        </w:rPr>
      </w:pPr>
      <w:r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Nota broj 1 </w:t>
      </w:r>
      <w:r w:rsidR="00FF4738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–</w:t>
      </w:r>
      <w:r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Aktiva</w:t>
      </w:r>
      <w:r w:rsidR="00FF4738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</w:t>
      </w:r>
    </w:p>
    <w:p w:rsidR="00B93166" w:rsidRPr="00B4497C" w:rsidRDefault="00415649" w:rsidP="00FF4738">
      <w:pPr>
        <w:keepNext/>
        <w:spacing w:before="240" w:after="60" w:line="240" w:lineRule="auto"/>
        <w:jc w:val="both"/>
        <w:outlineLvl w:val="1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U 2023. Godini Društvo nije radilo </w:t>
      </w:r>
      <w:r w:rsidR="00850B82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test obezvređenja imovine, odnosno nije vršilo testiranje</w:t>
      </w:r>
      <w:r w:rsidR="00EF718E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umanjenja vrijednosti imovine u skladu sa MRS 36-</w:t>
      </w:r>
      <w:r w:rsidR="00B93166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Umanjenje imovine.Na osnovu dostupnih informaciaja </w:t>
      </w:r>
      <w:proofErr w:type="gramStart"/>
      <w:r w:rsidR="00B93166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iz  eksternih</w:t>
      </w:r>
      <w:proofErr w:type="gramEnd"/>
      <w:r w:rsidR="00B93166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i internih izvora </w:t>
      </w:r>
      <w:r w:rsidR="003C5160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možemo pouzdano tvrditi da se imovina ne iskazuje u iznosi</w:t>
      </w:r>
      <w:r w:rsidR="00CD6A4D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ma koji su veći od nadoknadivih, odnosno da vrijednost imovine </w:t>
      </w:r>
      <w:r w:rsidR="00101FC0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ne prelazi iznos koji treba nadoknaditi upotrebom ili prodajom te imovine.</w:t>
      </w:r>
      <w:r w:rsidR="00B93166" w:rsidRPr="00B4497C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Strukturu ukupn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e imovine Društva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ine: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ab/>
      </w:r>
    </w:p>
    <w:tbl>
      <w:tblPr>
        <w:tblW w:w="9132" w:type="dxa"/>
        <w:tblInd w:w="93" w:type="dxa"/>
        <w:tblLook w:val="04A0" w:firstRow="1" w:lastRow="0" w:firstColumn="1" w:lastColumn="0" w:noHBand="0" w:noVBand="1"/>
      </w:tblPr>
      <w:tblGrid>
        <w:gridCol w:w="2399"/>
        <w:gridCol w:w="1435"/>
        <w:gridCol w:w="1435"/>
        <w:gridCol w:w="1435"/>
        <w:gridCol w:w="1214"/>
        <w:gridCol w:w="1214"/>
      </w:tblGrid>
      <w:tr w:rsidR="00FD48AF" w:rsidRPr="00C75295" w:rsidTr="003C51F4">
        <w:trPr>
          <w:trHeight w:val="667"/>
        </w:trPr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FD48AF" w:rsidP="00FD48A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IMOVINA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DB35F7" w:rsidP="007C263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</w:t>
            </w:r>
            <w:r w:rsidR="007C2637">
              <w:rPr>
                <w:rFonts w:ascii="Palatino Linotype" w:hAnsi="Palatino Linotype"/>
                <w:color w:val="000000"/>
              </w:rPr>
              <w:t>1</w:t>
            </w:r>
            <w:r>
              <w:rPr>
                <w:rFonts w:ascii="Palatino Linotype" w:hAnsi="Palatino Linotype"/>
                <w:color w:val="000000"/>
              </w:rPr>
              <w:t>.</w:t>
            </w:r>
            <w:r w:rsidR="007C2637">
              <w:rPr>
                <w:rFonts w:ascii="Palatino Linotype" w:hAnsi="Palatino Linotype"/>
                <w:color w:val="000000"/>
              </w:rPr>
              <w:t>12</w:t>
            </w:r>
            <w:r>
              <w:rPr>
                <w:rFonts w:ascii="Palatino Linotype" w:hAnsi="Palatino Linotype"/>
                <w:color w:val="000000"/>
              </w:rPr>
              <w:t>.2023.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FD48AF" w:rsidP="00FD48A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FD48AF" w:rsidP="00FD48A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FD48AF" w:rsidP="00FD48A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FD48AF" w:rsidRDefault="00FD48AF" w:rsidP="00FD48A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5570CB" w:rsidRPr="00C75295" w:rsidTr="003C51F4">
        <w:trPr>
          <w:trHeight w:val="454"/>
        </w:trPr>
        <w:tc>
          <w:tcPr>
            <w:tcW w:w="23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Stalna imovina</w:t>
            </w:r>
          </w:p>
        </w:tc>
        <w:tc>
          <w:tcPr>
            <w:tcW w:w="14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59.441.882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53.559.653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1,11</w:t>
            </w:r>
          </w:p>
        </w:tc>
        <w:tc>
          <w:tcPr>
            <w:tcW w:w="1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83,17%</w:t>
            </w:r>
          </w:p>
        </w:tc>
        <w:tc>
          <w:tcPr>
            <w:tcW w:w="12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83,18%</w:t>
            </w:r>
          </w:p>
        </w:tc>
      </w:tr>
      <w:tr w:rsidR="005570CB" w:rsidRPr="00C75295" w:rsidTr="003C51F4">
        <w:trPr>
          <w:trHeight w:val="454"/>
        </w:trPr>
        <w:tc>
          <w:tcPr>
            <w:tcW w:w="23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Tekuća imovina</w:t>
            </w:r>
          </w:p>
        </w:tc>
        <w:tc>
          <w:tcPr>
            <w:tcW w:w="14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9.784.534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9.929.537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13,69%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15,42%</w:t>
            </w:r>
          </w:p>
        </w:tc>
      </w:tr>
      <w:tr w:rsidR="005570CB" w:rsidRPr="00C75295" w:rsidTr="003C51F4">
        <w:trPr>
          <w:trHeight w:val="454"/>
        </w:trPr>
        <w:tc>
          <w:tcPr>
            <w:tcW w:w="23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POSLOVNA AKTIVA</w:t>
            </w:r>
          </w:p>
        </w:tc>
        <w:tc>
          <w:tcPr>
            <w:tcW w:w="14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69.226.416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63.489.190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96,86%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98,60%</w:t>
            </w:r>
          </w:p>
        </w:tc>
      </w:tr>
      <w:tr w:rsidR="005570CB" w:rsidRPr="00C75295" w:rsidTr="003C51F4">
        <w:trPr>
          <w:trHeight w:val="454"/>
        </w:trPr>
        <w:tc>
          <w:tcPr>
            <w:tcW w:w="23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Vanbilansna aktiva</w:t>
            </w:r>
          </w:p>
        </w:tc>
        <w:tc>
          <w:tcPr>
            <w:tcW w:w="14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2.242.758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900.550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2,49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3,14%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1,40%</w:t>
            </w:r>
          </w:p>
        </w:tc>
      </w:tr>
      <w:tr w:rsidR="005570CB" w:rsidRPr="00C75295" w:rsidTr="003C51F4">
        <w:trPr>
          <w:trHeight w:val="454"/>
        </w:trPr>
        <w:tc>
          <w:tcPr>
            <w:tcW w:w="23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570CB" w:rsidRDefault="005570CB" w:rsidP="005570CB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4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71.469.174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64.389.740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570CB" w:rsidRDefault="005570CB" w:rsidP="005570CB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Visoko učešće staln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ukupn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oj imovini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u </w:t>
      </w:r>
      <w:r w:rsidR="00C75295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2023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 godini 8</w:t>
      </w:r>
      <w:r w:rsidR="005570C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="005570C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17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%, a u 202</w:t>
      </w:r>
      <w:r w:rsidR="004E00D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 godini 8</w:t>
      </w:r>
      <w:r w:rsidR="004E00D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="006616D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1</w:t>
      </w:r>
      <w:r w:rsidR="00ED5BAD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8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%,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u ci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odr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 povo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ne dugoro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ne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kratkoro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ne finansijske ravnote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zaht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jeva od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da odr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ava u istoj mjeri 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šć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 trajnih i dugoro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nih izvora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sredstava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ukupnim izvorima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 a posebno održavanje vlastitih izvora sredstava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>Nota broj 2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- Stalna imovina 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</w:pPr>
    </w:p>
    <w:p w:rsidR="006B066E" w:rsidRPr="002E06E1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Struktur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staln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 imovine Društva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:</w:t>
      </w:r>
    </w:p>
    <w:tbl>
      <w:tblPr>
        <w:tblW w:w="9446" w:type="dxa"/>
        <w:tblInd w:w="93" w:type="dxa"/>
        <w:tblLook w:val="04A0" w:firstRow="1" w:lastRow="0" w:firstColumn="1" w:lastColumn="0" w:noHBand="0" w:noVBand="1"/>
      </w:tblPr>
      <w:tblGrid>
        <w:gridCol w:w="2996"/>
        <w:gridCol w:w="1356"/>
        <w:gridCol w:w="1356"/>
        <w:gridCol w:w="1111"/>
        <w:gridCol w:w="1480"/>
        <w:gridCol w:w="1147"/>
      </w:tblGrid>
      <w:tr w:rsidR="007D60EB" w:rsidRPr="00C75295" w:rsidTr="001D0A82">
        <w:trPr>
          <w:trHeight w:val="626"/>
        </w:trPr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7D60EB" w:rsidP="007D60EB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STALNA  IMOVINA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DB35F7" w:rsidP="005278AD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</w:t>
            </w:r>
            <w:r w:rsidR="005278AD">
              <w:rPr>
                <w:rFonts w:ascii="Palatino Linotype" w:hAnsi="Palatino Linotype"/>
                <w:color w:val="000000"/>
              </w:rPr>
              <w:t>1</w:t>
            </w:r>
            <w:r>
              <w:rPr>
                <w:rFonts w:ascii="Palatino Linotype" w:hAnsi="Palatino Linotype"/>
                <w:color w:val="000000"/>
              </w:rPr>
              <w:t>.</w:t>
            </w:r>
            <w:r w:rsidR="005278AD">
              <w:rPr>
                <w:rFonts w:ascii="Palatino Linotype" w:hAnsi="Palatino Linotype"/>
                <w:color w:val="000000"/>
              </w:rPr>
              <w:t>12</w:t>
            </w:r>
            <w:r>
              <w:rPr>
                <w:rFonts w:ascii="Palatino Linotype" w:hAnsi="Palatino Linotype"/>
                <w:color w:val="000000"/>
              </w:rPr>
              <w:t>.2023.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7D60EB" w:rsidP="003742F1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7D60EB" w:rsidP="007D60E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7D60EB" w:rsidP="007D60E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1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7D60EB" w:rsidRDefault="007D60EB" w:rsidP="007D60E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Nematerijalna sredstva</w:t>
            </w:r>
          </w:p>
        </w:tc>
        <w:tc>
          <w:tcPr>
            <w:tcW w:w="1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109.844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118.499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0,93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0,18%</w:t>
            </w:r>
          </w:p>
        </w:tc>
        <w:tc>
          <w:tcPr>
            <w:tcW w:w="11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0,22%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Zemljište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7.085.403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7.085.403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11,92%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13,23%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Građevinski objekti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36.752.598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37.606.759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61,83%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70,21%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Oprema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320.286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383.286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0,54%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0,72%</w:t>
            </w:r>
          </w:p>
        </w:tc>
      </w:tr>
      <w:tr w:rsidR="00C81FC9" w:rsidRPr="00C75295" w:rsidTr="00124BCD">
        <w:trPr>
          <w:trHeight w:val="640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Avansi nekret.postr.opr. invest.nekr.u pripremi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15.121.751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8.313.706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25,44%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15,52%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Dugoročni finansijski plasmani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52.000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52.000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0,09%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0,10%</w:t>
            </w:r>
          </w:p>
        </w:tc>
      </w:tr>
      <w:tr w:rsidR="00C81FC9" w:rsidRPr="00C75295" w:rsidTr="00124BCD">
        <w:trPr>
          <w:trHeight w:val="381"/>
        </w:trPr>
        <w:tc>
          <w:tcPr>
            <w:tcW w:w="29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C81FC9" w:rsidRDefault="00C81FC9" w:rsidP="00C81FC9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3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59.441.882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53.559.653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C81FC9" w:rsidRDefault="00C81FC9" w:rsidP="00C81FC9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6B066E" w:rsidRDefault="006B06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lastRenderedPageBreak/>
        <w:t xml:space="preserve">U strukturi stalne imovine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 najve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 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šć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u 202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. godini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imaju gra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đ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evinsk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 objekti 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C81F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C81F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%, dok su 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202</w:t>
      </w:r>
      <w:r w:rsidR="0038663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.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učestvovali 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sa </w:t>
      </w:r>
      <w:r w:rsidR="00532AEB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7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532AEB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%. </w:t>
      </w:r>
    </w:p>
    <w:p w:rsidR="003207B4" w:rsidRDefault="003207B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Društvo je u završnoj fazi regulisanja statusa zemljišta koje je u posjedu </w:t>
      </w: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evidentirano je u vanbilansnoj evidenciji. Očekujemo da se sudski spor završi u toku 2024. </w:t>
      </w:r>
      <w:proofErr w:type="gramStart"/>
      <w:r w:rsidR="00B7031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odine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</w:p>
    <w:p w:rsidR="004959AD" w:rsidRDefault="004959AD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>Nota broj 3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- Tekuća sredstva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Strukturu</w:t>
      </w:r>
      <w:r w:rsidR="00DF71F9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teku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ih sredstava</w:t>
      </w:r>
      <w:r w:rsidR="002E06E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ine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: </w:t>
      </w:r>
    </w:p>
    <w:tbl>
      <w:tblPr>
        <w:tblW w:w="9222" w:type="dxa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874"/>
        <w:gridCol w:w="1394"/>
        <w:gridCol w:w="1147"/>
      </w:tblGrid>
      <w:tr w:rsidR="00B9308A" w:rsidRPr="002E79CB" w:rsidTr="00B9308A">
        <w:trPr>
          <w:trHeight w:val="66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TEKUĆA IMOVINA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31.12.2023.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31.12.2022.</w:t>
            </w:r>
          </w:p>
        </w:tc>
        <w:tc>
          <w:tcPr>
            <w:tcW w:w="8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Indeks</w:t>
            </w:r>
          </w:p>
        </w:tc>
        <w:tc>
          <w:tcPr>
            <w:tcW w:w="1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Struktura 2023.</w:t>
            </w:r>
          </w:p>
        </w:tc>
        <w:tc>
          <w:tcPr>
            <w:tcW w:w="11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Struktura 2022.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Zalihe materijala i robe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618.130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690.617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0,90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6,32%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6,96%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Dati avansi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67.083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14.085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4,76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0,69%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0,14%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Kratkoročna potraživanja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917.917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813.282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9,38%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8,19%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Ostali kratkoročni plasmani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2.100.000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1.000.000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2,10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21,46%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10,07%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Gotovina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5.732.210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7.201.971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58,58%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72,53%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Ostala tekuća sredstva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349.194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209.582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3,57%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2,11%</w:t>
            </w:r>
          </w:p>
        </w:tc>
      </w:tr>
      <w:tr w:rsidR="00B9308A" w:rsidRPr="002E79CB" w:rsidTr="00B9308A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9.784.534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9.929.537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0,99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100,00%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2E79CB" w:rsidRPr="002E79CB" w:rsidRDefault="002E79CB" w:rsidP="002E79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</w:pPr>
            <w:r w:rsidRPr="002E79CB">
              <w:rPr>
                <w:rFonts w:ascii="Palatino Linotype" w:eastAsia="Times New Roman" w:hAnsi="Palatino Linotype" w:cs="Times New Roman"/>
                <w:color w:val="000000"/>
                <w:lang w:eastAsia="sr-Latn-RS"/>
              </w:rPr>
              <w:t>100,00%</w:t>
            </w:r>
          </w:p>
        </w:tc>
      </w:tr>
    </w:tbl>
    <w:p w:rsidR="002E06E1" w:rsidRPr="002E06E1" w:rsidRDefault="002E06E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trgovačke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robe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priznaju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neto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prodajnoj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zavisnosti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toga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koja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ove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dvije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niža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materijala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goriva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maziva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rezervnih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dijelova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HTZ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opreme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</w:t>
      </w:r>
      <w:r w:rsidR="001575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</w:t>
      </w:r>
      <w:proofErr w:type="gramEnd"/>
      <w:r w:rsidR="001575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auto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guma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vode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Nabavna vrijednost uključuje vrijednost po fakturi dobavljača, transportne i zavisne troškove.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Sitan  inventar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otpisuje se 100% po stavljanju u upotrebu, osim sitnog inventara na zalihama 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 koji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je zaduženo  odgovorno lice 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magacin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. 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Potraživanja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kupaca ispravljaju se ukoliko nisu naplaćena prema procjeni komisije i po odluci Uprave Društva.</w:t>
      </w:r>
    </w:p>
    <w:p w:rsidR="00F27881" w:rsidRDefault="00F2788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Komisija za popis potraživanja je</w:t>
      </w:r>
      <w:r w:rsidR="007F42C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uradila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analizu </w:t>
      </w:r>
      <w:r w:rsidR="0065183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obračun kreditnih gubitaka</w:t>
      </w:r>
      <w:r w:rsidR="00FD2AC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7F42C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</w:t>
      </w:r>
      <w:r w:rsidR="0065183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predložila da se direktno otpišu </w:t>
      </w:r>
      <w:r w:rsidR="00DC434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nenaplativa potraživanja u iznosu od 448</w:t>
      </w:r>
      <w:proofErr w:type="gramStart"/>
      <w:r w:rsidR="00DC434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,23</w:t>
      </w:r>
      <w:proofErr w:type="gramEnd"/>
      <w:r w:rsidR="00DC434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KM  a da se indirektno otpišu  potraživanja u iznosu 40.404,46 KM.</w:t>
      </w:r>
      <w:r w:rsidR="0065183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Usaglašavanja su provedena sa najznačajnijim kupcima a sa ostalim su kontinuirana   u toku  godine.</w:t>
      </w:r>
    </w:p>
    <w:p w:rsidR="00FD2AC1" w:rsidRDefault="00FD2AC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Nisu usaglašavana potraživanja sa fizičkim licima koja se </w:t>
      </w:r>
      <w:r w:rsidR="006C732A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pojavljuju najčešće pojavljuju jednom godišnje.</w:t>
      </w:r>
    </w:p>
    <w:p w:rsidR="00964C73" w:rsidRDefault="00964C7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Nisu u potpunosti usaglašena po</w:t>
      </w:r>
      <w:r w:rsidR="005B6821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traživanja sa kupcima koji dola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ze na razne seminare, uglavnom iz državnih organa, škola i</w:t>
      </w:r>
      <w:r w:rsidR="005B6821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slično a razlog je mali broj radnih dana tako da nam </w:t>
      </w:r>
      <w:r w:rsidR="005B6821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nisu stigli vratili ovjerene ios-e.</w:t>
      </w:r>
    </w:p>
    <w:p w:rsidR="0057642F" w:rsidRPr="009321D0" w:rsidRDefault="0057642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Navedena potraživanja najčešće naplaćujemo putem multilateralnih kompenzacija preko Banjalučke berze.</w:t>
      </w:r>
    </w:p>
    <w:p w:rsidR="00A35AED" w:rsidRDefault="00A35AED" w:rsidP="00A35AED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Značajan procenat naplate potraživanja potvrđuje da društvo vodi ispravnu politiku kako same prodaje tako i naplate potraživanja.</w:t>
      </w:r>
    </w:p>
    <w:p w:rsidR="00C85310" w:rsidRDefault="00923D16" w:rsidP="00A35AED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Na iosi</w:t>
      </w:r>
      <w:r w:rsid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ma smo naveli slijedeći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tekst:</w:t>
      </w:r>
    </w:p>
    <w:p w:rsidR="00C85310" w:rsidRPr="00C85310" w:rsidRDefault="00C85310" w:rsidP="00C8531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„</w:t>
      </w:r>
      <w:r w:rsidRP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Poštovani, </w:t>
      </w:r>
    </w:p>
    <w:p w:rsidR="00C85310" w:rsidRPr="00C85310" w:rsidRDefault="00C85310" w:rsidP="00C8531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Molimo da jedan primjerak IOS-a vratite na našu adresu.</w:t>
      </w:r>
    </w:p>
    <w:p w:rsidR="00C85310" w:rsidRPr="00C85310" w:rsidRDefault="00C85310" w:rsidP="00C8531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lastRenderedPageBreak/>
        <w:t>Ukoliko u roku od 10 dana ne primimo potvrdu ili osporavanje, smatraćemo da nam je stanje usklađeno. Ukoliko kod nas nedostaju knjiženja molimo da dostavite nedostajuće dokumente.</w:t>
      </w:r>
    </w:p>
    <w:p w:rsidR="00C85310" w:rsidRDefault="00C85310" w:rsidP="00C8531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C8531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Ios možete poslati i na </w:t>
      </w:r>
      <w:hyperlink r:id="rId7" w:history="1">
        <w:r w:rsidR="002E1E04" w:rsidRPr="00D4756D">
          <w:rPr>
            <w:rStyle w:val="Hyperlink"/>
            <w:rFonts w:ascii="Palatino Linotype" w:eastAsia="Times New Roman" w:hAnsi="Palatino Linotype" w:cs="Calibri"/>
            <w:snapToGrid w:val="0"/>
            <w:sz w:val="24"/>
            <w:szCs w:val="20"/>
            <w:lang w:val="pl-PL"/>
          </w:rPr>
          <w:t>finansije@banja-vrucica.com</w:t>
        </w:r>
      </w:hyperlink>
      <w:r w:rsidR="002E1E0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”</w:t>
      </w:r>
    </w:p>
    <w:p w:rsidR="002E1E04" w:rsidRDefault="002E1E04" w:rsidP="00C8531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C33B7E" w:rsidRDefault="00C33B7E" w:rsidP="00A35AED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Već nekoliko godina nismo usaglasili stanja sa Atos bankom, </w:t>
      </w:r>
      <w:r w:rsidR="00F93E53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stanja kod njih nisu usaglašena između njihovog iosa i poslednjeg izvoda pa smo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prihvatili smo stanja prema poslednjem izvodu </w:t>
      </w:r>
      <w:r w:rsidR="00F93E53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Atos banke.</w:t>
      </w:r>
    </w:p>
    <w:p w:rsidR="0004287A" w:rsidRDefault="0004287A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Obračun izlaza zaliha (materijala, proizvoda i robe) vrši se po prosječnim cijenama.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Vrijednost zaliha učinaka sadrži i troškove kupovine, prodaje i finansiranja.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Gotovina i ekvivalenti gotovine sastoje se od novca u blagajni i novca na bankovnim računima. </w:t>
      </w:r>
    </w:p>
    <w:p w:rsidR="00A730C1" w:rsidRDefault="00A730C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Svoje finansijsko poslovanje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tvo obav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 preko slede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ih ra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una: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567 543 1100 3796 43 </w:t>
      </w:r>
      <w:r w:rsidR="001A395A">
        <w:rPr>
          <w:rFonts w:ascii="Palatino Linotype" w:eastAsia="Times New Roman" w:hAnsi="Palatino Linotype" w:cs="Calibri"/>
          <w:snapToGrid w:val="0"/>
          <w:sz w:val="24"/>
          <w:szCs w:val="20"/>
        </w:rPr>
        <w:t>Atos</w:t>
      </w:r>
      <w:r w:rsidR="005C636B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bank</w:t>
      </w:r>
      <w:r w:rsidR="005C636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(glavni račun)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161 040 0008 6600 54 Raiffeisen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555 008 0002 2363 49 Nova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551 025 0000 5778 46Uni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C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redit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562 099 0000 7332 32 NLB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552 008 0000 7527 79 Addiko banka</w:t>
      </w:r>
    </w:p>
    <w:p w:rsidR="005C636B" w:rsidRDefault="005C636B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9321D0" w:rsidRPr="009321D0" w:rsidRDefault="005C636B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U toku 2023. </w:t>
      </w:r>
      <w:r w:rsidR="00F02BD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g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odine Društvo je zatvori</w:t>
      </w:r>
      <w:r w:rsidR="005904C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lo račune u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MF </w:t>
      </w:r>
      <w:r w:rsidR="005904C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i Našoj 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ban</w:t>
      </w:r>
      <w:r w:rsidR="005904C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ci, osnovni razlog </w:t>
      </w:r>
      <w:r w:rsidR="00F02BD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zatvaranja </w:t>
      </w:r>
      <w:r w:rsidR="005904C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je  mali obim prometa na ovim računima.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BC14AF" w:rsidRPr="009321D0" w:rsidRDefault="00BC14A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9321D0" w:rsidRPr="0003130E" w:rsidRDefault="009321D0" w:rsidP="00F0738B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</w:pPr>
      <w:r w:rsidRPr="0003130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03130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  <w:t>4 - Kapital i rezervisanja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Strukturu kapitala Društva čini: </w:t>
      </w:r>
    </w:p>
    <w:tbl>
      <w:tblPr>
        <w:tblW w:w="9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1356"/>
        <w:gridCol w:w="1436"/>
        <w:gridCol w:w="1119"/>
        <w:gridCol w:w="1275"/>
        <w:gridCol w:w="1364"/>
      </w:tblGrid>
      <w:tr w:rsidR="00046BF7" w:rsidRPr="00C75295" w:rsidTr="008A4BB7">
        <w:trPr>
          <w:trHeight w:val="640"/>
        </w:trPr>
        <w:tc>
          <w:tcPr>
            <w:tcW w:w="2767" w:type="dxa"/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KAPITAL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046BF7" w:rsidRPr="00C75295" w:rsidTr="008A4BB7">
        <w:trPr>
          <w:trHeight w:val="349"/>
        </w:trPr>
        <w:tc>
          <w:tcPr>
            <w:tcW w:w="2767" w:type="dxa"/>
            <w:shd w:val="clear" w:color="auto" w:fill="auto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Osnovni kapital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33.600.177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33.600.177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53,06%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59,11%</w:t>
            </w:r>
          </w:p>
        </w:tc>
      </w:tr>
      <w:tr w:rsidR="00046BF7" w:rsidRPr="00C75295" w:rsidTr="008A4BB7">
        <w:trPr>
          <w:trHeight w:val="349"/>
        </w:trPr>
        <w:tc>
          <w:tcPr>
            <w:tcW w:w="2767" w:type="dxa"/>
            <w:shd w:val="clear" w:color="auto" w:fill="auto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Rezerve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5.562.140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5.562.140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8,78%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9,79%</w:t>
            </w:r>
          </w:p>
        </w:tc>
      </w:tr>
      <w:tr w:rsidR="00046BF7" w:rsidRPr="00C75295" w:rsidTr="008A4BB7">
        <w:trPr>
          <w:trHeight w:val="349"/>
        </w:trPr>
        <w:tc>
          <w:tcPr>
            <w:tcW w:w="2767" w:type="dxa"/>
            <w:shd w:val="clear" w:color="auto" w:fill="auto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Revalorizacione rezerve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5.258.643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5.258.643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8,30%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9,25%</w:t>
            </w:r>
          </w:p>
        </w:tc>
      </w:tr>
      <w:tr w:rsidR="00046BF7" w:rsidRPr="00C75295" w:rsidTr="008A4BB7">
        <w:trPr>
          <w:trHeight w:val="349"/>
        </w:trPr>
        <w:tc>
          <w:tcPr>
            <w:tcW w:w="2767" w:type="dxa"/>
            <w:shd w:val="clear" w:color="auto" w:fill="auto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Neraspoređeni dobitak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18.905.679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12.418.419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29,85%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21,85%</w:t>
            </w:r>
          </w:p>
        </w:tc>
      </w:tr>
      <w:tr w:rsidR="00046BF7" w:rsidRPr="00C75295" w:rsidTr="008A4BB7">
        <w:trPr>
          <w:trHeight w:val="349"/>
        </w:trPr>
        <w:tc>
          <w:tcPr>
            <w:tcW w:w="2767" w:type="dxa"/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63.326.639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56.839.379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46BF7" w:rsidRDefault="00046BF7" w:rsidP="00046BF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9321D0" w:rsidRPr="009321D0" w:rsidRDefault="009321D0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7E03E3" w:rsidRDefault="009321D0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 toku 202</w:t>
      </w:r>
      <w:r w:rsidR="006A651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.godine kapital je povećan za iznos neto dobiti</w:t>
      </w:r>
      <w:r w:rsidR="0004287A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tekućeg perioda</w:t>
      </w:r>
      <w:r w:rsidR="006A651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4B31C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</w:p>
    <w:p w:rsidR="00016876" w:rsidRDefault="0001687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016876" w:rsidRDefault="0001687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016876" w:rsidRDefault="0001687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5A0425" w:rsidRDefault="005A0425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tbl>
      <w:tblPr>
        <w:tblW w:w="9427" w:type="dxa"/>
        <w:tblLook w:val="04A0" w:firstRow="1" w:lastRow="0" w:firstColumn="1" w:lastColumn="0" w:noHBand="0" w:noVBand="1"/>
      </w:tblPr>
      <w:tblGrid>
        <w:gridCol w:w="3175"/>
        <w:gridCol w:w="1325"/>
        <w:gridCol w:w="1416"/>
        <w:gridCol w:w="1101"/>
        <w:gridCol w:w="1205"/>
        <w:gridCol w:w="1205"/>
      </w:tblGrid>
      <w:tr w:rsidR="007E03E3" w:rsidRPr="007E03E3" w:rsidTr="002A65EB">
        <w:trPr>
          <w:trHeight w:val="624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lastRenderedPageBreak/>
              <w:t>REZERVISANJA I ODLOŽENE PORESKE OBAVEZE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DB35F7" w:rsidP="007427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3</w:t>
            </w:r>
            <w:r w:rsidR="00742774">
              <w:rPr>
                <w:rFonts w:ascii="Palatino Linotype" w:eastAsia="Times New Roman" w:hAnsi="Palatino Linotype" w:cs="Times New Roman"/>
                <w:bCs/>
                <w:color w:val="000000"/>
              </w:rPr>
              <w:t>1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  <w:r w:rsidR="00742774">
              <w:rPr>
                <w:rFonts w:ascii="Palatino Linotype" w:eastAsia="Times New Roman" w:hAnsi="Palatino Linotype" w:cs="Times New Roman"/>
                <w:bCs/>
                <w:color w:val="000000"/>
              </w:rPr>
              <w:t>12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.2023.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091D9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31.12.202</w:t>
            </w:r>
            <w:r w:rsidR="00074533">
              <w:rPr>
                <w:rFonts w:ascii="Palatino Linotype" w:eastAsia="Times New Roman" w:hAnsi="Palatino Linotype" w:cs="Times New Roman"/>
                <w:bCs/>
                <w:color w:val="000000"/>
              </w:rPr>
              <w:t>2</w:t>
            </w: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7E03E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Indeks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5A042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Struktura 202</w:t>
            </w:r>
            <w:r w:rsidR="005A0425">
              <w:rPr>
                <w:rFonts w:ascii="Palatino Linotype" w:eastAsia="Times New Roman" w:hAnsi="Palatino Linotype" w:cs="Times New Roman"/>
                <w:bCs/>
                <w:color w:val="000000"/>
              </w:rPr>
              <w:t>3</w:t>
            </w: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5A042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Struktura 202</w:t>
            </w:r>
            <w:r w:rsidR="005A0425">
              <w:rPr>
                <w:rFonts w:ascii="Palatino Linotype" w:eastAsia="Times New Roman" w:hAnsi="Palatino Linotype" w:cs="Times New Roman"/>
                <w:bCs/>
                <w:color w:val="000000"/>
              </w:rPr>
              <w:t>2</w:t>
            </w: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Rezervisanja za beneficije zaposlenih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295.796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3F5BDA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295.79</w:t>
            </w:r>
            <w:r w:rsidR="003F5BDA">
              <w:rPr>
                <w:rFonts w:ascii="Palatino Linotype" w:eastAsia="Times New Roman" w:hAnsi="Palatino Linotype" w:cs="Times New Roman"/>
                <w:color w:val="000000"/>
              </w:rPr>
              <w:t>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091D9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42,51%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42,51%</w:t>
            </w:r>
          </w:p>
        </w:tc>
      </w:tr>
      <w:tr w:rsidR="007E03E3" w:rsidRPr="007E03E3" w:rsidTr="002A65EB">
        <w:trPr>
          <w:trHeight w:val="305"/>
        </w:trPr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091D9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Odložene poreske obaveze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399.968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399.968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091D9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57,49%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57,49%</w:t>
            </w: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Ukupno: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695.764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3F5BDA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695.76</w:t>
            </w:r>
            <w:r w:rsidR="003F5BDA">
              <w:rPr>
                <w:rFonts w:ascii="Palatino Linotype" w:eastAsia="Times New Roman" w:hAnsi="Palatino Linotype" w:cs="Times New Roman"/>
                <w:bCs/>
                <w:color w:val="000000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091D9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100,00%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100,00%</w:t>
            </w:r>
          </w:p>
        </w:tc>
      </w:tr>
    </w:tbl>
    <w:p w:rsidR="007E03E3" w:rsidRDefault="007E03E3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7E03E3" w:rsidRDefault="00C25F4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Rezervisanja </w:t>
      </w:r>
      <w:r w:rsidR="00C17B4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za penzionisanje i ostale beneficije zaposlenih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su ostala na istom </w:t>
      </w:r>
      <w:r w:rsidR="00C17B4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nivou kao i u prethodnoj godini.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Društvo nije radilo novu procjenu zbog značajnog nivoa </w:t>
      </w:r>
      <w:r w:rsidR="00BC14AF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svih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rezervi i malog broja planiranih penzionisanja u 2023. godini</w:t>
      </w:r>
      <w:r w:rsidR="00737603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 s jedne strane i povoljne starosne strukture zaposlenih s druge strane.</w:t>
      </w:r>
    </w:p>
    <w:p w:rsid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 – Obaveze</w:t>
      </w:r>
    </w:p>
    <w:p w:rsidR="00CC5056" w:rsidRDefault="00CC5056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tbl>
      <w:tblPr>
        <w:tblW w:w="9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356"/>
        <w:gridCol w:w="1472"/>
        <w:gridCol w:w="1151"/>
        <w:gridCol w:w="1371"/>
        <w:gridCol w:w="1238"/>
      </w:tblGrid>
      <w:tr w:rsidR="00742774" w:rsidRPr="00C75295" w:rsidTr="008A4BB7">
        <w:trPr>
          <w:trHeight w:val="655"/>
        </w:trPr>
        <w:tc>
          <w:tcPr>
            <w:tcW w:w="2893" w:type="dxa"/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OBAVEZE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2774" w:rsidRDefault="00742774" w:rsidP="0074277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A9058C" w:rsidRPr="00C75295" w:rsidTr="008A4BB7">
        <w:trPr>
          <w:trHeight w:val="357"/>
        </w:trPr>
        <w:tc>
          <w:tcPr>
            <w:tcW w:w="2893" w:type="dxa"/>
            <w:shd w:val="clear" w:color="auto" w:fill="auto"/>
            <w:vAlign w:val="center"/>
            <w:hideMark/>
          </w:tcPr>
          <w:p w:rsidR="00A9058C" w:rsidRDefault="00A9058C" w:rsidP="00A9058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Dugoročne obaveze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2.108.778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3.610.889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0,58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35,74%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54,30%</w:t>
            </w:r>
          </w:p>
        </w:tc>
      </w:tr>
      <w:tr w:rsidR="00A9058C" w:rsidRPr="00C75295" w:rsidTr="008A4BB7">
        <w:trPr>
          <w:trHeight w:val="357"/>
        </w:trPr>
        <w:tc>
          <w:tcPr>
            <w:tcW w:w="2893" w:type="dxa"/>
            <w:shd w:val="clear" w:color="auto" w:fill="auto"/>
            <w:vAlign w:val="center"/>
            <w:hideMark/>
          </w:tcPr>
          <w:p w:rsidR="00A9058C" w:rsidRDefault="00A9058C" w:rsidP="00A9058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Kratkoročne obaveze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3.790.999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3.038.922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64,26%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45,70%</w:t>
            </w:r>
          </w:p>
        </w:tc>
      </w:tr>
      <w:tr w:rsidR="00A9058C" w:rsidRPr="00C75295" w:rsidTr="008A4BB7">
        <w:trPr>
          <w:trHeight w:val="357"/>
        </w:trPr>
        <w:tc>
          <w:tcPr>
            <w:tcW w:w="2893" w:type="dxa"/>
            <w:shd w:val="clear" w:color="000000" w:fill="D9D9D9"/>
            <w:vAlign w:val="center"/>
            <w:hideMark/>
          </w:tcPr>
          <w:p w:rsidR="00A9058C" w:rsidRDefault="00A9058C" w:rsidP="00A9058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5.899.777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6.649.811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9058C" w:rsidRDefault="00A9058C" w:rsidP="00A9058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A730C1" w:rsidRDefault="00A730C1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5.1. Dugoročne obaveze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Struktura obaveza: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ab/>
      </w:r>
    </w:p>
    <w:tbl>
      <w:tblPr>
        <w:tblW w:w="95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56"/>
        <w:gridCol w:w="1476"/>
        <w:gridCol w:w="1499"/>
        <w:gridCol w:w="1168"/>
        <w:gridCol w:w="1147"/>
      </w:tblGrid>
      <w:tr w:rsidR="00C75295" w:rsidRPr="00C75295" w:rsidTr="006763E6">
        <w:trPr>
          <w:trHeight w:val="638"/>
        </w:trPr>
        <w:tc>
          <w:tcPr>
            <w:tcW w:w="2955" w:type="dxa"/>
            <w:shd w:val="clear" w:color="000000" w:fill="D8D8D8"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DUGOROČNE OBAVEZE</w:t>
            </w:r>
          </w:p>
        </w:tc>
        <w:tc>
          <w:tcPr>
            <w:tcW w:w="1320" w:type="dxa"/>
            <w:shd w:val="clear" w:color="000000" w:fill="D8D8D8"/>
            <w:vAlign w:val="center"/>
            <w:hideMark/>
          </w:tcPr>
          <w:p w:rsidR="00C75295" w:rsidRPr="00C75295" w:rsidRDefault="00EC658A" w:rsidP="00EC658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</w:t>
            </w:r>
            <w:r w:rsidR="00DB35F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12</w:t>
            </w:r>
            <w:r w:rsidR="00DB35F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.2023.</w:t>
            </w:r>
          </w:p>
        </w:tc>
        <w:tc>
          <w:tcPr>
            <w:tcW w:w="1483" w:type="dxa"/>
            <w:shd w:val="clear" w:color="000000" w:fill="D8D8D8"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31.12.2022.</w:t>
            </w:r>
          </w:p>
        </w:tc>
        <w:tc>
          <w:tcPr>
            <w:tcW w:w="1499" w:type="dxa"/>
            <w:shd w:val="clear" w:color="000000" w:fill="D8D8D8"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168" w:type="dxa"/>
            <w:shd w:val="clear" w:color="000000" w:fill="D8D8D8"/>
            <w:vAlign w:val="center"/>
            <w:hideMark/>
          </w:tcPr>
          <w:p w:rsidR="00C75295" w:rsidRPr="00C75295" w:rsidRDefault="00C75295" w:rsidP="00BC6B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</w:t>
            </w:r>
            <w:r w:rsidR="00BC6B61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.</w:t>
            </w:r>
          </w:p>
        </w:tc>
        <w:tc>
          <w:tcPr>
            <w:tcW w:w="1117" w:type="dxa"/>
            <w:shd w:val="clear" w:color="000000" w:fill="D8D8D8"/>
            <w:vAlign w:val="center"/>
            <w:hideMark/>
          </w:tcPr>
          <w:p w:rsidR="00C75295" w:rsidRPr="00C75295" w:rsidRDefault="00C75295" w:rsidP="00BC6B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</w:t>
            </w:r>
            <w:r w:rsidR="00BC6B61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.</w:t>
            </w:r>
          </w:p>
        </w:tc>
      </w:tr>
      <w:tr w:rsidR="00C75295" w:rsidRPr="00C75295" w:rsidTr="006763E6">
        <w:trPr>
          <w:trHeight w:val="348"/>
        </w:trPr>
        <w:tc>
          <w:tcPr>
            <w:tcW w:w="2955" w:type="dxa"/>
            <w:shd w:val="clear" w:color="auto" w:fill="auto"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Dugoročni kredit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75295" w:rsidRPr="00C75295" w:rsidRDefault="00885DC9" w:rsidP="005179B2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</w:t>
            </w:r>
            <w:r w:rsidR="005179B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108</w:t>
            </w:r>
            <w:r w:rsidR="00E22D7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</w:t>
            </w:r>
            <w:r w:rsidR="005179B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75295" w:rsidRPr="00C75295" w:rsidRDefault="00E22D78" w:rsidP="00C7529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2.915.</w:t>
            </w:r>
            <w:r w:rsidR="00C75295"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C75295" w:rsidRPr="00C75295" w:rsidRDefault="00FE7879" w:rsidP="006927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  <w:r w:rsidR="00C75295"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.00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100.00%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100.00%</w:t>
            </w:r>
          </w:p>
        </w:tc>
      </w:tr>
      <w:tr w:rsidR="00C75295" w:rsidRPr="00C75295" w:rsidTr="006763E6">
        <w:trPr>
          <w:trHeight w:val="348"/>
        </w:trPr>
        <w:tc>
          <w:tcPr>
            <w:tcW w:w="2955" w:type="dxa"/>
            <w:shd w:val="clear" w:color="000000" w:fill="D8D8D8"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320" w:type="dxa"/>
            <w:shd w:val="clear" w:color="000000" w:fill="D8D8D8"/>
            <w:vAlign w:val="center"/>
            <w:hideMark/>
          </w:tcPr>
          <w:p w:rsidR="00C75295" w:rsidRPr="00C75295" w:rsidRDefault="00C75295" w:rsidP="005179B2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  <w:r w:rsidR="00E22D7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</w:t>
            </w:r>
            <w:r w:rsidR="005179B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108</w:t>
            </w:r>
            <w:r w:rsidR="00E22D7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</w:t>
            </w:r>
            <w:r w:rsidR="005179B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1483" w:type="dxa"/>
            <w:shd w:val="clear" w:color="000000" w:fill="D8D8D8"/>
            <w:vAlign w:val="center"/>
            <w:hideMark/>
          </w:tcPr>
          <w:p w:rsidR="00C75295" w:rsidRPr="00C75295" w:rsidRDefault="00C75295" w:rsidP="00E22D78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  <w:r w:rsidR="00E22D7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.915.</w:t>
            </w:r>
            <w:r w:rsidRPr="00C7529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499" w:type="dxa"/>
            <w:shd w:val="clear" w:color="000000" w:fill="D8D8D8"/>
            <w:noWrap/>
            <w:vAlign w:val="center"/>
            <w:hideMark/>
          </w:tcPr>
          <w:p w:rsidR="00C75295" w:rsidRPr="00C75295" w:rsidRDefault="00FE7879" w:rsidP="006927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  <w:r w:rsidR="00C75295"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.00</w:t>
            </w:r>
          </w:p>
        </w:tc>
        <w:tc>
          <w:tcPr>
            <w:tcW w:w="1168" w:type="dxa"/>
            <w:shd w:val="clear" w:color="000000" w:fill="D8D8D8"/>
            <w:noWrap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100.00%</w:t>
            </w:r>
          </w:p>
        </w:tc>
        <w:tc>
          <w:tcPr>
            <w:tcW w:w="1117" w:type="dxa"/>
            <w:shd w:val="clear" w:color="000000" w:fill="D8D8D8"/>
            <w:noWrap/>
            <w:vAlign w:val="center"/>
            <w:hideMark/>
          </w:tcPr>
          <w:p w:rsidR="00C75295" w:rsidRPr="00C75295" w:rsidRDefault="00C75295" w:rsidP="00C7529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75295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100.00%</w:t>
            </w:r>
          </w:p>
        </w:tc>
      </w:tr>
    </w:tbl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5.2.Kratkoročne obaveze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Struktura obaveza:</w:t>
      </w: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ab/>
      </w:r>
    </w:p>
    <w:tbl>
      <w:tblPr>
        <w:tblW w:w="961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350"/>
        <w:gridCol w:w="1532"/>
        <w:gridCol w:w="1277"/>
        <w:gridCol w:w="1156"/>
        <w:gridCol w:w="1156"/>
      </w:tblGrid>
      <w:tr w:rsidR="0029450C" w:rsidRPr="00C75295" w:rsidTr="0039235A">
        <w:trPr>
          <w:trHeight w:val="61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KRATKOROCNE OBAVEZE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29450C" w:rsidRPr="00C75295" w:rsidTr="0039235A">
        <w:trPr>
          <w:trHeight w:val="304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Dio dugoročnih obaveza koji dospjevaju do godinu dana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1.502.111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1.455.604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1,03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39,62%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47,90%</w:t>
            </w:r>
          </w:p>
        </w:tc>
      </w:tr>
      <w:tr w:rsidR="0029450C" w:rsidRPr="00C75295" w:rsidTr="0039235A">
        <w:trPr>
          <w:trHeight w:val="6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Obaveze za primljene avanse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183.935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149.905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4,85%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4,93%</w:t>
            </w:r>
          </w:p>
        </w:tc>
      </w:tr>
      <w:tr w:rsidR="0029450C" w:rsidRPr="00C75295" w:rsidTr="0039235A">
        <w:trPr>
          <w:trHeight w:val="61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Obaveze prema dobavljačima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428.825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200.306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2,14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11,31%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6,59%</w:t>
            </w:r>
          </w:p>
        </w:tc>
      </w:tr>
      <w:tr w:rsidR="0029450C" w:rsidRPr="00C75295" w:rsidTr="0039235A">
        <w:trPr>
          <w:trHeight w:val="304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Ob. za zarade i ostala lič.prim.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732.442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409.290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1,79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19,32%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13,47%</w:t>
            </w:r>
          </w:p>
        </w:tc>
      </w:tr>
      <w:tr w:rsidR="0029450C" w:rsidRPr="00C75295" w:rsidTr="0039235A">
        <w:trPr>
          <w:trHeight w:val="30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Druge obaveze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636.648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616.530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16,79%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20,29%</w:t>
            </w:r>
          </w:p>
        </w:tc>
      </w:tr>
      <w:tr w:rsidR="0039235A" w:rsidRPr="00C75295" w:rsidTr="00016876">
        <w:trPr>
          <w:trHeight w:val="30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Obaveze za PDV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65.425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163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401,38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1,73%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0,01%</w:t>
            </w:r>
          </w:p>
        </w:tc>
      </w:tr>
      <w:tr w:rsidR="0039235A" w:rsidRPr="00C75295" w:rsidTr="00016876">
        <w:trPr>
          <w:trHeight w:val="30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50C" w:rsidRDefault="0029450C" w:rsidP="003B6D5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lastRenderedPageBreak/>
              <w:t>Obaveze za  por. i doprinose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56.228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49.603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1,48%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1,63%</w:t>
            </w:r>
          </w:p>
        </w:tc>
      </w:tr>
      <w:tr w:rsidR="0039235A" w:rsidRPr="00C75295" w:rsidTr="00016876">
        <w:trPr>
          <w:trHeight w:val="304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Obaveze za porez na dobit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46.026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38.166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1,26%</w:t>
            </w:r>
          </w:p>
        </w:tc>
      </w:tr>
      <w:tr w:rsidR="0029450C" w:rsidRPr="00C75295" w:rsidTr="0039235A">
        <w:trPr>
          <w:trHeight w:val="6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50C" w:rsidRDefault="0029450C" w:rsidP="003B6D5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Pasivna</w:t>
            </w:r>
            <w:r w:rsidR="003B6D5C">
              <w:rPr>
                <w:rFonts w:ascii="Palatino Linotype" w:hAnsi="Palatino Linotype"/>
                <w:color w:val="000000"/>
              </w:rPr>
              <w:t xml:space="preserve"> </w:t>
            </w:r>
            <w:r>
              <w:rPr>
                <w:rFonts w:ascii="Palatino Linotype" w:hAnsi="Palatino Linotype"/>
                <w:color w:val="000000"/>
              </w:rPr>
              <w:t>vrem</w:t>
            </w:r>
            <w:r w:rsidR="003B6D5C">
              <w:rPr>
                <w:rFonts w:ascii="Palatino Linotype" w:hAnsi="Palatino Linotype"/>
                <w:color w:val="000000"/>
              </w:rPr>
              <w:t>.</w:t>
            </w:r>
            <w:r>
              <w:rPr>
                <w:rFonts w:ascii="Palatino Linotype" w:hAnsi="Palatino Linotype"/>
                <w:color w:val="000000"/>
              </w:rPr>
              <w:t xml:space="preserve"> razgraničenja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139.359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119.355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3,68%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3,93%</w:t>
            </w:r>
          </w:p>
        </w:tc>
      </w:tr>
      <w:tr w:rsidR="0029450C" w:rsidRPr="00C75295" w:rsidTr="0039235A">
        <w:trPr>
          <w:trHeight w:val="30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3.790.999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3.038.922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9450C" w:rsidRDefault="0029450C" w:rsidP="0029450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E91C70" w:rsidRDefault="00E91C7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Usaglašenja obaveza su rađena tokom cijelog perioda. Sravnjenja nisu u potpunosti odrađena, najvećim dijelom zbog nemogućnosti uspostavljanja kontakta</w:t>
      </w:r>
      <w:r w:rsidR="00A90A8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sa </w:t>
      </w:r>
      <w:r w:rsidR="00A35AE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dobavljačima</w:t>
      </w:r>
      <w:r w:rsidR="00A90A8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koji imaju manje obaveze (</w:t>
      </w:r>
      <w:r w:rsidR="00DF1BC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uglavnom </w:t>
      </w:r>
      <w:r w:rsidR="00A35AE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radnje</w:t>
      </w:r>
      <w:r w:rsidR="00A90A8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)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E80C49" w:rsidRDefault="00E80C4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E91C70" w:rsidRDefault="00E91C7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0F20A1" w:rsidP="00117655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9321D0"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="009321D0"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6 - </w:t>
      </w:r>
      <w:r w:rsidR="009321D0"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Vanbilansna evidencija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3029"/>
        <w:gridCol w:w="1356"/>
        <w:gridCol w:w="1442"/>
        <w:gridCol w:w="1276"/>
        <w:gridCol w:w="1417"/>
        <w:gridCol w:w="1280"/>
      </w:tblGrid>
      <w:tr w:rsidR="00F0738B" w:rsidRPr="00C75295" w:rsidTr="00521D41">
        <w:trPr>
          <w:trHeight w:val="66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38B" w:rsidRDefault="00F0738B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Opis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38B" w:rsidRDefault="00DB35F7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30.09.2023.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738B" w:rsidRDefault="00F0738B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738B" w:rsidRDefault="00F0738B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38B" w:rsidRDefault="00F0738B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38B" w:rsidRDefault="00F0738B" w:rsidP="00F0738B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117655" w:rsidRPr="00C75295" w:rsidTr="008A4BB7">
        <w:trPr>
          <w:trHeight w:val="36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Tuđa roba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2.016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1.357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0,09%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0,15%</w:t>
            </w:r>
          </w:p>
        </w:tc>
      </w:tr>
      <w:tr w:rsidR="00117655" w:rsidRPr="00C75295" w:rsidTr="008A4BB7">
        <w:trPr>
          <w:trHeight w:val="36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Zemljište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556.242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556.242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24,80%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61,77%</w:t>
            </w:r>
          </w:p>
        </w:tc>
      </w:tr>
      <w:tr w:rsidR="00117655" w:rsidRPr="00C75295" w:rsidTr="008A4BB7">
        <w:trPr>
          <w:trHeight w:val="36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Primljene mjenice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1.654.500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292.650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73,77%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32,50%</w:t>
            </w:r>
          </w:p>
        </w:tc>
      </w:tr>
      <w:tr w:rsidR="00117655" w:rsidRPr="00C75295" w:rsidTr="008A4BB7">
        <w:trPr>
          <w:trHeight w:val="36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Primljene garancije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1,34%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655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3,33%</w:t>
            </w:r>
          </w:p>
        </w:tc>
      </w:tr>
      <w:tr w:rsidR="00186E3F" w:rsidRPr="00C75295" w:rsidTr="00124BCD">
        <w:trPr>
          <w:trHeight w:val="36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E3F" w:rsidRDefault="00186E3F" w:rsidP="00186E3F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E3F" w:rsidRDefault="00117655" w:rsidP="00117655">
            <w:pPr>
              <w:jc w:val="right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2.242</w:t>
            </w:r>
            <w:r w:rsidR="00186E3F">
              <w:rPr>
                <w:rFonts w:ascii="Palatino Linotype" w:hAnsi="Palatino Linotype"/>
                <w:color w:val="000000"/>
              </w:rPr>
              <w:t>.</w:t>
            </w:r>
            <w:r>
              <w:rPr>
                <w:rFonts w:ascii="Palatino Linotype" w:hAnsi="Palatino Linotype"/>
                <w:color w:val="000000"/>
              </w:rPr>
              <w:t>758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E3F" w:rsidRDefault="00186E3F" w:rsidP="00186E3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900.549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6E3F" w:rsidRDefault="00186E3F" w:rsidP="00117655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2,</w:t>
            </w:r>
            <w:r w:rsidR="00117655">
              <w:rPr>
                <w:rFonts w:ascii="Palatino Linotype" w:hAnsi="Palatino Linotype"/>
                <w:color w:val="000000"/>
              </w:rPr>
              <w:t>4</w:t>
            </w:r>
            <w:r>
              <w:rPr>
                <w:rFonts w:ascii="Palatino Linotype" w:hAnsi="Palatino Linotype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6E3F" w:rsidRDefault="00186E3F" w:rsidP="00186E3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6E3F" w:rsidRDefault="00186E3F" w:rsidP="00186E3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  <w:r w:rsidRPr="00DD0C5F">
        <w:rPr>
          <w:rFonts w:ascii="Palatino Linotype" w:eastAsia="Times New Roman" w:hAnsi="Palatino Linotype" w:cs="Calibri"/>
          <w:snapToGrid w:val="0"/>
          <w:color w:val="000000" w:themeColor="text1"/>
          <w:sz w:val="24"/>
          <w:szCs w:val="20"/>
          <w:lang w:val="de-DE"/>
        </w:rPr>
        <w:t xml:space="preserve">Najznačajnija stavka vanbilansne evidencije se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 xml:space="preserve">odnosi na vrijednost neuknjiženog  zemljišta, 556.242 KM,  primljene mjenice </w:t>
      </w:r>
      <w:r w:rsidR="00BA72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1.</w:t>
      </w:r>
      <w:r w:rsidR="00890863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6</w:t>
      </w:r>
      <w:r w:rsidR="00BA72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5</w:t>
      </w:r>
      <w:r w:rsidR="00890863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.</w:t>
      </w:r>
      <w:r w:rsidR="00890863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500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 xml:space="preserve"> KM i  primljene garancije  u iznosu 30.000 KM.</w:t>
      </w:r>
    </w:p>
    <w:p w:rsidR="00BD3843" w:rsidRPr="009321D0" w:rsidRDefault="00BD384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7 – Ukupan prihod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Strukturu  prihoda Društva čini: 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3031"/>
        <w:gridCol w:w="1356"/>
        <w:gridCol w:w="1526"/>
        <w:gridCol w:w="1540"/>
        <w:gridCol w:w="1200"/>
        <w:gridCol w:w="1147"/>
      </w:tblGrid>
      <w:tr w:rsidR="006C3D32" w:rsidRPr="00C75295" w:rsidTr="00D2739E">
        <w:trPr>
          <w:trHeight w:val="66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6C3D32" w:rsidP="006C3D32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PRIHODI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DB35F7" w:rsidP="00890863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</w:t>
            </w:r>
            <w:r w:rsidR="00890863">
              <w:rPr>
                <w:rFonts w:ascii="Palatino Linotype" w:hAnsi="Palatino Linotype"/>
                <w:color w:val="000000"/>
              </w:rPr>
              <w:t>1</w:t>
            </w:r>
            <w:r>
              <w:rPr>
                <w:rFonts w:ascii="Palatino Linotype" w:hAnsi="Palatino Linotype"/>
                <w:color w:val="000000"/>
              </w:rPr>
              <w:t>.</w:t>
            </w:r>
            <w:r w:rsidR="00890863">
              <w:rPr>
                <w:rFonts w:ascii="Palatino Linotype" w:hAnsi="Palatino Linotype"/>
                <w:color w:val="000000"/>
              </w:rPr>
              <w:t>12</w:t>
            </w:r>
            <w:r>
              <w:rPr>
                <w:rFonts w:ascii="Palatino Linotype" w:hAnsi="Palatino Linotype"/>
                <w:color w:val="000000"/>
              </w:rPr>
              <w:t>.2023.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6C3D32" w:rsidP="00FE3364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</w:t>
            </w:r>
            <w:r w:rsidR="00FE3364">
              <w:rPr>
                <w:rFonts w:ascii="Palatino Linotype" w:hAnsi="Palatino Linotype"/>
                <w:color w:val="000000"/>
              </w:rPr>
              <w:t>1</w:t>
            </w:r>
            <w:r>
              <w:rPr>
                <w:rFonts w:ascii="Palatino Linotype" w:hAnsi="Palatino Linotype"/>
                <w:color w:val="000000"/>
              </w:rPr>
              <w:t>.</w:t>
            </w:r>
            <w:r w:rsidR="00FE3364">
              <w:rPr>
                <w:rFonts w:ascii="Palatino Linotype" w:hAnsi="Palatino Linotype"/>
                <w:color w:val="000000"/>
              </w:rPr>
              <w:t>12</w:t>
            </w:r>
            <w:r>
              <w:rPr>
                <w:rFonts w:ascii="Palatino Linotype" w:hAnsi="Palatino Linotype"/>
                <w:color w:val="000000"/>
              </w:rPr>
              <w:t>.2022.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6C3D32" w:rsidP="006C3D32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6C3D32" w:rsidP="006C3D32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D32" w:rsidRDefault="006C3D32" w:rsidP="006C3D32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890863" w:rsidRPr="00C75295" w:rsidTr="008A4BB7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Poslovni prihodi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22.065.272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20.353.251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99,32%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99,25%</w:t>
            </w:r>
          </w:p>
        </w:tc>
      </w:tr>
      <w:tr w:rsidR="00890863" w:rsidRPr="00C75295" w:rsidTr="008A4BB7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Finansijski prihodi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97.270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82.423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0,44%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0,40%</w:t>
            </w:r>
          </w:p>
        </w:tc>
      </w:tr>
      <w:tr w:rsidR="00890863" w:rsidRPr="00C75295" w:rsidTr="008A4BB7">
        <w:trPr>
          <w:trHeight w:val="72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Ostali prihodi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30.242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55.175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0,27%</w:t>
            </w:r>
          </w:p>
        </w:tc>
      </w:tr>
      <w:tr w:rsidR="00890863" w:rsidRPr="00C75295" w:rsidTr="008A4BB7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Prihodi od ispravki grešaka iz ranijih godina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23.997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16.478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0,08%</w:t>
            </w:r>
          </w:p>
        </w:tc>
      </w:tr>
      <w:tr w:rsidR="00890863" w:rsidRPr="00C75295" w:rsidTr="008A4BB7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863" w:rsidRDefault="00890863" w:rsidP="00890863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Ukupno: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22.216.781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20.507.327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90863" w:rsidRDefault="00890863" w:rsidP="00890863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C75295" w:rsidRDefault="00C75295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Ukupan prihod ZTC  Banja Vrućica u periodu 01.01.202</w:t>
      </w:r>
      <w:r w:rsidR="002C36E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godine do 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godine iznosi 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22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216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781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KM, što je 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8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% </w:t>
      </w:r>
      <w:r w:rsidR="004F1CAA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više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 odnosu na upored</w:t>
      </w:r>
      <w:r w:rsidR="005F3EE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 period.</w:t>
      </w:r>
    </w:p>
    <w:p w:rsidR="00795A69" w:rsidRDefault="00795A6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Poslovni prihod ZTC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Banja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Vrućica u periodu 01.01.202</w:t>
      </w:r>
      <w:r w:rsidR="002C36E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godine do 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8A4B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godine iznosi 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20</w:t>
      </w:r>
      <w:r w:rsidR="004E07F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065</w:t>
      </w:r>
      <w:r w:rsidR="004E07F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272</w:t>
      </w:r>
      <w:r w:rsidR="004E07F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KM što je,</w:t>
      </w:r>
      <w:r w:rsidR="00475FA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takođe 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8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</w:t>
      </w:r>
      <w:r w:rsidR="006C037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više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u odnosu na isti period prethodne godine.</w:t>
      </w:r>
    </w:p>
    <w:p w:rsidR="009321D0" w:rsidRDefault="004F2A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bookmarkStart w:id="0" w:name="_GoBack"/>
      <w:bookmarkEnd w:id="0"/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strukturi prihoda 202</w:t>
      </w:r>
      <w:r w:rsidR="004758B3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g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odine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d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ominantnu poziciju zauzimaju poslovni prihodi sa učešćem 99,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32</w:t>
      </w:r>
      <w:r w:rsidR="00EB4DF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%, što ukazuje da je Društvo maksimalno posvećeno obavljanju osnovne djelatnosti.</w:t>
      </w:r>
    </w:p>
    <w:p w:rsidR="00F67E0C" w:rsidRDefault="00F67E0C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C546CE" w:rsidRDefault="009321D0" w:rsidP="00E312A5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it-IT"/>
        </w:rPr>
      </w:pPr>
      <w:r w:rsidRPr="00C546C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C546C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8-Rashodi</w:t>
      </w:r>
    </w:p>
    <w:p w:rsidR="009321D0" w:rsidRPr="009321D0" w:rsidRDefault="009321D0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  <w:t>Struktura ukupnih rashoda: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3030"/>
        <w:gridCol w:w="1356"/>
        <w:gridCol w:w="1527"/>
        <w:gridCol w:w="1540"/>
        <w:gridCol w:w="1200"/>
        <w:gridCol w:w="1147"/>
      </w:tblGrid>
      <w:tr w:rsidR="008A4BB7" w:rsidRPr="00C75295" w:rsidTr="008A4BB7">
        <w:trPr>
          <w:trHeight w:val="66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UKUPNI RASHODI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31.12.2022.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8A4BB7" w:rsidRPr="00C75295" w:rsidTr="008A4BB7">
        <w:trPr>
          <w:trHeight w:val="33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Poslovni rashodi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14.908.848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13.567.732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99,39%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98,37%</w:t>
            </w:r>
          </w:p>
        </w:tc>
      </w:tr>
      <w:tr w:rsidR="008A4BB7" w:rsidRPr="00C75295" w:rsidTr="008A4BB7">
        <w:trPr>
          <w:trHeight w:val="33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Finansijski rashodi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21.152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65.344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0,14%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0,47%</w:t>
            </w:r>
          </w:p>
        </w:tc>
      </w:tr>
      <w:tr w:rsidR="008A4BB7" w:rsidRPr="00C75295" w:rsidTr="008A4BB7">
        <w:trPr>
          <w:trHeight w:val="42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Ostali rashodi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22.030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87.076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0,15%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0,63%</w:t>
            </w:r>
          </w:p>
        </w:tc>
      </w:tr>
      <w:tr w:rsidR="008A4BB7" w:rsidRPr="00C75295" w:rsidTr="008A4BB7">
        <w:trPr>
          <w:trHeight w:val="375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 xml:space="preserve">Ispravke grešaka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48.651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72.808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0,32%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0,53%</w:t>
            </w:r>
          </w:p>
        </w:tc>
      </w:tr>
      <w:tr w:rsidR="008A4BB7" w:rsidRPr="00C75295" w:rsidTr="008A4BB7">
        <w:trPr>
          <w:trHeight w:val="375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Ukupno  rashodi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15.000.681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13.792.960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A4BB7" w:rsidRDefault="008A4BB7" w:rsidP="008A4BB7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9321D0" w:rsidRDefault="009321D0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p w:rsidR="00133996" w:rsidRPr="00133996" w:rsidRDefault="00133996" w:rsidP="00133996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U strukturi ukupnih rashoda dominantni su poslovni rashodi,</w:t>
      </w:r>
      <w:r w:rsidR="00744745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sa 9</w:t>
      </w:r>
      <w:r w:rsidR="00A7686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9</w:t>
      </w:r>
      <w:r w:rsidR="00744745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,</w:t>
      </w:r>
      <w:r w:rsidR="00E801B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39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%</w:t>
      </w: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što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="00A7686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akođe potvrđuje da </w:t>
      </w: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je Društvo maksimalno posvećeno obavljanju osnovne djelatnosti.</w:t>
      </w:r>
    </w:p>
    <w:p w:rsidR="00A86C72" w:rsidRDefault="00A86C72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p w:rsidR="009321D0" w:rsidRPr="009321D0" w:rsidRDefault="009321D0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lang w:val="it-IT"/>
        </w:rPr>
        <w:t>Struktura poslovnih rashoda: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3031"/>
        <w:gridCol w:w="1356"/>
        <w:gridCol w:w="1526"/>
        <w:gridCol w:w="1332"/>
        <w:gridCol w:w="1275"/>
        <w:gridCol w:w="1280"/>
      </w:tblGrid>
      <w:tr w:rsidR="007D04DF" w:rsidRPr="00C75295" w:rsidTr="00710AA7">
        <w:trPr>
          <w:trHeight w:val="60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POSLOVNI RASHODI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7D04DF" w:rsidRPr="00C75295" w:rsidTr="00710AA7">
        <w:trPr>
          <w:trHeight w:val="37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Nabavna vrij. prodate robe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782.513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676.692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5,25%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4,99%</w:t>
            </w:r>
          </w:p>
        </w:tc>
      </w:tr>
      <w:tr w:rsidR="007D04DF" w:rsidRPr="00C75295" w:rsidTr="00124BCD">
        <w:trPr>
          <w:trHeight w:val="33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Troškovi materijala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4.060.567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3.237.683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27,24%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23,86%</w:t>
            </w:r>
          </w:p>
        </w:tc>
      </w:tr>
      <w:tr w:rsidR="007D04DF" w:rsidRPr="00C75295" w:rsidTr="00124BCD">
        <w:trPr>
          <w:trHeight w:val="33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Troškovi energije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1.252.729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1.277.598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8,40%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9,42%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Troškovi bruto zarada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6.062.512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5.108.284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40,66%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37,65%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Troškovi proiz. usluga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927.016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824.701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6,22%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6,08%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 xml:space="preserve">Troškovi amortizacije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1.452.778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2.096.157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9,74%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15,45%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Nematerijali  troškovi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239.444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192.765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1,61%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1,42%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Troškovi poreza i doprinosa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131.289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153.852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0,88%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1,13%</w:t>
            </w:r>
          </w:p>
        </w:tc>
      </w:tr>
      <w:tr w:rsidR="007D04DF" w:rsidRPr="00C75295" w:rsidTr="00124BCD">
        <w:trPr>
          <w:trHeight w:val="402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Ukupno poslovni rashodi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14.908.848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13.567.732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04DF" w:rsidRDefault="007D04DF" w:rsidP="007D04DF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</w:tbl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pl-PL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Najznačajnije učešće u poslovnim rashod</w:t>
      </w:r>
      <w:r w:rsidR="009E474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ima imaju rashodi bruto plata</w:t>
      </w:r>
      <w:r w:rsidR="00A1022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7D04DF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</w:t>
      </w:r>
      <w:r w:rsidR="007D04DF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66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%, zatim troškovi materijala </w:t>
      </w:r>
      <w:r w:rsidR="006B34F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i energije </w:t>
      </w:r>
      <w:r w:rsidR="00A1022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="00287BF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5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</w:t>
      </w:r>
      <w:r w:rsidR="00287BF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64</w:t>
      </w:r>
      <w:r w:rsidR="00A1022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</w:t>
      </w:r>
      <w:r w:rsidR="00024B4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troškovi amortizacije </w:t>
      </w:r>
      <w:r w:rsidR="00287BF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9</w:t>
      </w:r>
      <w:r w:rsidR="00BA326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</w:t>
      </w:r>
      <w:r w:rsidR="00287BF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74</w:t>
      </w:r>
      <w:r w:rsidR="00024B4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</w:t>
      </w:r>
      <w:r w:rsidR="003E726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B34AD2" w:rsidRDefault="00B34AD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Rast troškova materijala je djelimično uslovljen ras</w:t>
      </w:r>
      <w:r w:rsidR="005B51C2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tom cijena</w:t>
      </w:r>
      <w:r w:rsidR="001E53A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i drugim dijelom </w:t>
      </w:r>
      <w:r w:rsidR="00A8486E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zbog povećanog broja naoćenja</w:t>
      </w:r>
      <w:r w:rsidR="005B51C2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287BFC" w:rsidRDefault="00287BFC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9</w:t>
      </w:r>
    </w:p>
    <w:p w:rsidR="009321D0" w:rsidRPr="009321D0" w:rsidRDefault="00C546C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b/>
          <w:snapToGrid w:val="0"/>
          <w:sz w:val="24"/>
          <w:szCs w:val="20"/>
          <w:lang w:val="pl-PL"/>
        </w:rPr>
        <w:t xml:space="preserve">Dobit </w:t>
      </w:r>
    </w:p>
    <w:p w:rsidR="00C75295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lang w:val="pl-PL"/>
        </w:rPr>
        <w:t>Finansijski rezultat poslovanja  Društva za period 01.01.-</w:t>
      </w:r>
      <w:r w:rsidR="00DB35F7">
        <w:rPr>
          <w:rFonts w:ascii="Palatino Linotype" w:eastAsia="Times New Roman" w:hAnsi="Palatino Linotype" w:cs="Calibri"/>
          <w:snapToGrid w:val="0"/>
          <w:lang w:val="pl-PL"/>
        </w:rPr>
        <w:t>3</w:t>
      </w:r>
      <w:r w:rsidR="00287BFC">
        <w:rPr>
          <w:rFonts w:ascii="Palatino Linotype" w:eastAsia="Times New Roman" w:hAnsi="Palatino Linotype" w:cs="Calibri"/>
          <w:snapToGrid w:val="0"/>
          <w:lang w:val="pl-PL"/>
        </w:rPr>
        <w:t>1</w:t>
      </w:r>
      <w:r w:rsidR="00DB35F7">
        <w:rPr>
          <w:rFonts w:ascii="Palatino Linotype" w:eastAsia="Times New Roman" w:hAnsi="Palatino Linotype" w:cs="Calibri"/>
          <w:snapToGrid w:val="0"/>
          <w:lang w:val="pl-PL"/>
        </w:rPr>
        <w:t>.</w:t>
      </w:r>
      <w:r w:rsidR="00287BFC">
        <w:rPr>
          <w:rFonts w:ascii="Palatino Linotype" w:eastAsia="Times New Roman" w:hAnsi="Palatino Linotype" w:cs="Calibri"/>
          <w:snapToGrid w:val="0"/>
          <w:lang w:val="pl-PL"/>
        </w:rPr>
        <w:t>12</w:t>
      </w:r>
      <w:r w:rsidR="00DB35F7">
        <w:rPr>
          <w:rFonts w:ascii="Palatino Linotype" w:eastAsia="Times New Roman" w:hAnsi="Palatino Linotype" w:cs="Calibri"/>
          <w:snapToGrid w:val="0"/>
          <w:lang w:val="pl-PL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lang w:val="pl-PL"/>
        </w:rPr>
        <w:t xml:space="preserve">godine </w:t>
      </w:r>
      <w:r w:rsidR="00444594">
        <w:rPr>
          <w:rFonts w:ascii="Palatino Linotype" w:eastAsia="Times New Roman" w:hAnsi="Palatino Linotype" w:cs="Calibri"/>
          <w:snapToGrid w:val="0"/>
          <w:lang w:val="pl-PL"/>
        </w:rPr>
        <w:t>iznosi</w:t>
      </w:r>
      <w:r w:rsidRPr="009321D0">
        <w:rPr>
          <w:rFonts w:ascii="Palatino Linotype" w:eastAsia="Times New Roman" w:hAnsi="Palatino Linotype" w:cs="Calibri"/>
          <w:snapToGrid w:val="0"/>
          <w:lang w:val="pl-PL"/>
        </w:rPr>
        <w:t>:</w:t>
      </w:r>
    </w:p>
    <w:tbl>
      <w:tblPr>
        <w:tblW w:w="9391" w:type="dxa"/>
        <w:tblInd w:w="93" w:type="dxa"/>
        <w:tblLook w:val="04A0" w:firstRow="1" w:lastRow="0" w:firstColumn="1" w:lastColumn="0" w:noHBand="0" w:noVBand="1"/>
      </w:tblPr>
      <w:tblGrid>
        <w:gridCol w:w="2861"/>
        <w:gridCol w:w="1298"/>
        <w:gridCol w:w="1459"/>
        <w:gridCol w:w="1168"/>
        <w:gridCol w:w="1458"/>
        <w:gridCol w:w="1147"/>
      </w:tblGrid>
      <w:tr w:rsidR="00287BFC" w:rsidRPr="00C75295" w:rsidTr="00A11158">
        <w:trPr>
          <w:trHeight w:val="62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Opis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bookmarkStart w:id="1" w:name="RANGE!C117"/>
            <w:r>
              <w:rPr>
                <w:rFonts w:ascii="Palatino Linotype" w:hAnsi="Palatino Linotype"/>
                <w:color w:val="000000"/>
              </w:rPr>
              <w:t>31.12.2023.</w:t>
            </w:r>
            <w:bookmarkEnd w:id="1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31.12.2023.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Indeks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2023.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87BFC" w:rsidRDefault="00287BFC" w:rsidP="00287BFC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Struktura 2022.</w:t>
            </w:r>
          </w:p>
        </w:tc>
      </w:tr>
      <w:tr w:rsidR="00287BFC" w:rsidRPr="00C75295" w:rsidTr="00A11158">
        <w:trPr>
          <w:trHeight w:val="341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Dobitak prije oporez.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7.216.100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6.714.367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1,07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100,00%</w:t>
            </w:r>
          </w:p>
        </w:tc>
      </w:tr>
      <w:tr w:rsidR="00287BFC" w:rsidRPr="00C75295" w:rsidTr="00A11158">
        <w:trPr>
          <w:trHeight w:val="341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Porez na dobit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728.840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687.796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10,10%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10,24%</w:t>
            </w:r>
          </w:p>
        </w:tc>
      </w:tr>
      <w:tr w:rsidR="00287BFC" w:rsidRPr="00C75295" w:rsidTr="00A11158">
        <w:trPr>
          <w:trHeight w:val="341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BFC" w:rsidRDefault="00287BFC" w:rsidP="00287BF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</w:rPr>
              <w:t>Neto dobitak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6.487.260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6.026.571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1,08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89,90%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BFC" w:rsidRDefault="00287BFC" w:rsidP="00287BFC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89,76%</w:t>
            </w:r>
          </w:p>
        </w:tc>
      </w:tr>
    </w:tbl>
    <w:p w:rsidR="00C75295" w:rsidRDefault="00C75295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</w:p>
    <w:p w:rsidR="009321D0" w:rsidRDefault="009321D0" w:rsidP="009321D0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10</w:t>
      </w:r>
    </w:p>
    <w:p w:rsidR="009B72AF" w:rsidRDefault="009B72AF" w:rsidP="009B72AF">
      <w:pPr>
        <w:tabs>
          <w:tab w:val="left" w:pos="938"/>
        </w:tabs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Novčani tokovi</w:t>
      </w:r>
    </w:p>
    <w:p w:rsidR="003D0C80" w:rsidRDefault="003D0C80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Prilivi</w:t>
      </w:r>
      <w:r w:rsidR="00FA424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i odlivi </w:t>
      </w: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gotovine iz poslovnih aktivnosti</w:t>
      </w:r>
    </w:p>
    <w:p w:rsidR="005253B2" w:rsidRDefault="003D0C80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Najznačajniji dio priliva pred</w:t>
      </w:r>
      <w:r w:rsidR="00DC275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s</w:t>
      </w:r>
      <w:r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tavljaju prilivi koji nastaju naplatom potraživanja </w:t>
      </w:r>
      <w:proofErr w:type="gramStart"/>
      <w:r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od</w:t>
      </w:r>
      <w:proofErr w:type="gramEnd"/>
      <w:r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kupaca u zemlji </w:t>
      </w:r>
      <w:r w:rsidR="005253B2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inostranstvu i naplatom avansa od kupaca</w:t>
      </w:r>
      <w:r w:rsidR="00DC275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, odnosno prilivi iz poslovnih aktivnosti.</w:t>
      </w:r>
    </w:p>
    <w:p w:rsidR="00FA424E" w:rsidRDefault="005253B2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Ukupni prilivi po ovom osnovu su iznosili </w:t>
      </w:r>
      <w:r w:rsidR="008A3F8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20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8A3F8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147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5E266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942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KM.</w:t>
      </w:r>
    </w:p>
    <w:p w:rsidR="005973BE" w:rsidRDefault="005973B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FA424E" w:rsidRDefault="00352330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Najznačajniji odlivi iz poslovnih aktivnosti predstavljaju odlivi po osnovu plaćanja dobavljačima u zemlji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inostranstvu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po osnovu isplata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plata i drugih ličnih primanja.</w:t>
      </w:r>
    </w:p>
    <w:p w:rsidR="005973BE" w:rsidRDefault="005973B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Ukupni odlivi iz 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gotovine iz poslovnih aktivnosti izosili su </w:t>
      </w:r>
      <w:r w:rsidR="005E01E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1</w:t>
      </w:r>
      <w:r w:rsidR="005E266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9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5E266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688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5E266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810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KM.</w:t>
      </w:r>
    </w:p>
    <w:p w:rsidR="006840DE" w:rsidRDefault="006840D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Prema tome iz Bilansa tokova gotovine vidljivo je da je Društvo </w:t>
      </w:r>
      <w:proofErr w:type="gramStart"/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ostvarilo 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neto</w:t>
      </w:r>
      <w:proofErr w:type="gramEnd"/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</w:t>
      </w:r>
      <w:r w:rsidR="0087590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odliv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gotovine u iznosu </w:t>
      </w:r>
      <w:r w:rsidR="005E01ED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1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DC275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469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  <w:r w:rsidR="00DC275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761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KM.</w:t>
      </w:r>
    </w:p>
    <w:p w:rsidR="00184CE2" w:rsidRDefault="00184CE2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426811" w:rsidRDefault="00184CE2" w:rsidP="00C20BB8">
      <w:pPr>
        <w:numPr>
          <w:ilvl w:val="0"/>
          <w:numId w:val="16"/>
        </w:num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A23FA9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A23FA9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11</w:t>
      </w:r>
    </w:p>
    <w:p w:rsidR="00426811" w:rsidRDefault="00002004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ab/>
        <w:t>Aneks</w:t>
      </w:r>
      <w:r w:rsidR="00426811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, dodatni računovodstveni izvještaj</w:t>
      </w:r>
    </w:p>
    <w:p w:rsidR="00E90846" w:rsidRDefault="00160CF1" w:rsidP="00531D49">
      <w:pPr>
        <w:tabs>
          <w:tab w:val="left" w:pos="938"/>
        </w:tabs>
        <w:spacing w:after="0" w:line="240" w:lineRule="auto"/>
        <w:ind w:left="938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 Aneksu </w:t>
      </w:r>
      <w:proofErr w:type="gramStart"/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su  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navedene</w:t>
      </w:r>
      <w:proofErr w:type="gramEnd"/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informacije najvećim dijelom iz bruto bilansa a dio </w:t>
      </w:r>
      <w:r w:rsidR="00002004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nformacija o </w:t>
      </w:r>
      <w:r w:rsidR="00E9084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efektivnim časovima rada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iz evidencije obračuna plata</w:t>
      </w:r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</w:p>
    <w:p w:rsidR="00426811" w:rsidRDefault="00531D49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ab/>
      </w:r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Dio informacija je već sadržan u notama 7</w:t>
      </w:r>
      <w:proofErr w:type="gramStart"/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,8</w:t>
      </w:r>
      <w:proofErr w:type="gramEnd"/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 9.</w:t>
      </w:r>
    </w:p>
    <w:p w:rsidR="00E90846" w:rsidRPr="00426811" w:rsidRDefault="00E90846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603B11" w:rsidRPr="00E90846" w:rsidRDefault="00E90846" w:rsidP="00C20BB8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E90846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E90846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12</w:t>
      </w:r>
    </w:p>
    <w:p w:rsidR="009321D0" w:rsidRPr="009321D0" w:rsidRDefault="009321D0" w:rsidP="009321D0">
      <w:p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Događaji nastali nakon datuma bilansa</w:t>
      </w:r>
    </w:p>
    <w:p w:rsidR="009321D0" w:rsidRPr="009321D0" w:rsidRDefault="00A11158" w:rsidP="009321D0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Nakon datuma bilansa 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B17EA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B17EA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12</w:t>
      </w:r>
      <w:r w:rsidR="00DB35F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.2023.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 događaji povezani sa aktuelnom epidemijom</w:t>
      </w:r>
      <w:r w:rsidR="008418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 ratom u Ukrajini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značajno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utiču  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položaj i stanje u Društvu.</w:t>
      </w:r>
    </w:p>
    <w:p w:rsidR="009321D0" w:rsidRDefault="009321D0" w:rsidP="009321D0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Značajna stalna i obrtna imovina Društva, s jedne, i relativno nizak nivo obaveza, s druge strane, garantuju da u naredom period ne bi trebalo doći do značajnog ugrožavan</w:t>
      </w:r>
      <w:r w:rsidR="00C928A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ja stalnosti poslovanja Društva.</w:t>
      </w:r>
    </w:p>
    <w:p w:rsidR="009222A0" w:rsidRPr="009321D0" w:rsidRDefault="009222A0" w:rsidP="00AD676F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Lice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licencom:                                                                      Generalni direktor</w:t>
      </w:r>
    </w:p>
    <w:p w:rsidR="00F5680D" w:rsidRDefault="009321D0" w:rsidP="00F5680D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Vidaković</w:t>
      </w:r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Dragan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79155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dip</w:t>
      </w:r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l.ecc</w:t>
      </w:r>
      <w:proofErr w:type="gramEnd"/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F5680D" w:rsidRP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                                               </w:t>
      </w:r>
      <w:r w:rsidR="00F5680D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Bogdanić dr </w:t>
      </w:r>
      <w:r w:rsid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Dragan</w:t>
      </w:r>
    </w:p>
    <w:p w:rsidR="009567EB" w:rsidRDefault="00390139" w:rsidP="00F5680D">
      <w:pPr>
        <w:spacing w:after="0" w:line="240" w:lineRule="auto"/>
        <w:jc w:val="both"/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br.licence SR 1</w:t>
      </w:r>
      <w:r w:rsidR="0056480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03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/2</w:t>
      </w:r>
      <w:r w:rsidR="0056480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4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               </w:t>
      </w:r>
    </w:p>
    <w:sectPr w:rsidR="009567EB" w:rsidSect="00C40F0B">
      <w:footerReference w:type="default" r:id="rId8"/>
      <w:headerReference w:type="first" r:id="rId9"/>
      <w:footerReference w:type="first" r:id="rId10"/>
      <w:pgSz w:w="11909" w:h="16834"/>
      <w:pgMar w:top="993" w:right="1277" w:bottom="851" w:left="1440" w:header="720" w:footer="5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E2" w:rsidRDefault="003429E2">
      <w:pPr>
        <w:spacing w:after="0" w:line="240" w:lineRule="auto"/>
      </w:pPr>
      <w:r>
        <w:separator/>
      </w:r>
    </w:p>
  </w:endnote>
  <w:endnote w:type="continuationSeparator" w:id="0">
    <w:p w:rsidR="003429E2" w:rsidRDefault="0034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Times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witzerland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CD" w:rsidRDefault="00DC2ACD">
    <w:pPr>
      <w:pStyle w:val="Footer"/>
      <w:framePr w:wrap="around" w:vAnchor="text" w:hAnchor="margin" w:xAlign="right" w:y="1"/>
      <w:ind w:right="-121"/>
      <w:rPr>
        <w:rStyle w:val="PageNumber"/>
        <w:rFonts w:ascii="Times New Roman" w:hAnsi="Times New Roman"/>
        <w:sz w:val="21"/>
      </w:rPr>
    </w:pPr>
    <w:r>
      <w:rPr>
        <w:rStyle w:val="PageNumber"/>
        <w:rFonts w:ascii="Times New Roman" w:hAnsi="Times New Roman"/>
        <w:sz w:val="21"/>
      </w:rPr>
      <w:fldChar w:fldCharType="begin"/>
    </w:r>
    <w:r>
      <w:rPr>
        <w:rStyle w:val="PageNumber"/>
        <w:rFonts w:ascii="Times New Roman" w:hAnsi="Times New Roman"/>
        <w:sz w:val="21"/>
      </w:rPr>
      <w:instrText xml:space="preserve">PAGE  </w:instrText>
    </w:r>
    <w:r>
      <w:rPr>
        <w:rStyle w:val="PageNumber"/>
        <w:rFonts w:ascii="Times New Roman" w:hAnsi="Times New Roman"/>
        <w:sz w:val="21"/>
      </w:rPr>
      <w:fldChar w:fldCharType="separate"/>
    </w:r>
    <w:r w:rsidR="00985330">
      <w:rPr>
        <w:rStyle w:val="PageNumber"/>
        <w:rFonts w:ascii="Times New Roman" w:hAnsi="Times New Roman"/>
        <w:noProof/>
        <w:sz w:val="21"/>
      </w:rPr>
      <w:t>16</w:t>
    </w:r>
    <w:r>
      <w:rPr>
        <w:rStyle w:val="PageNumber"/>
        <w:rFonts w:ascii="Times New Roman" w:hAnsi="Times New Roman"/>
        <w:sz w:val="21"/>
      </w:rPr>
      <w:fldChar w:fldCharType="end"/>
    </w:r>
  </w:p>
  <w:p w:rsidR="00DC2ACD" w:rsidRDefault="00DC2ACD">
    <w:pPr>
      <w:widowControl w:val="0"/>
      <w:tabs>
        <w:tab w:val="center" w:pos="4680"/>
        <w:tab w:val="right" w:pos="8789"/>
        <w:tab w:val="right" w:pos="9360"/>
      </w:tabs>
      <w:ind w:right="158"/>
      <w:jc w:val="center"/>
      <w:rPr>
        <w:rFonts w:ascii="Times New Roman" w:hAnsi="Times New Roman"/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CD" w:rsidRDefault="00DC2ACD">
    <w:pPr>
      <w:pStyle w:val="Footer"/>
      <w:jc w:val="right"/>
      <w:rPr>
        <w:rFonts w:ascii="TimesRoman" w:hAnsi="TimesRoman"/>
        <w:sz w:val="20"/>
      </w:rPr>
    </w:pPr>
    <w:r>
      <w:rPr>
        <w:rStyle w:val="PageNumber"/>
        <w:rFonts w:ascii="TimesRoman" w:hAnsi="TimesRoman"/>
        <w:sz w:val="20"/>
      </w:rPr>
      <w:fldChar w:fldCharType="begin"/>
    </w:r>
    <w:r>
      <w:rPr>
        <w:rStyle w:val="PageNumber"/>
        <w:rFonts w:ascii="TimesRoman" w:hAnsi="TimesRoman"/>
        <w:sz w:val="20"/>
      </w:rPr>
      <w:instrText xml:space="preserve"> PAGE </w:instrText>
    </w:r>
    <w:r>
      <w:rPr>
        <w:rStyle w:val="PageNumber"/>
        <w:rFonts w:ascii="TimesRoman" w:hAnsi="TimesRoman"/>
        <w:sz w:val="20"/>
      </w:rPr>
      <w:fldChar w:fldCharType="separate"/>
    </w:r>
    <w:r>
      <w:rPr>
        <w:rStyle w:val="PageNumber"/>
        <w:rFonts w:ascii="TimesRoman" w:hAnsi="TimesRoman"/>
        <w:noProof/>
        <w:sz w:val="20"/>
      </w:rPr>
      <w:t>7</w:t>
    </w:r>
    <w:r>
      <w:rPr>
        <w:rStyle w:val="PageNumber"/>
        <w:rFonts w:ascii="TimesRoman" w:hAnsi="Times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E2" w:rsidRDefault="003429E2">
      <w:pPr>
        <w:spacing w:after="0" w:line="240" w:lineRule="auto"/>
      </w:pPr>
      <w:r>
        <w:separator/>
      </w:r>
    </w:p>
  </w:footnote>
  <w:footnote w:type="continuationSeparator" w:id="0">
    <w:p w:rsidR="003429E2" w:rsidRDefault="0034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CD" w:rsidRDefault="00DC2ACD">
    <w:pPr>
      <w:tabs>
        <w:tab w:val="center" w:pos="4512"/>
      </w:tabs>
      <w:spacing w:line="210" w:lineRule="atLeast"/>
      <w:jc w:val="right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ODP FABRIKA DUVANA, BAWA LUKA</w:t>
    </w:r>
  </w:p>
  <w:p w:rsidR="00DC2ACD" w:rsidRDefault="00DC2ACD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</w:p>
  <w:p w:rsidR="00DC2ACD" w:rsidRDefault="00DC2ACD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NAPOMENE UZ GODI[WI RA^UN</w:t>
    </w:r>
  </w:p>
  <w:p w:rsidR="00DC2ACD" w:rsidRDefault="00DC2ACD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31. decembar 2002. godine</w:t>
    </w:r>
  </w:p>
  <w:p w:rsidR="00DC2ACD" w:rsidRDefault="00DC2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0E2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720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314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626DBB"/>
    <w:multiLevelType w:val="hybridMultilevel"/>
    <w:tmpl w:val="E4D2E768"/>
    <w:lvl w:ilvl="0" w:tplc="ACAA92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71D95"/>
    <w:multiLevelType w:val="hybridMultilevel"/>
    <w:tmpl w:val="0F360666"/>
    <w:lvl w:ilvl="0" w:tplc="ACAA92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2F2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6640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CC286B"/>
    <w:multiLevelType w:val="hybridMultilevel"/>
    <w:tmpl w:val="74988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A1280"/>
    <w:multiLevelType w:val="hybridMultilevel"/>
    <w:tmpl w:val="5B7648E8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13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16799C"/>
    <w:multiLevelType w:val="hybridMultilevel"/>
    <w:tmpl w:val="419E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67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686C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D9522B"/>
    <w:multiLevelType w:val="hybridMultilevel"/>
    <w:tmpl w:val="730C0DBC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B0F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053A53"/>
    <w:multiLevelType w:val="hybridMultilevel"/>
    <w:tmpl w:val="A4806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15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150E3E"/>
    <w:multiLevelType w:val="hybridMultilevel"/>
    <w:tmpl w:val="8C308EBA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54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7042E5"/>
    <w:multiLevelType w:val="hybridMultilevel"/>
    <w:tmpl w:val="F7787E1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78E35C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FEC44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14"/>
  </w:num>
  <w:num w:numId="5">
    <w:abstractNumId w:val="12"/>
  </w:num>
  <w:num w:numId="6">
    <w:abstractNumId w:val="18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19"/>
  </w:num>
  <w:num w:numId="14">
    <w:abstractNumId w:val="15"/>
  </w:num>
  <w:num w:numId="15">
    <w:abstractNumId w:val="3"/>
  </w:num>
  <w:num w:numId="16">
    <w:abstractNumId w:val="7"/>
  </w:num>
  <w:num w:numId="17">
    <w:abstractNumId w:val="10"/>
  </w:num>
  <w:num w:numId="18">
    <w:abstractNumId w:val="8"/>
  </w:num>
  <w:num w:numId="19">
    <w:abstractNumId w:val="13"/>
  </w:num>
  <w:num w:numId="20">
    <w:abstractNumId w:val="17"/>
  </w:num>
  <w:num w:numId="21">
    <w:abstractNumId w:val="0"/>
  </w:num>
  <w:num w:numId="22">
    <w:abstractNumId w:val="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2"/>
    <w:rsid w:val="00002004"/>
    <w:rsid w:val="00003CE1"/>
    <w:rsid w:val="000109DD"/>
    <w:rsid w:val="000115E7"/>
    <w:rsid w:val="00016876"/>
    <w:rsid w:val="00024B44"/>
    <w:rsid w:val="000259F9"/>
    <w:rsid w:val="00025C2C"/>
    <w:rsid w:val="00025E59"/>
    <w:rsid w:val="0003130E"/>
    <w:rsid w:val="000323D9"/>
    <w:rsid w:val="0004287A"/>
    <w:rsid w:val="00046BF7"/>
    <w:rsid w:val="00051371"/>
    <w:rsid w:val="00065641"/>
    <w:rsid w:val="00067888"/>
    <w:rsid w:val="00074533"/>
    <w:rsid w:val="00091D95"/>
    <w:rsid w:val="00092A04"/>
    <w:rsid w:val="00093682"/>
    <w:rsid w:val="00097524"/>
    <w:rsid w:val="000B184F"/>
    <w:rsid w:val="000D1D48"/>
    <w:rsid w:val="000D3672"/>
    <w:rsid w:val="000E14DD"/>
    <w:rsid w:val="000E3FA9"/>
    <w:rsid w:val="000E4592"/>
    <w:rsid w:val="000F0891"/>
    <w:rsid w:val="000F20A1"/>
    <w:rsid w:val="000F3D60"/>
    <w:rsid w:val="00101FC0"/>
    <w:rsid w:val="00113AD8"/>
    <w:rsid w:val="001163FF"/>
    <w:rsid w:val="00117655"/>
    <w:rsid w:val="00120911"/>
    <w:rsid w:val="0012498C"/>
    <w:rsid w:val="00124BCD"/>
    <w:rsid w:val="00133996"/>
    <w:rsid w:val="00133AB3"/>
    <w:rsid w:val="00142AB9"/>
    <w:rsid w:val="001433DF"/>
    <w:rsid w:val="001575C9"/>
    <w:rsid w:val="00160CF1"/>
    <w:rsid w:val="00163A77"/>
    <w:rsid w:val="00163D4F"/>
    <w:rsid w:val="00166F4E"/>
    <w:rsid w:val="001727D5"/>
    <w:rsid w:val="00181218"/>
    <w:rsid w:val="001824F2"/>
    <w:rsid w:val="00184CE2"/>
    <w:rsid w:val="00186E3F"/>
    <w:rsid w:val="00193F4B"/>
    <w:rsid w:val="00195A67"/>
    <w:rsid w:val="00197A42"/>
    <w:rsid w:val="001A1E46"/>
    <w:rsid w:val="001A28E0"/>
    <w:rsid w:val="001A395A"/>
    <w:rsid w:val="001B1437"/>
    <w:rsid w:val="001B2933"/>
    <w:rsid w:val="001C21A2"/>
    <w:rsid w:val="001C2F60"/>
    <w:rsid w:val="001D0A82"/>
    <w:rsid w:val="001D1B71"/>
    <w:rsid w:val="001D6E27"/>
    <w:rsid w:val="001E378D"/>
    <w:rsid w:val="001E53A8"/>
    <w:rsid w:val="001E5677"/>
    <w:rsid w:val="001E7698"/>
    <w:rsid w:val="001F1EF1"/>
    <w:rsid w:val="001F4FA7"/>
    <w:rsid w:val="001F517C"/>
    <w:rsid w:val="00203FCA"/>
    <w:rsid w:val="00204720"/>
    <w:rsid w:val="002104A4"/>
    <w:rsid w:val="00215C62"/>
    <w:rsid w:val="00221B30"/>
    <w:rsid w:val="00222545"/>
    <w:rsid w:val="00227F27"/>
    <w:rsid w:val="00230474"/>
    <w:rsid w:val="00233C0C"/>
    <w:rsid w:val="002347A4"/>
    <w:rsid w:val="00240875"/>
    <w:rsid w:val="0024685A"/>
    <w:rsid w:val="00250065"/>
    <w:rsid w:val="002529C8"/>
    <w:rsid w:val="00252B30"/>
    <w:rsid w:val="0025408E"/>
    <w:rsid w:val="002547AD"/>
    <w:rsid w:val="00254E64"/>
    <w:rsid w:val="00255739"/>
    <w:rsid w:val="002620A6"/>
    <w:rsid w:val="002634A0"/>
    <w:rsid w:val="00263528"/>
    <w:rsid w:val="00281F11"/>
    <w:rsid w:val="00287BFC"/>
    <w:rsid w:val="002917CA"/>
    <w:rsid w:val="00293F96"/>
    <w:rsid w:val="0029450C"/>
    <w:rsid w:val="00295362"/>
    <w:rsid w:val="00296543"/>
    <w:rsid w:val="002A65EB"/>
    <w:rsid w:val="002A7927"/>
    <w:rsid w:val="002C15C4"/>
    <w:rsid w:val="002C36EB"/>
    <w:rsid w:val="002D224C"/>
    <w:rsid w:val="002D694D"/>
    <w:rsid w:val="002D6B97"/>
    <w:rsid w:val="002E06E1"/>
    <w:rsid w:val="002E0C11"/>
    <w:rsid w:val="002E1A99"/>
    <w:rsid w:val="002E1E04"/>
    <w:rsid w:val="002E79CB"/>
    <w:rsid w:val="002E7B20"/>
    <w:rsid w:val="002F0748"/>
    <w:rsid w:val="002F4F16"/>
    <w:rsid w:val="00305BA8"/>
    <w:rsid w:val="003141E7"/>
    <w:rsid w:val="003207B4"/>
    <w:rsid w:val="00324753"/>
    <w:rsid w:val="00324B3D"/>
    <w:rsid w:val="003263AB"/>
    <w:rsid w:val="003273A7"/>
    <w:rsid w:val="00335546"/>
    <w:rsid w:val="003429E2"/>
    <w:rsid w:val="00343766"/>
    <w:rsid w:val="00352330"/>
    <w:rsid w:val="00356EBF"/>
    <w:rsid w:val="003742F1"/>
    <w:rsid w:val="00376D26"/>
    <w:rsid w:val="00377885"/>
    <w:rsid w:val="00386637"/>
    <w:rsid w:val="00390139"/>
    <w:rsid w:val="00390155"/>
    <w:rsid w:val="00391CB4"/>
    <w:rsid w:val="0039235A"/>
    <w:rsid w:val="003931F9"/>
    <w:rsid w:val="003B349F"/>
    <w:rsid w:val="003B6D5C"/>
    <w:rsid w:val="003C03CD"/>
    <w:rsid w:val="003C5160"/>
    <w:rsid w:val="003C51F4"/>
    <w:rsid w:val="003D0C80"/>
    <w:rsid w:val="003D239F"/>
    <w:rsid w:val="003D2748"/>
    <w:rsid w:val="003D46EE"/>
    <w:rsid w:val="003E4B0E"/>
    <w:rsid w:val="003E6B8A"/>
    <w:rsid w:val="003E6EBF"/>
    <w:rsid w:val="003E726C"/>
    <w:rsid w:val="003F5BDA"/>
    <w:rsid w:val="00415649"/>
    <w:rsid w:val="00426811"/>
    <w:rsid w:val="00437C0A"/>
    <w:rsid w:val="00444594"/>
    <w:rsid w:val="00445DC8"/>
    <w:rsid w:val="00453691"/>
    <w:rsid w:val="00454CFE"/>
    <w:rsid w:val="00456659"/>
    <w:rsid w:val="00460F0E"/>
    <w:rsid w:val="00467BCB"/>
    <w:rsid w:val="00467D2E"/>
    <w:rsid w:val="00471BDE"/>
    <w:rsid w:val="00473C05"/>
    <w:rsid w:val="004758B3"/>
    <w:rsid w:val="00475FAB"/>
    <w:rsid w:val="00477568"/>
    <w:rsid w:val="004841D7"/>
    <w:rsid w:val="004959AD"/>
    <w:rsid w:val="004A5411"/>
    <w:rsid w:val="004A61DF"/>
    <w:rsid w:val="004A69AE"/>
    <w:rsid w:val="004B31C5"/>
    <w:rsid w:val="004B5A90"/>
    <w:rsid w:val="004D4BAF"/>
    <w:rsid w:val="004D7819"/>
    <w:rsid w:val="004E00D1"/>
    <w:rsid w:val="004E07F7"/>
    <w:rsid w:val="004F1CAA"/>
    <w:rsid w:val="004F2408"/>
    <w:rsid w:val="004F2A6E"/>
    <w:rsid w:val="005179B2"/>
    <w:rsid w:val="00521D41"/>
    <w:rsid w:val="005253B2"/>
    <w:rsid w:val="00526EB6"/>
    <w:rsid w:val="005278AD"/>
    <w:rsid w:val="005306E7"/>
    <w:rsid w:val="00531D49"/>
    <w:rsid w:val="00532AEB"/>
    <w:rsid w:val="005441A0"/>
    <w:rsid w:val="00546EB6"/>
    <w:rsid w:val="005524EE"/>
    <w:rsid w:val="005541A3"/>
    <w:rsid w:val="005570CB"/>
    <w:rsid w:val="005629CD"/>
    <w:rsid w:val="00564801"/>
    <w:rsid w:val="005653BF"/>
    <w:rsid w:val="00566628"/>
    <w:rsid w:val="0057108F"/>
    <w:rsid w:val="0057642F"/>
    <w:rsid w:val="005813C1"/>
    <w:rsid w:val="005904C8"/>
    <w:rsid w:val="00591193"/>
    <w:rsid w:val="00592F70"/>
    <w:rsid w:val="005938B7"/>
    <w:rsid w:val="00593AD6"/>
    <w:rsid w:val="005973BE"/>
    <w:rsid w:val="005A0425"/>
    <w:rsid w:val="005B51C2"/>
    <w:rsid w:val="005B6821"/>
    <w:rsid w:val="005B719F"/>
    <w:rsid w:val="005C560E"/>
    <w:rsid w:val="005C636B"/>
    <w:rsid w:val="005D1DB1"/>
    <w:rsid w:val="005D1FB9"/>
    <w:rsid w:val="005D2515"/>
    <w:rsid w:val="005E01ED"/>
    <w:rsid w:val="005E0499"/>
    <w:rsid w:val="005E266D"/>
    <w:rsid w:val="005E4687"/>
    <w:rsid w:val="005F3EE8"/>
    <w:rsid w:val="005F63BE"/>
    <w:rsid w:val="00603B11"/>
    <w:rsid w:val="00605CE3"/>
    <w:rsid w:val="0061256E"/>
    <w:rsid w:val="00613675"/>
    <w:rsid w:val="0061661F"/>
    <w:rsid w:val="006229F1"/>
    <w:rsid w:val="0065142F"/>
    <w:rsid w:val="00651830"/>
    <w:rsid w:val="006616DF"/>
    <w:rsid w:val="0066609B"/>
    <w:rsid w:val="006763E6"/>
    <w:rsid w:val="006840DE"/>
    <w:rsid w:val="00692756"/>
    <w:rsid w:val="00693876"/>
    <w:rsid w:val="006A1356"/>
    <w:rsid w:val="006A4191"/>
    <w:rsid w:val="006A651B"/>
    <w:rsid w:val="006B066E"/>
    <w:rsid w:val="006B335B"/>
    <w:rsid w:val="006B34F6"/>
    <w:rsid w:val="006C0377"/>
    <w:rsid w:val="006C16AC"/>
    <w:rsid w:val="006C3D32"/>
    <w:rsid w:val="006C732A"/>
    <w:rsid w:val="006F026F"/>
    <w:rsid w:val="00706127"/>
    <w:rsid w:val="00706F5C"/>
    <w:rsid w:val="0070740D"/>
    <w:rsid w:val="00710AA7"/>
    <w:rsid w:val="007179E3"/>
    <w:rsid w:val="00722139"/>
    <w:rsid w:val="00723EED"/>
    <w:rsid w:val="00735F1C"/>
    <w:rsid w:val="00737603"/>
    <w:rsid w:val="00742774"/>
    <w:rsid w:val="00744745"/>
    <w:rsid w:val="0075055B"/>
    <w:rsid w:val="00750C3C"/>
    <w:rsid w:val="00760C2A"/>
    <w:rsid w:val="00771C2A"/>
    <w:rsid w:val="00776576"/>
    <w:rsid w:val="00776D8F"/>
    <w:rsid w:val="0079155B"/>
    <w:rsid w:val="00795A69"/>
    <w:rsid w:val="00795D09"/>
    <w:rsid w:val="007A0F1C"/>
    <w:rsid w:val="007A56C7"/>
    <w:rsid w:val="007A73F9"/>
    <w:rsid w:val="007C2637"/>
    <w:rsid w:val="007C5130"/>
    <w:rsid w:val="007C716C"/>
    <w:rsid w:val="007D04DF"/>
    <w:rsid w:val="007D332A"/>
    <w:rsid w:val="007D60EB"/>
    <w:rsid w:val="007E03E3"/>
    <w:rsid w:val="007E4F8A"/>
    <w:rsid w:val="007F42CA"/>
    <w:rsid w:val="00800396"/>
    <w:rsid w:val="00801FD3"/>
    <w:rsid w:val="00805C28"/>
    <w:rsid w:val="008109BF"/>
    <w:rsid w:val="00812F54"/>
    <w:rsid w:val="0082073A"/>
    <w:rsid w:val="008249BD"/>
    <w:rsid w:val="0083164A"/>
    <w:rsid w:val="00831DB8"/>
    <w:rsid w:val="00834ABF"/>
    <w:rsid w:val="0084182C"/>
    <w:rsid w:val="00850B82"/>
    <w:rsid w:val="0085190C"/>
    <w:rsid w:val="008536BF"/>
    <w:rsid w:val="008545B2"/>
    <w:rsid w:val="00855AC7"/>
    <w:rsid w:val="00865A4D"/>
    <w:rsid w:val="00867EED"/>
    <w:rsid w:val="008704A9"/>
    <w:rsid w:val="0087590E"/>
    <w:rsid w:val="00883810"/>
    <w:rsid w:val="00885DC9"/>
    <w:rsid w:val="00890863"/>
    <w:rsid w:val="008915D0"/>
    <w:rsid w:val="00893A04"/>
    <w:rsid w:val="008A3F87"/>
    <w:rsid w:val="008A4BB7"/>
    <w:rsid w:val="008B4345"/>
    <w:rsid w:val="008C33E6"/>
    <w:rsid w:val="008F0458"/>
    <w:rsid w:val="008F2B89"/>
    <w:rsid w:val="009012A4"/>
    <w:rsid w:val="00902DA1"/>
    <w:rsid w:val="00905965"/>
    <w:rsid w:val="00910641"/>
    <w:rsid w:val="0091067A"/>
    <w:rsid w:val="00912CAE"/>
    <w:rsid w:val="009206F1"/>
    <w:rsid w:val="009222A0"/>
    <w:rsid w:val="00923D16"/>
    <w:rsid w:val="009321D0"/>
    <w:rsid w:val="009435E2"/>
    <w:rsid w:val="0094396F"/>
    <w:rsid w:val="00946851"/>
    <w:rsid w:val="00950F99"/>
    <w:rsid w:val="009567EB"/>
    <w:rsid w:val="00964C73"/>
    <w:rsid w:val="009852B0"/>
    <w:rsid w:val="00985330"/>
    <w:rsid w:val="009953E1"/>
    <w:rsid w:val="00996693"/>
    <w:rsid w:val="009A0161"/>
    <w:rsid w:val="009A0CB3"/>
    <w:rsid w:val="009A23ED"/>
    <w:rsid w:val="009A5E2C"/>
    <w:rsid w:val="009A756E"/>
    <w:rsid w:val="009B1293"/>
    <w:rsid w:val="009B72AF"/>
    <w:rsid w:val="009C46AF"/>
    <w:rsid w:val="009D0044"/>
    <w:rsid w:val="009D00B4"/>
    <w:rsid w:val="009D04CB"/>
    <w:rsid w:val="009D2E94"/>
    <w:rsid w:val="009D6030"/>
    <w:rsid w:val="009D6633"/>
    <w:rsid w:val="009E15B5"/>
    <w:rsid w:val="009E324D"/>
    <w:rsid w:val="009E4745"/>
    <w:rsid w:val="009F59D9"/>
    <w:rsid w:val="00A1022B"/>
    <w:rsid w:val="00A11158"/>
    <w:rsid w:val="00A12F54"/>
    <w:rsid w:val="00A21CA9"/>
    <w:rsid w:val="00A23FA9"/>
    <w:rsid w:val="00A35AED"/>
    <w:rsid w:val="00A40174"/>
    <w:rsid w:val="00A41485"/>
    <w:rsid w:val="00A43B4D"/>
    <w:rsid w:val="00A45D52"/>
    <w:rsid w:val="00A47802"/>
    <w:rsid w:val="00A52B3C"/>
    <w:rsid w:val="00A577E7"/>
    <w:rsid w:val="00A60C5A"/>
    <w:rsid w:val="00A730C1"/>
    <w:rsid w:val="00A74A8F"/>
    <w:rsid w:val="00A7686A"/>
    <w:rsid w:val="00A8486E"/>
    <w:rsid w:val="00A86C72"/>
    <w:rsid w:val="00A9058C"/>
    <w:rsid w:val="00A90A85"/>
    <w:rsid w:val="00A97CB9"/>
    <w:rsid w:val="00AB3377"/>
    <w:rsid w:val="00AC6C98"/>
    <w:rsid w:val="00AD676F"/>
    <w:rsid w:val="00AE3866"/>
    <w:rsid w:val="00AE5B98"/>
    <w:rsid w:val="00AE7BA7"/>
    <w:rsid w:val="00AF010E"/>
    <w:rsid w:val="00AF36E6"/>
    <w:rsid w:val="00AF5DC9"/>
    <w:rsid w:val="00AF79D3"/>
    <w:rsid w:val="00B17EAF"/>
    <w:rsid w:val="00B238E6"/>
    <w:rsid w:val="00B25489"/>
    <w:rsid w:val="00B3312C"/>
    <w:rsid w:val="00B34AD2"/>
    <w:rsid w:val="00B3604B"/>
    <w:rsid w:val="00B40EBE"/>
    <w:rsid w:val="00B4497C"/>
    <w:rsid w:val="00B466F7"/>
    <w:rsid w:val="00B55AE5"/>
    <w:rsid w:val="00B64C40"/>
    <w:rsid w:val="00B660C0"/>
    <w:rsid w:val="00B7031C"/>
    <w:rsid w:val="00B70A38"/>
    <w:rsid w:val="00B71C9B"/>
    <w:rsid w:val="00B730BA"/>
    <w:rsid w:val="00B82643"/>
    <w:rsid w:val="00B86048"/>
    <w:rsid w:val="00B9308A"/>
    <w:rsid w:val="00B93166"/>
    <w:rsid w:val="00B95AF3"/>
    <w:rsid w:val="00BA088B"/>
    <w:rsid w:val="00BA221A"/>
    <w:rsid w:val="00BA3264"/>
    <w:rsid w:val="00BA72D0"/>
    <w:rsid w:val="00BB1FE6"/>
    <w:rsid w:val="00BB39BE"/>
    <w:rsid w:val="00BB43A1"/>
    <w:rsid w:val="00BC14AF"/>
    <w:rsid w:val="00BC3344"/>
    <w:rsid w:val="00BC6B61"/>
    <w:rsid w:val="00BD3843"/>
    <w:rsid w:val="00BE26CF"/>
    <w:rsid w:val="00BE44FE"/>
    <w:rsid w:val="00BF5271"/>
    <w:rsid w:val="00C0728F"/>
    <w:rsid w:val="00C10340"/>
    <w:rsid w:val="00C11379"/>
    <w:rsid w:val="00C11F09"/>
    <w:rsid w:val="00C17B4D"/>
    <w:rsid w:val="00C20BB8"/>
    <w:rsid w:val="00C25F46"/>
    <w:rsid w:val="00C260A2"/>
    <w:rsid w:val="00C31221"/>
    <w:rsid w:val="00C3152B"/>
    <w:rsid w:val="00C33B7E"/>
    <w:rsid w:val="00C40D46"/>
    <w:rsid w:val="00C40F0B"/>
    <w:rsid w:val="00C546CE"/>
    <w:rsid w:val="00C6225E"/>
    <w:rsid w:val="00C63DAF"/>
    <w:rsid w:val="00C75295"/>
    <w:rsid w:val="00C81FC9"/>
    <w:rsid w:val="00C85310"/>
    <w:rsid w:val="00C928A1"/>
    <w:rsid w:val="00CA4C4E"/>
    <w:rsid w:val="00CA53ED"/>
    <w:rsid w:val="00CB31C0"/>
    <w:rsid w:val="00CB591D"/>
    <w:rsid w:val="00CC5056"/>
    <w:rsid w:val="00CD2120"/>
    <w:rsid w:val="00CD22AD"/>
    <w:rsid w:val="00CD30F0"/>
    <w:rsid w:val="00CD6A4D"/>
    <w:rsid w:val="00CE3180"/>
    <w:rsid w:val="00CF4D0F"/>
    <w:rsid w:val="00CF510F"/>
    <w:rsid w:val="00CF6EF9"/>
    <w:rsid w:val="00D039B4"/>
    <w:rsid w:val="00D04BB6"/>
    <w:rsid w:val="00D06823"/>
    <w:rsid w:val="00D077E3"/>
    <w:rsid w:val="00D115EF"/>
    <w:rsid w:val="00D20B10"/>
    <w:rsid w:val="00D214FF"/>
    <w:rsid w:val="00D2739E"/>
    <w:rsid w:val="00D319B7"/>
    <w:rsid w:val="00D366EC"/>
    <w:rsid w:val="00D45C06"/>
    <w:rsid w:val="00D71505"/>
    <w:rsid w:val="00D8085B"/>
    <w:rsid w:val="00D82E3A"/>
    <w:rsid w:val="00D869FC"/>
    <w:rsid w:val="00DA1CE3"/>
    <w:rsid w:val="00DA3804"/>
    <w:rsid w:val="00DA5C35"/>
    <w:rsid w:val="00DB35F7"/>
    <w:rsid w:val="00DC1FDD"/>
    <w:rsid w:val="00DC2756"/>
    <w:rsid w:val="00DC2ACD"/>
    <w:rsid w:val="00DC2D31"/>
    <w:rsid w:val="00DC4348"/>
    <w:rsid w:val="00DC517B"/>
    <w:rsid w:val="00DC7EC3"/>
    <w:rsid w:val="00DD0C5F"/>
    <w:rsid w:val="00DD180B"/>
    <w:rsid w:val="00DD4FD8"/>
    <w:rsid w:val="00DE1530"/>
    <w:rsid w:val="00DF1BC8"/>
    <w:rsid w:val="00DF5A1F"/>
    <w:rsid w:val="00DF71F9"/>
    <w:rsid w:val="00DF7960"/>
    <w:rsid w:val="00E0222E"/>
    <w:rsid w:val="00E11A56"/>
    <w:rsid w:val="00E1632B"/>
    <w:rsid w:val="00E1637F"/>
    <w:rsid w:val="00E22D78"/>
    <w:rsid w:val="00E24428"/>
    <w:rsid w:val="00E272CC"/>
    <w:rsid w:val="00E30F8F"/>
    <w:rsid w:val="00E312A5"/>
    <w:rsid w:val="00E318B0"/>
    <w:rsid w:val="00E41148"/>
    <w:rsid w:val="00E41B79"/>
    <w:rsid w:val="00E62491"/>
    <w:rsid w:val="00E6566F"/>
    <w:rsid w:val="00E65BC2"/>
    <w:rsid w:val="00E76DC7"/>
    <w:rsid w:val="00E7751A"/>
    <w:rsid w:val="00E801B7"/>
    <w:rsid w:val="00E80C49"/>
    <w:rsid w:val="00E90846"/>
    <w:rsid w:val="00E91C70"/>
    <w:rsid w:val="00EA107C"/>
    <w:rsid w:val="00EB16A6"/>
    <w:rsid w:val="00EB2F1B"/>
    <w:rsid w:val="00EB4DF6"/>
    <w:rsid w:val="00EC658A"/>
    <w:rsid w:val="00ED01D2"/>
    <w:rsid w:val="00ED5BAD"/>
    <w:rsid w:val="00EE44C1"/>
    <w:rsid w:val="00EF485C"/>
    <w:rsid w:val="00EF718E"/>
    <w:rsid w:val="00F0229F"/>
    <w:rsid w:val="00F02BD6"/>
    <w:rsid w:val="00F0738B"/>
    <w:rsid w:val="00F1122F"/>
    <w:rsid w:val="00F139C0"/>
    <w:rsid w:val="00F20FF3"/>
    <w:rsid w:val="00F27881"/>
    <w:rsid w:val="00F27B9E"/>
    <w:rsid w:val="00F32033"/>
    <w:rsid w:val="00F36862"/>
    <w:rsid w:val="00F37319"/>
    <w:rsid w:val="00F4501A"/>
    <w:rsid w:val="00F46FB8"/>
    <w:rsid w:val="00F5680D"/>
    <w:rsid w:val="00F5792E"/>
    <w:rsid w:val="00F60DD2"/>
    <w:rsid w:val="00F67E0C"/>
    <w:rsid w:val="00F723C1"/>
    <w:rsid w:val="00F723F1"/>
    <w:rsid w:val="00F86373"/>
    <w:rsid w:val="00F93E53"/>
    <w:rsid w:val="00F94E08"/>
    <w:rsid w:val="00F95B63"/>
    <w:rsid w:val="00FA1528"/>
    <w:rsid w:val="00FA36BD"/>
    <w:rsid w:val="00FA424E"/>
    <w:rsid w:val="00FA5928"/>
    <w:rsid w:val="00FB5539"/>
    <w:rsid w:val="00FC0194"/>
    <w:rsid w:val="00FC1E3A"/>
    <w:rsid w:val="00FD2AC1"/>
    <w:rsid w:val="00FD48AF"/>
    <w:rsid w:val="00FD7600"/>
    <w:rsid w:val="00FD7CFF"/>
    <w:rsid w:val="00FE3364"/>
    <w:rsid w:val="00FE4DDD"/>
    <w:rsid w:val="00FE50DC"/>
    <w:rsid w:val="00FE7280"/>
    <w:rsid w:val="00FE7879"/>
    <w:rsid w:val="00FF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8CB33-291A-4DA1-BF3E-827B614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CD"/>
  </w:style>
  <w:style w:type="paragraph" w:styleId="Heading1">
    <w:name w:val="heading 1"/>
    <w:basedOn w:val="Normal"/>
    <w:next w:val="Normal"/>
    <w:link w:val="Heading1Char"/>
    <w:uiPriority w:val="9"/>
    <w:qFormat/>
    <w:rsid w:val="009321D0"/>
    <w:pPr>
      <w:keepNext/>
      <w:tabs>
        <w:tab w:val="right" w:pos="9025"/>
      </w:tabs>
      <w:spacing w:after="0" w:line="210" w:lineRule="auto"/>
      <w:jc w:val="both"/>
      <w:outlineLvl w:val="0"/>
    </w:pPr>
    <w:rPr>
      <w:rFonts w:ascii="CTimesBold" w:eastAsia="Times New Roman" w:hAnsi="CTimesBold" w:cs="Times New Roman"/>
      <w:b/>
      <w:snapToGrid w:val="0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21D0"/>
    <w:pPr>
      <w:keepNext/>
      <w:widowControl w:val="0"/>
      <w:spacing w:after="0" w:line="240" w:lineRule="auto"/>
      <w:jc w:val="center"/>
      <w:outlineLvl w:val="1"/>
    </w:pPr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321D0"/>
    <w:pPr>
      <w:keepNext/>
      <w:tabs>
        <w:tab w:val="left" w:pos="288"/>
        <w:tab w:val="left" w:pos="82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outlineLvl w:val="2"/>
    </w:pPr>
    <w:rPr>
      <w:rFonts w:ascii="CTimesBold" w:eastAsia="Times New Roman" w:hAnsi="CTimesBold" w:cs="Times New Roman"/>
      <w:b/>
      <w:snapToGrid w:val="0"/>
      <w:sz w:val="1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321D0"/>
    <w:pPr>
      <w:keepNext/>
      <w:spacing w:after="0" w:line="240" w:lineRule="auto"/>
      <w:ind w:firstLine="360"/>
      <w:outlineLvl w:val="3"/>
    </w:pPr>
    <w:rPr>
      <w:rFonts w:ascii="CTimesBold" w:eastAsia="Times New Roman" w:hAnsi="CTimesBold" w:cs="Times New Roman"/>
      <w:i/>
      <w:snapToGrid w:val="0"/>
      <w:color w:val="000000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321D0"/>
    <w:pPr>
      <w:keepNext/>
      <w:tabs>
        <w:tab w:val="left" w:pos="288"/>
        <w:tab w:val="left" w:pos="82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center"/>
      <w:outlineLvl w:val="4"/>
    </w:pPr>
    <w:rPr>
      <w:rFonts w:ascii="CTimesBold" w:eastAsia="Times New Roman" w:hAnsi="CTimesBold" w:cs="Times New Roman"/>
      <w:snapToGrid w:val="0"/>
      <w:sz w:val="20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9321D0"/>
    <w:pPr>
      <w:keepNext/>
      <w:spacing w:after="0" w:line="240" w:lineRule="auto"/>
      <w:outlineLvl w:val="5"/>
    </w:pPr>
    <w:rPr>
      <w:rFonts w:ascii="CTimesRoman" w:eastAsia="Times New Roman" w:hAnsi="CTimesRoman" w:cs="Times New Roman"/>
      <w:b/>
      <w:snapToGrid w:val="0"/>
      <w:color w:val="000000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321D0"/>
    <w:pPr>
      <w:keepNext/>
      <w:tabs>
        <w:tab w:val="left" w:pos="-1440"/>
        <w:tab w:val="left" w:pos="-720"/>
        <w:tab w:val="left" w:pos="538"/>
        <w:tab w:val="left" w:pos="720"/>
        <w:tab w:val="left" w:pos="889"/>
        <w:tab w:val="left" w:pos="1094"/>
        <w:tab w:val="left" w:pos="4514"/>
        <w:tab w:val="right" w:pos="5472"/>
        <w:tab w:val="left" w:pos="5677"/>
        <w:tab w:val="right" w:pos="6635"/>
        <w:tab w:val="left" w:pos="6840"/>
        <w:tab w:val="right" w:pos="7729"/>
        <w:tab w:val="left" w:pos="7866"/>
        <w:tab w:val="right" w:pos="8960"/>
      </w:tabs>
      <w:spacing w:after="0" w:line="210" w:lineRule="atLeast"/>
      <w:ind w:left="720" w:hanging="720"/>
      <w:jc w:val="both"/>
      <w:outlineLvl w:val="6"/>
    </w:pPr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321D0"/>
    <w:pPr>
      <w:keepNext/>
      <w:widowControl w:val="0"/>
      <w:spacing w:after="0" w:line="240" w:lineRule="auto"/>
      <w:outlineLvl w:val="7"/>
    </w:pPr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9321D0"/>
    <w:pPr>
      <w:keepNext/>
      <w:spacing w:after="0" w:line="240" w:lineRule="auto"/>
      <w:ind w:left="720"/>
      <w:jc w:val="both"/>
      <w:outlineLvl w:val="8"/>
    </w:pPr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1D0"/>
    <w:rPr>
      <w:rFonts w:ascii="CTimesBold" w:eastAsia="Times New Roman" w:hAnsi="CTimesBold" w:cs="Times New Roman"/>
      <w:b/>
      <w:snapToGrid w:val="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321D0"/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321D0"/>
    <w:rPr>
      <w:rFonts w:ascii="CTimesBold" w:eastAsia="Times New Roman" w:hAnsi="CTimesBold" w:cs="Times New Roman"/>
      <w:b/>
      <w:snapToGrid w:val="0"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321D0"/>
    <w:rPr>
      <w:rFonts w:ascii="CTimesBold" w:eastAsia="Times New Roman" w:hAnsi="CTimesBold" w:cs="Times New Roman"/>
      <w:i/>
      <w:snapToGrid w:val="0"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321D0"/>
    <w:rPr>
      <w:rFonts w:ascii="CTimesBold" w:eastAsia="Times New Roman" w:hAnsi="CTimesBold" w:cs="Times New Roman"/>
      <w:snapToGrid w:val="0"/>
      <w:sz w:val="20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9321D0"/>
    <w:rPr>
      <w:rFonts w:ascii="CTimesRoman" w:eastAsia="Times New Roman" w:hAnsi="CTimesRoman" w:cs="Times New Roman"/>
      <w:b/>
      <w:snapToGrid w:val="0"/>
      <w:color w:val="00000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321D0"/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321D0"/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321D0"/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321D0"/>
  </w:style>
  <w:style w:type="paragraph" w:styleId="Header">
    <w:name w:val="header"/>
    <w:basedOn w:val="Normal"/>
    <w:link w:val="HeaderChar"/>
    <w:rsid w:val="009321D0"/>
    <w:pPr>
      <w:tabs>
        <w:tab w:val="center" w:pos="4320"/>
        <w:tab w:val="right" w:pos="8640"/>
      </w:tabs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rsid w:val="009321D0"/>
    <w:pPr>
      <w:tabs>
        <w:tab w:val="center" w:pos="4320"/>
        <w:tab w:val="right" w:pos="8640"/>
      </w:tabs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9321D0"/>
  </w:style>
  <w:style w:type="paragraph" w:styleId="CommentText">
    <w:name w:val="annotation text"/>
    <w:basedOn w:val="Normal"/>
    <w:link w:val="CommentTextChar"/>
    <w:semiHidden/>
    <w:rsid w:val="009321D0"/>
    <w:pPr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321D0"/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21D0"/>
    <w:pPr>
      <w:spacing w:after="24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321D0"/>
    <w:pPr>
      <w:widowControl w:val="0"/>
      <w:tabs>
        <w:tab w:val="left" w:pos="-1440"/>
        <w:tab w:val="left" w:pos="-720"/>
        <w:tab w:val="left" w:pos="0"/>
        <w:tab w:val="right" w:pos="8960"/>
      </w:tabs>
      <w:spacing w:after="0" w:line="240" w:lineRule="auto"/>
      <w:ind w:left="108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321D0"/>
    <w:pPr>
      <w:widowControl w:val="0"/>
      <w:tabs>
        <w:tab w:val="left" w:pos="-1440"/>
        <w:tab w:val="left" w:pos="-720"/>
        <w:tab w:val="left" w:pos="990"/>
      </w:tabs>
      <w:spacing w:after="0" w:line="240" w:lineRule="auto"/>
      <w:ind w:left="993" w:hanging="453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odyTextIndent2">
    <w:name w:val="Body Text Indent 2"/>
    <w:aliases w:val="  uvlaka 2,uvlaka 2"/>
    <w:basedOn w:val="Normal"/>
    <w:link w:val="BodyTextIndent2Char"/>
    <w:rsid w:val="009321D0"/>
    <w:pPr>
      <w:widowControl w:val="0"/>
      <w:tabs>
        <w:tab w:val="left" w:pos="-1440"/>
        <w:tab w:val="left" w:pos="-720"/>
        <w:tab w:val="left" w:pos="990"/>
      </w:tabs>
      <w:spacing w:after="0" w:line="240" w:lineRule="auto"/>
      <w:ind w:left="993" w:hanging="426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321D0"/>
    <w:pPr>
      <w:tabs>
        <w:tab w:val="left" w:pos="-1440"/>
        <w:tab w:val="left" w:pos="-720"/>
        <w:tab w:val="left" w:pos="0"/>
        <w:tab w:val="left" w:pos="810"/>
        <w:tab w:val="left" w:pos="889"/>
        <w:tab w:val="left" w:pos="1231"/>
        <w:tab w:val="right" w:pos="8960"/>
      </w:tabs>
      <w:spacing w:after="0" w:line="240" w:lineRule="auto"/>
      <w:ind w:left="720" w:right="-11" w:hanging="720"/>
      <w:jc w:val="both"/>
    </w:pPr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321D0"/>
    <w:pPr>
      <w:tabs>
        <w:tab w:val="left" w:pos="-1440"/>
        <w:tab w:val="left" w:pos="-720"/>
        <w:tab w:val="left" w:pos="0"/>
        <w:tab w:val="left" w:pos="810"/>
        <w:tab w:val="right" w:pos="8647"/>
      </w:tabs>
      <w:spacing w:before="100" w:after="0" w:line="240" w:lineRule="auto"/>
      <w:jc w:val="both"/>
    </w:pPr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321D0"/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9321D0"/>
    <w:pPr>
      <w:widowControl w:val="0"/>
      <w:spacing w:after="0" w:line="240" w:lineRule="auto"/>
      <w:jc w:val="right"/>
    </w:pPr>
    <w:rPr>
      <w:rFonts w:ascii="CTimesBold" w:eastAsia="Times New Roman" w:hAnsi="CTimesBold" w:cs="Times New Roman"/>
      <w:snapToGrid w:val="0"/>
      <w:sz w:val="17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321D0"/>
    <w:rPr>
      <w:rFonts w:ascii="CTimesBold" w:eastAsia="Times New Roman" w:hAnsi="CTimesBold" w:cs="Times New Roman"/>
      <w:snapToGrid w:val="0"/>
      <w:sz w:val="17"/>
      <w:szCs w:val="20"/>
      <w:lang w:val="en-US"/>
    </w:rPr>
  </w:style>
  <w:style w:type="character" w:styleId="Hyperlink">
    <w:name w:val="Hyperlink"/>
    <w:uiPriority w:val="99"/>
    <w:rsid w:val="009321D0"/>
    <w:rPr>
      <w:color w:val="0000FF"/>
      <w:u w:val="single"/>
    </w:rPr>
  </w:style>
  <w:style w:type="character" w:styleId="FollowedHyperlink">
    <w:name w:val="FollowedHyperlink"/>
    <w:uiPriority w:val="99"/>
    <w:rsid w:val="009321D0"/>
    <w:rPr>
      <w:color w:val="800080"/>
      <w:u w:val="single"/>
    </w:rPr>
  </w:style>
  <w:style w:type="paragraph" w:customStyle="1" w:styleId="xl24">
    <w:name w:val="xl24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9321D0"/>
    <w:pPr>
      <w:spacing w:before="100" w:beforeAutospacing="1" w:after="100" w:afterAutospacing="1" w:line="240" w:lineRule="auto"/>
      <w:jc w:val="center"/>
      <w:textAlignment w:val="top"/>
    </w:pPr>
    <w:rPr>
      <w:rFonts w:ascii="CTimesRoman" w:eastAsia="Arial Unicode MS" w:hAnsi="CTimesRoman" w:cs="Arial Unicode MS"/>
      <w:sz w:val="24"/>
      <w:szCs w:val="24"/>
      <w:lang w:val="en-US"/>
    </w:rPr>
  </w:style>
  <w:style w:type="paragraph" w:customStyle="1" w:styleId="xl26">
    <w:name w:val="xl26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Bold" w:eastAsia="Arial Unicode MS" w:hAnsi="TimesRomanBold" w:cs="Arial Unicode MS"/>
      <w:sz w:val="24"/>
      <w:szCs w:val="24"/>
      <w:lang w:val="en-US"/>
    </w:rPr>
  </w:style>
  <w:style w:type="paragraph" w:customStyle="1" w:styleId="xl27">
    <w:name w:val="xl27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28">
    <w:name w:val="xl28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CTimesBold" w:eastAsia="Arial Unicode MS" w:hAnsi="CTimesBold" w:cs="Arial Unicode MS"/>
      <w:sz w:val="24"/>
      <w:szCs w:val="24"/>
      <w:lang w:val="en-US"/>
    </w:rPr>
  </w:style>
  <w:style w:type="paragraph" w:customStyle="1" w:styleId="xl29">
    <w:name w:val="xl29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0">
    <w:name w:val="xl30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1">
    <w:name w:val="xl31"/>
    <w:basedOn w:val="Normal"/>
    <w:rsid w:val="009321D0"/>
    <w:pPr>
      <w:spacing w:before="100" w:beforeAutospacing="1" w:after="100" w:afterAutospacing="1" w:line="240" w:lineRule="auto"/>
      <w:jc w:val="center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2">
    <w:name w:val="xl32"/>
    <w:basedOn w:val="Normal"/>
    <w:rsid w:val="009321D0"/>
    <w:pP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3">
    <w:name w:val="xl33"/>
    <w:basedOn w:val="Normal"/>
    <w:rsid w:val="009321D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4">
    <w:name w:val="xl34"/>
    <w:basedOn w:val="Normal"/>
    <w:rsid w:val="009321D0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5">
    <w:name w:val="xl35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6">
    <w:name w:val="xl36"/>
    <w:basedOn w:val="Normal"/>
    <w:rsid w:val="009321D0"/>
    <w:pP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7">
    <w:name w:val="xl37"/>
    <w:basedOn w:val="Normal"/>
    <w:rsid w:val="009321D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8">
    <w:name w:val="xl38"/>
    <w:basedOn w:val="Normal"/>
    <w:rsid w:val="009321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TimesRoman" w:eastAsia="Arial Unicode MS" w:hAnsi="CTimesRoman" w:cs="Arial Unicode MS"/>
      <w:sz w:val="24"/>
      <w:szCs w:val="24"/>
      <w:lang w:val="en-US"/>
    </w:rPr>
  </w:style>
  <w:style w:type="paragraph" w:customStyle="1" w:styleId="BodyText21">
    <w:name w:val="Body Text 21"/>
    <w:basedOn w:val="Normal"/>
    <w:rsid w:val="009321D0"/>
    <w:pPr>
      <w:widowControl w:val="0"/>
      <w:tabs>
        <w:tab w:val="left" w:pos="90"/>
      </w:tabs>
      <w:autoSpaceDE w:val="0"/>
      <w:autoSpaceDN w:val="0"/>
      <w:adjustRightInd w:val="0"/>
      <w:spacing w:after="0" w:line="240" w:lineRule="auto"/>
      <w:ind w:left="90" w:hanging="9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paragraph" w:customStyle="1" w:styleId="TableHeader">
    <w:name w:val="Table Header"/>
    <w:basedOn w:val="Normal"/>
    <w:autoRedefine/>
    <w:rsid w:val="009321D0"/>
    <w:pPr>
      <w:spacing w:after="0" w:line="240" w:lineRule="auto"/>
      <w:ind w:right="72"/>
      <w:jc w:val="right"/>
    </w:pPr>
    <w:rPr>
      <w:rFonts w:ascii="Times New Roman" w:eastAsia="Times New Roman" w:hAnsi="Times New Roman" w:cs="Times New Roman"/>
      <w:b/>
      <w:bCs/>
      <w:snapToGrid w:val="0"/>
      <w:sz w:val="18"/>
      <w:szCs w:val="18"/>
      <w:lang w:val="sr-Cyrl-CS"/>
    </w:rPr>
  </w:style>
  <w:style w:type="paragraph" w:customStyle="1" w:styleId="TableNumber">
    <w:name w:val="Table Number"/>
    <w:basedOn w:val="Normal"/>
    <w:autoRedefine/>
    <w:rsid w:val="009321D0"/>
    <w:pPr>
      <w:spacing w:after="0" w:line="240" w:lineRule="auto"/>
      <w:ind w:right="72"/>
      <w:jc w:val="right"/>
    </w:pPr>
    <w:rPr>
      <w:rFonts w:ascii="Arial" w:eastAsia="Arial Unicode MS" w:hAnsi="Arial" w:cs="Times New Roman"/>
      <w:bCs/>
      <w:snapToGrid w:val="0"/>
      <w:color w:val="000000"/>
      <w:sz w:val="18"/>
      <w:szCs w:val="24"/>
      <w:lang w:val="en-US"/>
    </w:rPr>
  </w:style>
  <w:style w:type="paragraph" w:customStyle="1" w:styleId="TableDecription">
    <w:name w:val="Table Decription"/>
    <w:basedOn w:val="Normal"/>
    <w:autoRedefine/>
    <w:rsid w:val="009321D0"/>
    <w:pPr>
      <w:spacing w:after="0" w:line="240" w:lineRule="auto"/>
    </w:pPr>
    <w:rPr>
      <w:rFonts w:ascii="Times New Roman" w:eastAsia="Arial Unicode MS" w:hAnsi="Times New Roman" w:cs="Times New Roman"/>
      <w:snapToGrid w:val="0"/>
      <w:sz w:val="21"/>
      <w:szCs w:val="24"/>
      <w:lang w:val="sr-Cyrl-CS"/>
    </w:rPr>
  </w:style>
  <w:style w:type="paragraph" w:customStyle="1" w:styleId="Default">
    <w:name w:val="Default"/>
    <w:rsid w:val="00932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Indent">
    <w:name w:val="Normal Indent"/>
    <w:basedOn w:val="Normal"/>
    <w:rsid w:val="009321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dst">
    <w:name w:val="odst"/>
    <w:basedOn w:val="Normal"/>
    <w:autoRedefine/>
    <w:rsid w:val="009321D0"/>
    <w:pPr>
      <w:tabs>
        <w:tab w:val="left" w:pos="-1440"/>
        <w:tab w:val="left" w:pos="-720"/>
        <w:tab w:val="left" w:pos="0"/>
        <w:tab w:val="left" w:pos="538"/>
        <w:tab w:val="left" w:pos="889"/>
        <w:tab w:val="left" w:pos="1231"/>
        <w:tab w:val="left" w:pos="1710"/>
        <w:tab w:val="right" w:pos="8640"/>
      </w:tabs>
      <w:spacing w:after="0" w:line="140" w:lineRule="exact"/>
      <w:ind w:firstLine="720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BodyText22">
    <w:name w:val="Body Text 22"/>
    <w:basedOn w:val="Normal"/>
    <w:rsid w:val="009321D0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321D0"/>
    <w:pPr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321D0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customStyle="1" w:styleId="Bodycopy">
    <w:name w:val="Body copy"/>
    <w:rsid w:val="009321D0"/>
    <w:pPr>
      <w:spacing w:before="20" w:after="0" w:line="210" w:lineRule="exact"/>
    </w:pPr>
    <w:rPr>
      <w:rFonts w:ascii="Arial" w:eastAsia="PMingLiU" w:hAnsi="Arial" w:cs="Arial"/>
      <w:color w:val="000000"/>
      <w:sz w:val="17"/>
      <w:szCs w:val="17"/>
      <w:lang w:val="en-US"/>
    </w:rPr>
  </w:style>
  <w:style w:type="paragraph" w:customStyle="1" w:styleId="Bodycopyheader1">
    <w:name w:val="Body copy header 1"/>
    <w:basedOn w:val="Bodycopy"/>
    <w:rsid w:val="009321D0"/>
    <w:rPr>
      <w:b/>
    </w:rPr>
  </w:style>
  <w:style w:type="paragraph" w:customStyle="1" w:styleId="Bodycopyrightindent">
    <w:name w:val="Body copy right indent"/>
    <w:basedOn w:val="Bodycopy"/>
    <w:rsid w:val="009321D0"/>
    <w:pPr>
      <w:jc w:val="right"/>
    </w:pPr>
  </w:style>
  <w:style w:type="character" w:styleId="CommentReference">
    <w:name w:val="annotation reference"/>
    <w:rsid w:val="009321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2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21D0"/>
    <w:rPr>
      <w:rFonts w:ascii="Helvetica" w:eastAsia="Times New Roman" w:hAnsi="Helvetica" w:cs="Times New Roman"/>
      <w:b/>
      <w:bCs/>
      <w:snapToGrid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321D0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customStyle="1" w:styleId="Indent">
    <w:name w:val="Indent"/>
    <w:rsid w:val="009321D0"/>
    <w:pPr>
      <w:widowControl w:val="0"/>
      <w:autoSpaceDE w:val="0"/>
      <w:autoSpaceDN w:val="0"/>
      <w:adjustRightInd w:val="0"/>
      <w:spacing w:after="120" w:line="240" w:lineRule="auto"/>
      <w:ind w:left="54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9321D0"/>
  </w:style>
  <w:style w:type="character" w:customStyle="1" w:styleId="hpsatn">
    <w:name w:val="hps atn"/>
    <w:basedOn w:val="DefaultParagraphFont"/>
    <w:rsid w:val="009321D0"/>
  </w:style>
  <w:style w:type="paragraph" w:styleId="DocumentMap">
    <w:name w:val="Document Map"/>
    <w:basedOn w:val="Normal"/>
    <w:link w:val="DocumentMapChar"/>
    <w:rsid w:val="009321D0"/>
    <w:pPr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rsid w:val="009321D0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93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321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9321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21D0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rsid w:val="0093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naslov2">
    <w:name w:val="Podnaslov2"/>
    <w:basedOn w:val="Normal"/>
    <w:rsid w:val="009321D0"/>
    <w:pPr>
      <w:spacing w:after="0" w:line="240" w:lineRule="auto"/>
      <w:jc w:val="both"/>
    </w:pPr>
    <w:rPr>
      <w:rFonts w:ascii="Switzerland" w:eastAsia="Times New Roman" w:hAnsi="Switzerland" w:cs="Times New Roman"/>
      <w:b/>
      <w:bCs/>
      <w:sz w:val="24"/>
      <w:szCs w:val="24"/>
      <w:lang w:val="en-US"/>
    </w:rPr>
  </w:style>
  <w:style w:type="paragraph" w:customStyle="1" w:styleId="Podnaslov1">
    <w:name w:val="Podnaslov1"/>
    <w:basedOn w:val="Normal"/>
    <w:rsid w:val="009321D0"/>
    <w:pPr>
      <w:spacing w:after="0" w:line="240" w:lineRule="auto"/>
      <w:jc w:val="both"/>
    </w:pPr>
    <w:rPr>
      <w:rFonts w:ascii="Switzerland" w:eastAsia="Times New Roman" w:hAnsi="Switzerland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TMLPreformattedChar">
    <w:name w:val="HTML Preformatted Char"/>
    <w:link w:val="HTMLPreformatted"/>
    <w:uiPriority w:val="99"/>
    <w:rsid w:val="009321D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PreformattedChar1">
    <w:name w:val="HTML Preformatted Char1"/>
    <w:basedOn w:val="DefaultParagraphFont"/>
    <w:rsid w:val="009321D0"/>
    <w:rPr>
      <w:rFonts w:ascii="Consolas" w:hAnsi="Consolas" w:cs="Consolas"/>
      <w:sz w:val="20"/>
      <w:szCs w:val="20"/>
    </w:rPr>
  </w:style>
  <w:style w:type="paragraph" w:styleId="Title">
    <w:name w:val="Title"/>
    <w:basedOn w:val="Normal"/>
    <w:link w:val="TitleChar"/>
    <w:qFormat/>
    <w:rsid w:val="009321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9321D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ListBullet">
    <w:name w:val="List Bullet"/>
    <w:basedOn w:val="Normal"/>
    <w:rsid w:val="009321D0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sije@banja-vrucic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16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Vidakovic</dc:creator>
  <cp:keywords/>
  <dc:description/>
  <cp:lastModifiedBy>Vidakovic</cp:lastModifiedBy>
  <cp:revision>20</cp:revision>
  <cp:lastPrinted>2024-02-21T07:50:00Z</cp:lastPrinted>
  <dcterms:created xsi:type="dcterms:W3CDTF">2024-02-20T07:44:00Z</dcterms:created>
  <dcterms:modified xsi:type="dcterms:W3CDTF">2024-02-21T13:13:00Z</dcterms:modified>
</cp:coreProperties>
</file>