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38" w:rsidRPr="001C152D" w:rsidRDefault="00C7397C" w:rsidP="00F30038">
      <w:pPr>
        <w:pStyle w:val="Heading1"/>
        <w:rPr>
          <w:rFonts w:ascii="Times New Roman" w:hAnsi="Times New Roman"/>
          <w:sz w:val="24"/>
          <w:lang w:val="sl-SI"/>
        </w:rPr>
      </w:pPr>
      <w:r w:rsidRPr="001C152D">
        <w:rPr>
          <w:rFonts w:ascii="Times New Roman" w:hAnsi="Times New Roman"/>
          <w:sz w:val="24"/>
          <w:lang w:val="sl-SI"/>
        </w:rPr>
        <w:t xml:space="preserve">ZATVORENI </w:t>
      </w:r>
      <w:r w:rsidR="00CE097B" w:rsidRPr="001C152D">
        <w:rPr>
          <w:rFonts w:ascii="Times New Roman" w:hAnsi="Times New Roman"/>
          <w:sz w:val="24"/>
          <w:lang w:val="sl-SI"/>
        </w:rPr>
        <w:t>MJEŠOVITI</w:t>
      </w:r>
      <w:r w:rsidR="00990132" w:rsidRPr="001C152D">
        <w:rPr>
          <w:rFonts w:ascii="Times New Roman" w:hAnsi="Times New Roman"/>
          <w:sz w:val="24"/>
          <w:lang w:val="sl-SI"/>
        </w:rPr>
        <w:t xml:space="preserve"> </w:t>
      </w:r>
      <w:r w:rsidR="00F30038" w:rsidRPr="001C152D">
        <w:rPr>
          <w:rFonts w:ascii="Times New Roman" w:hAnsi="Times New Roman"/>
          <w:sz w:val="24"/>
          <w:lang w:val="sl-SI"/>
        </w:rPr>
        <w:t>INVESTICIONI FOND</w:t>
      </w:r>
    </w:p>
    <w:p w:rsidR="00F30038" w:rsidRPr="001C152D" w:rsidRDefault="00F30038" w:rsidP="00F30038">
      <w:pPr>
        <w:ind w:left="0" w:firstLine="0"/>
        <w:jc w:val="center"/>
        <w:rPr>
          <w:rFonts w:eastAsia="Calibri"/>
          <w:b/>
          <w:lang w:val="sl-SI"/>
        </w:rPr>
      </w:pPr>
      <w:r w:rsidRPr="001C152D">
        <w:rPr>
          <w:rFonts w:eastAsia="Calibri"/>
          <w:b/>
          <w:lang w:val="sl-SI"/>
        </w:rPr>
        <w:t>SA JAVNOM PONUDOM</w:t>
      </w:r>
      <w:r w:rsidR="00990132" w:rsidRPr="001C152D">
        <w:rPr>
          <w:rFonts w:eastAsia="Calibri"/>
          <w:b/>
          <w:lang w:val="sl-SI"/>
        </w:rPr>
        <w:t xml:space="preserve"> U PREOBLIKOVANJU</w:t>
      </w:r>
    </w:p>
    <w:p w:rsidR="00F30038" w:rsidRPr="001C152D" w:rsidRDefault="00F30038" w:rsidP="00F30038">
      <w:pPr>
        <w:jc w:val="center"/>
        <w:rPr>
          <w:rFonts w:eastAsia="Calibri"/>
          <w:lang w:val="sr-Cyrl-CS"/>
        </w:rPr>
      </w:pPr>
    </w:p>
    <w:p w:rsidR="00F30038" w:rsidRPr="001C152D" w:rsidRDefault="00F30038" w:rsidP="00F30038">
      <w:pPr>
        <w:ind w:left="0" w:firstLine="0"/>
        <w:jc w:val="center"/>
        <w:rPr>
          <w:rFonts w:eastAsia="Calibri"/>
          <w:lang w:val="sr-Latn-BA"/>
        </w:rPr>
      </w:pPr>
      <w:r w:rsidRPr="001C152D">
        <w:rPr>
          <w:rFonts w:eastAsia="Calibri"/>
          <w:lang w:val="sr-Cyrl-CS"/>
        </w:rPr>
        <w:t>"</w:t>
      </w:r>
      <w:r w:rsidRPr="001C152D">
        <w:rPr>
          <w:rFonts w:eastAsia="Calibri"/>
          <w:lang w:val="sl-SI"/>
        </w:rPr>
        <w:t>INVEST NOVA FOND</w:t>
      </w:r>
      <w:r w:rsidRPr="001C152D">
        <w:rPr>
          <w:rFonts w:eastAsia="Calibri"/>
          <w:lang w:val="sr-Cyrl-CS"/>
        </w:rPr>
        <w:t xml:space="preserve">" </w:t>
      </w:r>
      <w:r w:rsidRPr="001C152D">
        <w:rPr>
          <w:rFonts w:eastAsia="Calibri"/>
          <w:lang w:val="sr-Latn-BA"/>
        </w:rPr>
        <w:t>AD</w:t>
      </w:r>
    </w:p>
    <w:p w:rsidR="00F30038" w:rsidRPr="001C152D" w:rsidRDefault="00F30038" w:rsidP="00F30038">
      <w:pPr>
        <w:ind w:left="0" w:firstLine="0"/>
        <w:jc w:val="center"/>
        <w:rPr>
          <w:rFonts w:eastAsia="Calibri"/>
          <w:b/>
          <w:lang w:val="sr-Cyrl-CS"/>
        </w:rPr>
      </w:pPr>
      <w:r w:rsidRPr="001C152D">
        <w:rPr>
          <w:rFonts w:eastAsia="Calibri"/>
          <w:lang w:val="sl-SI"/>
        </w:rPr>
        <w:t>Bijeljina</w:t>
      </w:r>
      <w:r w:rsidRPr="001C152D">
        <w:rPr>
          <w:rFonts w:eastAsia="Calibri"/>
          <w:lang w:val="sr-Cyrl-CS"/>
        </w:rPr>
        <w:t xml:space="preserve">, </w:t>
      </w:r>
      <w:r w:rsidRPr="001C152D">
        <w:rPr>
          <w:rFonts w:eastAsia="Calibri"/>
          <w:lang w:val="sl-SI"/>
        </w:rPr>
        <w:t>Ul</w:t>
      </w:r>
      <w:r w:rsidRPr="001C152D">
        <w:rPr>
          <w:rFonts w:eastAsia="Calibri"/>
          <w:lang w:val="sr-Cyrl-CS"/>
        </w:rPr>
        <w:t xml:space="preserve">. </w:t>
      </w:r>
      <w:r w:rsidRPr="001C152D">
        <w:rPr>
          <w:rFonts w:eastAsia="Calibri"/>
          <w:lang w:val="sl-SI"/>
        </w:rPr>
        <w:t>Gavrila Principa 11</w:t>
      </w:r>
      <w:r w:rsidRPr="001C152D">
        <w:rPr>
          <w:rFonts w:eastAsia="Calibri"/>
          <w:lang w:val="sr-Cyrl-CS"/>
        </w:rPr>
        <w:t>.</w:t>
      </w:r>
    </w:p>
    <w:p w:rsidR="00F30038" w:rsidRPr="001C152D" w:rsidRDefault="00F30038" w:rsidP="00F30038">
      <w:pPr>
        <w:jc w:val="cente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jc w:val="cente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F30038" w:rsidRPr="001C152D" w:rsidRDefault="00F30038" w:rsidP="00F30038">
      <w:pPr>
        <w:rPr>
          <w:rFonts w:eastAsia="Calibri"/>
          <w:lang w:val="sr-Cyrl-CS"/>
        </w:rPr>
      </w:pPr>
    </w:p>
    <w:p w:rsidR="005B09CC" w:rsidRPr="001C152D" w:rsidRDefault="00F30038" w:rsidP="005B09CC">
      <w:pPr>
        <w:pStyle w:val="Heading7"/>
        <w:jc w:val="center"/>
        <w:rPr>
          <w:rFonts w:ascii="Times New Roman" w:eastAsia="Times New Roman" w:hAnsi="Times New Roman" w:cs="Times New Roman"/>
          <w:i w:val="0"/>
          <w:color w:val="auto"/>
        </w:rPr>
      </w:pPr>
      <w:r w:rsidRPr="001C152D">
        <w:rPr>
          <w:rFonts w:ascii="Times New Roman" w:eastAsia="Times New Roman" w:hAnsi="Times New Roman" w:cs="Times New Roman"/>
          <w:i w:val="0"/>
          <w:color w:val="auto"/>
        </w:rPr>
        <w:t>PROSPEKT</w:t>
      </w:r>
      <w:r w:rsidR="005B09CC" w:rsidRPr="001C152D">
        <w:rPr>
          <w:rFonts w:ascii="Times New Roman" w:eastAsia="Times New Roman" w:hAnsi="Times New Roman" w:cs="Times New Roman"/>
          <w:i w:val="0"/>
          <w:color w:val="auto"/>
        </w:rPr>
        <w:t xml:space="preserve"> </w:t>
      </w:r>
      <w:r w:rsidR="005B09CC" w:rsidRPr="001C152D">
        <w:rPr>
          <w:rFonts w:ascii="Times New Roman" w:hAnsi="Times New Roman" w:cs="Times New Roman"/>
          <w:i w:val="0"/>
          <w:color w:val="auto"/>
        </w:rPr>
        <w:t>za uvršetenje akcija</w:t>
      </w:r>
    </w:p>
    <w:p w:rsidR="00F30038" w:rsidRPr="001C152D" w:rsidRDefault="00F30038" w:rsidP="005B09CC">
      <w:pPr>
        <w:jc w:val="center"/>
      </w:pPr>
      <w:r w:rsidRPr="001C152D">
        <w:rPr>
          <w:rFonts w:eastAsia="Calibri"/>
          <w:lang w:val="sl-SI"/>
        </w:rPr>
        <w:t xml:space="preserve">Zatvorenog </w:t>
      </w:r>
      <w:r w:rsidR="00CE097B" w:rsidRPr="001C152D">
        <w:rPr>
          <w:rFonts w:eastAsia="Calibri"/>
          <w:lang w:val="sl-SI"/>
        </w:rPr>
        <w:t>mješovitog</w:t>
      </w:r>
      <w:r w:rsidR="00990132" w:rsidRPr="001C152D">
        <w:rPr>
          <w:rFonts w:eastAsia="Calibri"/>
          <w:lang w:val="sl-SI"/>
        </w:rPr>
        <w:t xml:space="preserve"> </w:t>
      </w:r>
      <w:r w:rsidRPr="001C152D">
        <w:rPr>
          <w:rFonts w:eastAsia="Calibri"/>
          <w:lang w:val="sl-SI"/>
        </w:rPr>
        <w:t>investicionog fonda</w:t>
      </w:r>
      <w:r w:rsidRPr="001C152D">
        <w:rPr>
          <w:rFonts w:eastAsia="Calibri"/>
          <w:lang w:val="sr-Cyrl-CS"/>
        </w:rPr>
        <w:t xml:space="preserve"> </w:t>
      </w:r>
      <w:r w:rsidRPr="001C152D">
        <w:rPr>
          <w:rFonts w:eastAsia="Calibri"/>
          <w:lang w:val="sl-SI"/>
        </w:rPr>
        <w:t>sa javnom ponudom</w:t>
      </w:r>
      <w:r w:rsidR="00990132" w:rsidRPr="001C152D">
        <w:rPr>
          <w:rFonts w:eastAsia="Calibri"/>
          <w:lang w:val="sl-SI"/>
        </w:rPr>
        <w:t xml:space="preserve"> u preoblikovanju </w:t>
      </w:r>
    </w:p>
    <w:p w:rsidR="00F30038" w:rsidRPr="001C152D" w:rsidRDefault="00F30038" w:rsidP="00F30038">
      <w:pPr>
        <w:jc w:val="center"/>
        <w:rPr>
          <w:rFonts w:eastAsia="Calibri"/>
          <w:lang w:val="sr-Latn-BA"/>
        </w:rPr>
      </w:pPr>
      <w:r w:rsidRPr="001C152D">
        <w:rPr>
          <w:rFonts w:eastAsia="Calibri"/>
          <w:lang w:val="sr-Cyrl-CS"/>
        </w:rPr>
        <w:t>"</w:t>
      </w:r>
      <w:r w:rsidRPr="001C152D">
        <w:rPr>
          <w:rFonts w:eastAsia="Calibri"/>
          <w:lang w:val="sl-SI"/>
        </w:rPr>
        <w:t>Invest nova fond</w:t>
      </w:r>
      <w:r w:rsidRPr="001C152D">
        <w:rPr>
          <w:rFonts w:eastAsia="Calibri"/>
          <w:lang w:val="sr-Cyrl-CS"/>
        </w:rPr>
        <w:t>"</w:t>
      </w:r>
      <w:r w:rsidRPr="001C152D">
        <w:rPr>
          <w:rFonts w:eastAsia="Calibri"/>
          <w:lang w:val="sr-Latn-BA"/>
        </w:rPr>
        <w:t xml:space="preserve"> </w:t>
      </w:r>
      <w:r w:rsidRPr="001C152D">
        <w:rPr>
          <w:rFonts w:eastAsia="Calibri"/>
          <w:lang w:val="sr-Cyrl-CS"/>
        </w:rPr>
        <w:t>а.</w:t>
      </w:r>
      <w:r w:rsidRPr="001C152D">
        <w:rPr>
          <w:rFonts w:eastAsia="Calibri"/>
          <w:lang w:val="sl-SI"/>
        </w:rPr>
        <w:t>d</w:t>
      </w:r>
      <w:r w:rsidRPr="001C152D">
        <w:rPr>
          <w:rFonts w:eastAsia="Calibri"/>
          <w:lang w:val="sr-Cyrl-CS"/>
        </w:rPr>
        <w:t>.</w:t>
      </w:r>
      <w:r w:rsidR="005B09CC" w:rsidRPr="001C152D">
        <w:rPr>
          <w:rFonts w:eastAsia="Calibri"/>
          <w:lang w:val="sr-Latn-BA"/>
        </w:rPr>
        <w:t xml:space="preserve"> Bijeljina na Banjalučku berzu – Dokument o registraciji akcija Zatvorenog investicionog fonda</w:t>
      </w:r>
    </w:p>
    <w:p w:rsidR="00F30038" w:rsidRPr="001C152D" w:rsidRDefault="00F30038" w:rsidP="00F30038">
      <w:pPr>
        <w:jc w:val="center"/>
        <w:rPr>
          <w:rFonts w:eastAsia="Calibri"/>
          <w:lang w:val="sr-Latn-BA"/>
        </w:rPr>
      </w:pPr>
    </w:p>
    <w:p w:rsidR="00F30038" w:rsidRPr="001C152D" w:rsidRDefault="00F30038" w:rsidP="00F30038">
      <w:pPr>
        <w:jc w:val="center"/>
        <w:rPr>
          <w:rFonts w:eastAsia="Calibri"/>
          <w:lang w:val="sr-Cyrl-CS"/>
        </w:rPr>
      </w:pPr>
    </w:p>
    <w:p w:rsidR="00F30038" w:rsidRPr="001C152D" w:rsidRDefault="00F30038" w:rsidP="00F30038">
      <w:pPr>
        <w:jc w:val="center"/>
        <w:rPr>
          <w:rFonts w:ascii="Arial" w:eastAsia="Calibri" w:hAnsi="Arial"/>
          <w:sz w:val="22"/>
          <w:lang w:val="sr-Cyrl-CS"/>
        </w:rPr>
      </w:pPr>
    </w:p>
    <w:p w:rsidR="00F30038" w:rsidRPr="001C152D" w:rsidRDefault="00F30038" w:rsidP="00F30038">
      <w:pPr>
        <w:jc w:val="center"/>
        <w:rPr>
          <w:rFonts w:ascii="Arial" w:eastAsia="Calibri" w:hAnsi="Arial"/>
          <w:lang w:val="sl-SI"/>
        </w:rPr>
      </w:pPr>
    </w:p>
    <w:p w:rsidR="00F30038" w:rsidRPr="001C152D" w:rsidRDefault="00F30038" w:rsidP="00F30038">
      <w:pPr>
        <w:pStyle w:val="Heading3"/>
        <w:rPr>
          <w:rFonts w:ascii="Arial" w:hAnsi="Arial"/>
          <w:sz w:val="22"/>
        </w:rPr>
      </w:pPr>
    </w:p>
    <w:p w:rsidR="00F30038" w:rsidRPr="001C152D" w:rsidRDefault="00F30038" w:rsidP="00F30038">
      <w:pPr>
        <w:pStyle w:val="Heading3"/>
        <w:rPr>
          <w:rFonts w:ascii="Arial" w:hAnsi="Arial"/>
          <w:sz w:val="22"/>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rPr>
          <w:rFonts w:ascii="Arial" w:eastAsia="Calibri" w:hAnsi="Arial"/>
          <w:sz w:val="22"/>
          <w:lang w:val="sr-Cyrl-CS"/>
        </w:rPr>
      </w:pPr>
    </w:p>
    <w:p w:rsidR="00F30038" w:rsidRPr="001C152D" w:rsidRDefault="00F30038" w:rsidP="00F30038">
      <w:pPr>
        <w:pStyle w:val="Heading3"/>
        <w:rPr>
          <w:rFonts w:ascii="Arial" w:hAnsi="Arial"/>
          <w:sz w:val="22"/>
        </w:rPr>
      </w:pPr>
    </w:p>
    <w:p w:rsidR="00F30038" w:rsidRPr="001C152D" w:rsidRDefault="00F30038" w:rsidP="00F30038">
      <w:pPr>
        <w:rPr>
          <w:rFonts w:ascii="Arial" w:eastAsia="Calibri" w:hAnsi="Arial"/>
          <w:sz w:val="22"/>
          <w:lang w:val="sr-Cyrl-CS"/>
        </w:rPr>
      </w:pPr>
    </w:p>
    <w:p w:rsidR="00F30038" w:rsidRPr="00930FF2" w:rsidRDefault="00F30038" w:rsidP="005B09CC">
      <w:pPr>
        <w:ind w:left="0" w:firstLine="0"/>
        <w:jc w:val="center"/>
        <w:rPr>
          <w:lang w:val="sl-SI"/>
        </w:rPr>
      </w:pPr>
      <w:r w:rsidRPr="001C152D">
        <w:rPr>
          <w:rFonts w:eastAsia="Calibri"/>
          <w:lang w:val="sl-SI"/>
        </w:rPr>
        <w:t>Bijeljina</w:t>
      </w:r>
      <w:r w:rsidRPr="001C152D">
        <w:rPr>
          <w:rFonts w:eastAsia="Calibri"/>
          <w:lang w:val="sr-Cyrl-CS"/>
        </w:rPr>
        <w:t xml:space="preserve">, </w:t>
      </w:r>
      <w:r w:rsidRPr="001C152D">
        <w:rPr>
          <w:rFonts w:eastAsia="Calibri"/>
          <w:lang w:val="sr-Latn-BA"/>
        </w:rPr>
        <w:t xml:space="preserve">inoviran </w:t>
      </w:r>
      <w:r w:rsidR="00CA0B33" w:rsidRPr="00930FF2">
        <w:rPr>
          <w:rFonts w:eastAsia="Calibri"/>
          <w:lang w:val="sr-Latn-BA"/>
        </w:rPr>
        <w:t>avgust</w:t>
      </w:r>
      <w:r w:rsidR="00480E15" w:rsidRPr="00930FF2">
        <w:rPr>
          <w:rFonts w:eastAsia="Calibri"/>
          <w:color w:val="FF0000"/>
          <w:lang w:val="sr-Latn-BA"/>
        </w:rPr>
        <w:t xml:space="preserve"> </w:t>
      </w:r>
      <w:r w:rsidRPr="00930FF2">
        <w:rPr>
          <w:rFonts w:eastAsia="Calibri"/>
          <w:lang w:val="sr-Cyrl-CS"/>
        </w:rPr>
        <w:t>20</w:t>
      </w:r>
      <w:r w:rsidRPr="00930FF2">
        <w:rPr>
          <w:rFonts w:eastAsia="Calibri"/>
          <w:lang w:val="sr-Latn-BA"/>
        </w:rPr>
        <w:t>1</w:t>
      </w:r>
      <w:r w:rsidRPr="00930FF2">
        <w:rPr>
          <w:lang w:val="sr-Latn-BA"/>
        </w:rPr>
        <w:t>6</w:t>
      </w:r>
      <w:r w:rsidRPr="00930FF2">
        <w:rPr>
          <w:rFonts w:eastAsia="Calibri"/>
          <w:lang w:val="sr-Cyrl-CS"/>
        </w:rPr>
        <w:t xml:space="preserve">. </w:t>
      </w:r>
      <w:r w:rsidRPr="00930FF2">
        <w:rPr>
          <w:lang w:val="sr-Latn-BA"/>
        </w:rPr>
        <w:t>g</w:t>
      </w:r>
      <w:r w:rsidRPr="00930FF2">
        <w:rPr>
          <w:rFonts w:eastAsia="Calibri"/>
          <w:lang w:val="sl-SI"/>
        </w:rPr>
        <w:t>odine</w:t>
      </w:r>
    </w:p>
    <w:p w:rsidR="00F30038" w:rsidRPr="00930FF2" w:rsidRDefault="00F30038" w:rsidP="00F30038">
      <w:pPr>
        <w:ind w:left="0" w:firstLine="0"/>
        <w:contextualSpacing/>
        <w:jc w:val="center"/>
        <w:rPr>
          <w:rFonts w:eastAsia="Calibri"/>
          <w:lang w:val="sl-SI"/>
        </w:rPr>
      </w:pPr>
    </w:p>
    <w:p w:rsidR="00F30038" w:rsidRPr="00930FF2" w:rsidRDefault="00E37E92" w:rsidP="00F553CF">
      <w:pPr>
        <w:pStyle w:val="ListParagraph"/>
        <w:numPr>
          <w:ilvl w:val="0"/>
          <w:numId w:val="8"/>
        </w:numPr>
        <w:jc w:val="left"/>
        <w:rPr>
          <w:rFonts w:eastAsia="Calibri"/>
          <w:b/>
          <w:bCs/>
          <w:lang w:val="sl-SI"/>
        </w:rPr>
      </w:pPr>
      <w:r w:rsidRPr="00930FF2">
        <w:rPr>
          <w:rFonts w:eastAsia="Calibri"/>
          <w:b/>
          <w:bCs/>
          <w:lang w:val="sl-SI"/>
        </w:rPr>
        <w:t>ODGOVORNA LICA</w:t>
      </w:r>
    </w:p>
    <w:p w:rsidR="00F30038" w:rsidRPr="00930FF2" w:rsidRDefault="00F30038" w:rsidP="00F30038">
      <w:pPr>
        <w:ind w:left="3600" w:hanging="3600"/>
        <w:jc w:val="center"/>
        <w:rPr>
          <w:rFonts w:eastAsia="Calibri"/>
          <w:b/>
          <w:bCs/>
          <w:lang w:val="sl-SI"/>
        </w:rPr>
      </w:pPr>
    </w:p>
    <w:p w:rsidR="00F30038" w:rsidRPr="00930FF2" w:rsidRDefault="00F30038" w:rsidP="00F30038">
      <w:pPr>
        <w:ind w:left="0" w:firstLine="0"/>
        <w:contextualSpacing/>
        <w:rPr>
          <w:rFonts w:eastAsia="Calibri"/>
          <w:lang w:val="sl-SI"/>
        </w:rPr>
      </w:pPr>
      <w:r w:rsidRPr="00930FF2">
        <w:rPr>
          <w:rFonts w:eastAsia="Calibri"/>
          <w:lang w:val="sl-SI"/>
        </w:rPr>
        <w:t xml:space="preserve">Prospekt zatvorenog investicionog fonda sa javnom ponudom predstavlja poziv za kupovinu akcija u zatvorenom </w:t>
      </w:r>
      <w:r w:rsidR="00CE097B" w:rsidRPr="00930FF2">
        <w:rPr>
          <w:rFonts w:eastAsia="Calibri"/>
          <w:lang w:val="sl-SI"/>
        </w:rPr>
        <w:t>mješovitom</w:t>
      </w:r>
      <w:r w:rsidR="00990132" w:rsidRPr="00930FF2">
        <w:rPr>
          <w:rFonts w:eastAsia="Calibri"/>
          <w:lang w:val="sl-SI"/>
        </w:rPr>
        <w:t xml:space="preserve"> </w:t>
      </w:r>
      <w:r w:rsidRPr="00930FF2">
        <w:rPr>
          <w:rFonts w:eastAsia="Calibri"/>
          <w:lang w:val="sl-SI"/>
        </w:rPr>
        <w:t>investicionom fondu sa javnom ponudom</w:t>
      </w:r>
      <w:r w:rsidRPr="00930FF2">
        <w:rPr>
          <w:lang w:val="sl-SI"/>
        </w:rPr>
        <w:t xml:space="preserve"> </w:t>
      </w:r>
      <w:r w:rsidR="00990132" w:rsidRPr="00930FF2">
        <w:rPr>
          <w:lang w:val="sl-SI"/>
        </w:rPr>
        <w:t xml:space="preserve">u preoblikovanju </w:t>
      </w:r>
      <w:r w:rsidRPr="00930FF2">
        <w:rPr>
          <w:rFonts w:eastAsia="Calibri"/>
          <w:bCs/>
          <w:lang w:val="sr-Cyrl-CS"/>
        </w:rPr>
        <w:t>"</w:t>
      </w:r>
      <w:r w:rsidRPr="00930FF2">
        <w:rPr>
          <w:rFonts w:eastAsia="Calibri"/>
          <w:lang w:val="sl-SI"/>
        </w:rPr>
        <w:t>Invest nova fond</w:t>
      </w:r>
      <w:r w:rsidRPr="00930FF2">
        <w:rPr>
          <w:rFonts w:eastAsia="Calibri"/>
          <w:bCs/>
          <w:lang w:val="sr-Cyrl-CS"/>
        </w:rPr>
        <w:t>"</w:t>
      </w:r>
      <w:r w:rsidRPr="00930FF2">
        <w:rPr>
          <w:rFonts w:eastAsia="Calibri"/>
          <w:lang w:val="sl-SI"/>
        </w:rPr>
        <w:t xml:space="preserve"> a.d. Bijeljina, (u daljem tekstu: Fond).</w:t>
      </w:r>
    </w:p>
    <w:p w:rsidR="00F30038" w:rsidRPr="00930FF2" w:rsidRDefault="00F30038" w:rsidP="00F30038">
      <w:pPr>
        <w:ind w:left="0" w:firstLine="0"/>
        <w:contextualSpacing/>
        <w:rPr>
          <w:rFonts w:eastAsia="Calibri"/>
          <w:lang w:val="sl-SI"/>
        </w:rPr>
      </w:pPr>
      <w:r w:rsidRPr="00930FF2">
        <w:rPr>
          <w:rFonts w:eastAsia="Calibri"/>
          <w:lang w:val="sl-SI"/>
        </w:rPr>
        <w:t>Prospekt sadrži one podatke i informacije na osnovu kojih će investitori stvoriti potpun stav o zatvorenom investicionom fondu sa javnom ponudom, o rizicima povezanim sa prirodom Fonda i njegovog portfelja.</w:t>
      </w:r>
    </w:p>
    <w:p w:rsidR="00F30038" w:rsidRPr="00930FF2" w:rsidRDefault="00F30038" w:rsidP="00F30038">
      <w:pPr>
        <w:ind w:left="0" w:firstLine="0"/>
        <w:contextualSpacing/>
        <w:rPr>
          <w:rFonts w:eastAsia="Calibri"/>
          <w:lang w:val="sl-SI"/>
        </w:rPr>
      </w:pPr>
      <w:r w:rsidRPr="00930FF2">
        <w:rPr>
          <w:rFonts w:eastAsia="Calibri"/>
          <w:lang w:val="sl-SI"/>
        </w:rPr>
        <w:t>Prije donošenja odluke o ulaganju u fond potencijalni investitori se pozivaju da pročitaju ovaj Prospekt fonda i Statut fonda, kako bi se informisali o prirodi i karakteru fonda, kao i o mogućim rizicima ulaganja u zatvoreni investicioni fond sa javnom ponudom.</w:t>
      </w:r>
    </w:p>
    <w:p w:rsidR="00F30038" w:rsidRPr="00930FF2" w:rsidRDefault="00F30038" w:rsidP="00F30038">
      <w:pPr>
        <w:autoSpaceDE w:val="0"/>
        <w:autoSpaceDN w:val="0"/>
        <w:adjustRightInd w:val="0"/>
        <w:ind w:left="0" w:firstLine="0"/>
        <w:contextualSpacing/>
        <w:jc w:val="left"/>
      </w:pPr>
    </w:p>
    <w:p w:rsidR="007C2A08" w:rsidRPr="00930FF2" w:rsidRDefault="007C2A08" w:rsidP="007C2A08">
      <w:pPr>
        <w:ind w:left="0" w:firstLine="0"/>
        <w:rPr>
          <w:rFonts w:eastAsia="Calibri"/>
        </w:rPr>
      </w:pPr>
      <w:r w:rsidRPr="00930FF2">
        <w:t>Izjava odgovornih lica:</w:t>
      </w:r>
    </w:p>
    <w:p w:rsidR="007C2A08" w:rsidRPr="00930FF2" w:rsidRDefault="007C2A08" w:rsidP="007C2A08">
      <w:pPr>
        <w:ind w:left="0" w:firstLine="0"/>
        <w:contextualSpacing/>
      </w:pPr>
      <w:r w:rsidRPr="00930FF2">
        <w:t>“Preduzevši sve potrebne mjere, izjavljujemo da su, prema našim saznanjima, informacije u Dokumentu o registraciji u skladu sa činjenicama, kao i da nisu izostavljene činjenice koje bi mogle da utiču na istinitost i potpunost Prospekta.”</w:t>
      </w:r>
    </w:p>
    <w:p w:rsidR="00F30038" w:rsidRPr="00930FF2" w:rsidRDefault="00F30038" w:rsidP="00F30038">
      <w:pPr>
        <w:autoSpaceDE w:val="0"/>
        <w:autoSpaceDN w:val="0"/>
        <w:adjustRightInd w:val="0"/>
        <w:ind w:left="0" w:firstLine="0"/>
        <w:contextualSpacing/>
        <w:jc w:val="left"/>
        <w:rPr>
          <w:rFonts w:eastAsia="Calibri"/>
        </w:rPr>
      </w:pPr>
    </w:p>
    <w:p w:rsidR="00F30038" w:rsidRPr="00930FF2" w:rsidRDefault="00F30038" w:rsidP="00F30038">
      <w:pPr>
        <w:autoSpaceDE w:val="0"/>
        <w:autoSpaceDN w:val="0"/>
        <w:adjustRightInd w:val="0"/>
        <w:ind w:left="0" w:firstLine="0"/>
        <w:contextualSpacing/>
        <w:jc w:val="left"/>
        <w:rPr>
          <w:rFonts w:eastAsia="Calibri"/>
        </w:rPr>
      </w:pPr>
    </w:p>
    <w:p w:rsidR="00F30038" w:rsidRPr="00930FF2" w:rsidRDefault="00F30038" w:rsidP="00F30038">
      <w:pPr>
        <w:autoSpaceDE w:val="0"/>
        <w:autoSpaceDN w:val="0"/>
        <w:adjustRightInd w:val="0"/>
        <w:ind w:left="0" w:firstLine="0"/>
        <w:contextualSpacing/>
        <w:jc w:val="left"/>
        <w:rPr>
          <w:rFonts w:eastAsia="Calibri"/>
        </w:rPr>
      </w:pPr>
      <w:r w:rsidRPr="00930FF2">
        <w:rPr>
          <w:rFonts w:eastAsia="Calibri"/>
        </w:rPr>
        <w:t>Predsjednik Upravnog odbora Društva</w:t>
      </w:r>
    </w:p>
    <w:p w:rsidR="00F30038" w:rsidRPr="00930FF2" w:rsidRDefault="00F30038" w:rsidP="00F30038">
      <w:pPr>
        <w:autoSpaceDE w:val="0"/>
        <w:autoSpaceDN w:val="0"/>
        <w:adjustRightInd w:val="0"/>
        <w:ind w:left="0" w:firstLine="0"/>
        <w:contextualSpacing/>
        <w:jc w:val="left"/>
        <w:rPr>
          <w:rFonts w:eastAsia="Calibri"/>
        </w:rPr>
      </w:pPr>
      <w:r w:rsidRPr="00930FF2">
        <w:rPr>
          <w:rFonts w:eastAsia="Calibri"/>
        </w:rPr>
        <w:t>_________________________________</w:t>
      </w:r>
    </w:p>
    <w:p w:rsidR="00F30038" w:rsidRPr="00930FF2" w:rsidRDefault="005655A6" w:rsidP="00F30038">
      <w:pPr>
        <w:autoSpaceDE w:val="0"/>
        <w:autoSpaceDN w:val="0"/>
        <w:adjustRightInd w:val="0"/>
        <w:ind w:left="0" w:firstLine="0"/>
        <w:contextualSpacing/>
        <w:jc w:val="left"/>
        <w:rPr>
          <w:rFonts w:eastAsia="Calibri"/>
        </w:rPr>
      </w:pPr>
      <w:r w:rsidRPr="00930FF2">
        <w:rPr>
          <w:rFonts w:eastAsia="Calibri"/>
        </w:rPr>
        <w:t xml:space="preserve">dr </w:t>
      </w:r>
      <w:r w:rsidR="00F30038" w:rsidRPr="00930FF2">
        <w:rPr>
          <w:rFonts w:eastAsia="Calibri"/>
        </w:rPr>
        <w:t>Aleš Musar</w:t>
      </w:r>
    </w:p>
    <w:p w:rsidR="00F30038" w:rsidRPr="00930FF2" w:rsidRDefault="00F30038" w:rsidP="00F30038">
      <w:pPr>
        <w:autoSpaceDE w:val="0"/>
        <w:autoSpaceDN w:val="0"/>
        <w:adjustRightInd w:val="0"/>
        <w:ind w:left="0" w:firstLine="0"/>
        <w:contextualSpacing/>
        <w:jc w:val="left"/>
        <w:rPr>
          <w:rFonts w:eastAsia="Calibri"/>
        </w:rPr>
      </w:pPr>
    </w:p>
    <w:p w:rsidR="00F30038" w:rsidRPr="00930FF2" w:rsidRDefault="00F30038" w:rsidP="00F30038">
      <w:pPr>
        <w:autoSpaceDE w:val="0"/>
        <w:autoSpaceDN w:val="0"/>
        <w:adjustRightInd w:val="0"/>
        <w:ind w:left="0" w:firstLine="0"/>
        <w:contextualSpacing/>
        <w:jc w:val="left"/>
        <w:rPr>
          <w:rFonts w:eastAsia="Calibri"/>
        </w:rPr>
      </w:pPr>
      <w:r w:rsidRPr="00930FF2">
        <w:t>Član Upravnog</w:t>
      </w:r>
      <w:r w:rsidRPr="00930FF2">
        <w:rPr>
          <w:rFonts w:eastAsia="Calibri"/>
        </w:rPr>
        <w:t xml:space="preserve"> odbora </w:t>
      </w:r>
      <w:r w:rsidRPr="00930FF2">
        <w:t>Društva</w:t>
      </w:r>
    </w:p>
    <w:p w:rsidR="00F30038" w:rsidRPr="00930FF2" w:rsidRDefault="00F30038" w:rsidP="00F30038">
      <w:pPr>
        <w:autoSpaceDE w:val="0"/>
        <w:autoSpaceDN w:val="0"/>
        <w:adjustRightInd w:val="0"/>
        <w:ind w:left="0" w:firstLine="0"/>
        <w:contextualSpacing/>
        <w:jc w:val="left"/>
        <w:rPr>
          <w:rFonts w:eastAsia="Calibri"/>
        </w:rPr>
      </w:pPr>
      <w:r w:rsidRPr="00930FF2">
        <w:rPr>
          <w:rFonts w:eastAsia="Calibri"/>
        </w:rPr>
        <w:t>_______________________________</w:t>
      </w:r>
    </w:p>
    <w:p w:rsidR="00F30038" w:rsidRPr="00930FF2" w:rsidRDefault="00F30038" w:rsidP="00F30038">
      <w:pPr>
        <w:autoSpaceDE w:val="0"/>
        <w:autoSpaceDN w:val="0"/>
        <w:adjustRightInd w:val="0"/>
        <w:ind w:left="0" w:firstLine="0"/>
        <w:contextualSpacing/>
        <w:jc w:val="left"/>
      </w:pPr>
      <w:r w:rsidRPr="00930FF2">
        <w:t>Slavko Paleksić</w:t>
      </w:r>
    </w:p>
    <w:p w:rsidR="00135581" w:rsidRPr="00930FF2" w:rsidRDefault="00135581" w:rsidP="00135581">
      <w:pPr>
        <w:autoSpaceDE w:val="0"/>
        <w:autoSpaceDN w:val="0"/>
        <w:adjustRightInd w:val="0"/>
        <w:ind w:left="0" w:firstLine="0"/>
        <w:contextualSpacing/>
        <w:jc w:val="left"/>
        <w:rPr>
          <w:rFonts w:eastAsia="Calibri"/>
        </w:rPr>
      </w:pPr>
    </w:p>
    <w:p w:rsidR="00135581" w:rsidRPr="00930FF2" w:rsidRDefault="00135581" w:rsidP="00135581">
      <w:pPr>
        <w:autoSpaceDE w:val="0"/>
        <w:autoSpaceDN w:val="0"/>
        <w:adjustRightInd w:val="0"/>
        <w:ind w:left="0" w:firstLine="0"/>
        <w:contextualSpacing/>
        <w:jc w:val="left"/>
        <w:rPr>
          <w:rFonts w:eastAsia="Calibri"/>
        </w:rPr>
      </w:pPr>
      <w:r w:rsidRPr="00930FF2">
        <w:rPr>
          <w:rFonts w:eastAsia="Calibri"/>
        </w:rPr>
        <w:t xml:space="preserve">Izvršni </w:t>
      </w:r>
      <w:r w:rsidR="00BC1BB8" w:rsidRPr="00930FF2">
        <w:rPr>
          <w:rFonts w:eastAsia="Calibri"/>
        </w:rPr>
        <w:t>Direktor</w:t>
      </w:r>
      <w:r w:rsidRPr="00930FF2">
        <w:rPr>
          <w:rFonts w:eastAsia="Calibri"/>
        </w:rPr>
        <w:t>, i član Upravnog odbora</w:t>
      </w:r>
      <w:r w:rsidR="00BC1BB8" w:rsidRPr="00930FF2">
        <w:rPr>
          <w:rFonts w:eastAsia="Calibri"/>
        </w:rPr>
        <w:t xml:space="preserve"> Društva</w:t>
      </w:r>
    </w:p>
    <w:p w:rsidR="00135581" w:rsidRPr="00930FF2" w:rsidRDefault="00135581" w:rsidP="00135581">
      <w:pPr>
        <w:autoSpaceDE w:val="0"/>
        <w:autoSpaceDN w:val="0"/>
        <w:adjustRightInd w:val="0"/>
        <w:ind w:left="0" w:firstLine="0"/>
        <w:contextualSpacing/>
        <w:jc w:val="left"/>
        <w:rPr>
          <w:rFonts w:eastAsia="Calibri"/>
        </w:rPr>
      </w:pPr>
      <w:r w:rsidRPr="00930FF2">
        <w:rPr>
          <w:rFonts w:eastAsia="Calibri"/>
        </w:rPr>
        <w:t>______________________________</w:t>
      </w:r>
    </w:p>
    <w:p w:rsidR="00135581" w:rsidRPr="00930FF2" w:rsidRDefault="00135581" w:rsidP="00135581">
      <w:pPr>
        <w:autoSpaceDE w:val="0"/>
        <w:autoSpaceDN w:val="0"/>
        <w:adjustRightInd w:val="0"/>
        <w:ind w:left="0" w:firstLine="0"/>
        <w:contextualSpacing/>
        <w:jc w:val="left"/>
        <w:rPr>
          <w:rFonts w:eastAsia="Calibri"/>
        </w:rPr>
      </w:pPr>
      <w:r w:rsidRPr="00930FF2">
        <w:rPr>
          <w:rFonts w:eastAsia="Calibri"/>
        </w:rPr>
        <w:t>Stevan Radić</w:t>
      </w:r>
    </w:p>
    <w:p w:rsidR="00CD3FA8" w:rsidRPr="00930FF2" w:rsidRDefault="00CD3FA8" w:rsidP="00F30038">
      <w:pPr>
        <w:autoSpaceDE w:val="0"/>
        <w:autoSpaceDN w:val="0"/>
        <w:adjustRightInd w:val="0"/>
        <w:ind w:left="0" w:firstLine="0"/>
        <w:contextualSpacing/>
        <w:jc w:val="left"/>
      </w:pPr>
    </w:p>
    <w:p w:rsidR="0021065D" w:rsidRPr="00930FF2" w:rsidRDefault="00781679" w:rsidP="00781679">
      <w:pPr>
        <w:ind w:left="0" w:firstLine="0"/>
        <w:rPr>
          <w:rFonts w:eastAsia="Calibri"/>
          <w:lang w:val="sl-SI"/>
        </w:rPr>
      </w:pPr>
      <w:r w:rsidRPr="00930FF2">
        <w:rPr>
          <w:rFonts w:eastAsia="Calibri"/>
          <w:lang w:val="sl-SI"/>
        </w:rPr>
        <w:t>Izvršni Direktor</w:t>
      </w:r>
    </w:p>
    <w:p w:rsidR="00781679" w:rsidRPr="00930FF2" w:rsidRDefault="00781679" w:rsidP="00781679">
      <w:pPr>
        <w:ind w:left="0" w:firstLine="0"/>
        <w:rPr>
          <w:rFonts w:eastAsia="Calibri"/>
          <w:lang w:val="sl-SI"/>
        </w:rPr>
      </w:pPr>
      <w:r w:rsidRPr="00930FF2">
        <w:rPr>
          <w:rFonts w:eastAsia="Calibri"/>
          <w:lang w:val="sl-SI"/>
        </w:rPr>
        <w:t>______________________________</w:t>
      </w:r>
    </w:p>
    <w:p w:rsidR="00903EE9" w:rsidRPr="00930FF2" w:rsidRDefault="00781679" w:rsidP="00781679">
      <w:pPr>
        <w:ind w:left="0" w:firstLine="0"/>
        <w:rPr>
          <w:rFonts w:eastAsia="Calibri"/>
          <w:lang w:val="sl-SI"/>
        </w:rPr>
      </w:pPr>
      <w:r w:rsidRPr="00930FF2">
        <w:rPr>
          <w:rFonts w:eastAsia="Calibri"/>
          <w:lang w:val="sl-SI"/>
        </w:rPr>
        <w:t>Petar Mitrović</w:t>
      </w:r>
    </w:p>
    <w:p w:rsidR="00903EE9" w:rsidRPr="00930FF2" w:rsidRDefault="00903EE9"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1065D" w:rsidRPr="00930FF2" w:rsidRDefault="0021065D" w:rsidP="00F30038">
      <w:pPr>
        <w:rPr>
          <w:rFonts w:eastAsia="Calibri"/>
          <w:lang w:val="sl-SI"/>
        </w:rPr>
      </w:pPr>
    </w:p>
    <w:p w:rsidR="00205132" w:rsidRPr="00930FF2" w:rsidRDefault="00205132" w:rsidP="00205132">
      <w:pPr>
        <w:ind w:left="0" w:firstLine="0"/>
        <w:rPr>
          <w:rFonts w:eastAsia="Calibri"/>
          <w:lang w:val="sl-SI"/>
        </w:rPr>
      </w:pPr>
    </w:p>
    <w:p w:rsidR="001669EB" w:rsidRPr="00930FF2" w:rsidRDefault="001669EB" w:rsidP="00205132">
      <w:pPr>
        <w:ind w:left="0" w:firstLine="0"/>
        <w:rPr>
          <w:rFonts w:eastAsia="Calibri"/>
          <w:lang w:val="sl-SI"/>
        </w:rPr>
      </w:pPr>
    </w:p>
    <w:p w:rsidR="00087D42" w:rsidRPr="00930FF2" w:rsidRDefault="00087D42" w:rsidP="00205132">
      <w:pPr>
        <w:ind w:left="0" w:firstLine="0"/>
        <w:rPr>
          <w:b/>
          <w:sz w:val="26"/>
          <w:szCs w:val="26"/>
        </w:rPr>
      </w:pPr>
    </w:p>
    <w:p w:rsidR="00205132" w:rsidRPr="00930FF2" w:rsidRDefault="00E37B80" w:rsidP="00F553CF">
      <w:pPr>
        <w:pStyle w:val="ListParagraph"/>
        <w:numPr>
          <w:ilvl w:val="0"/>
          <w:numId w:val="8"/>
        </w:numPr>
        <w:rPr>
          <w:b/>
          <w:sz w:val="26"/>
          <w:szCs w:val="26"/>
        </w:rPr>
      </w:pPr>
      <w:r w:rsidRPr="00930FF2">
        <w:rPr>
          <w:b/>
          <w:sz w:val="26"/>
          <w:szCs w:val="26"/>
        </w:rPr>
        <w:t>LICA ZADUŽENA ZA REVIZIJU FINANSIJSKIH INFORMACIJA</w:t>
      </w:r>
    </w:p>
    <w:p w:rsidR="00205132" w:rsidRPr="00930FF2" w:rsidRDefault="00205132" w:rsidP="00205132">
      <w:pPr>
        <w:ind w:left="0" w:firstLine="0"/>
        <w:contextualSpacing/>
      </w:pPr>
      <w:r w:rsidRPr="00930FF2">
        <w:t>Društvo za reviziju “Revidere” d.o.o. Bijeljina po Ugovorima o reviziji finansijskih izvještaja Fonda za 2014. godinu i 2015. godinu. Ovlašćeni revizor  prof. dr Rajko Radović.</w:t>
      </w:r>
    </w:p>
    <w:p w:rsidR="00205132" w:rsidRPr="00930FF2" w:rsidRDefault="00205132" w:rsidP="00205132">
      <w:pPr>
        <w:ind w:left="0" w:firstLine="0"/>
        <w:contextualSpacing/>
      </w:pPr>
      <w:r w:rsidRPr="00930FF2">
        <w:t>U periodu koji obuhvata prikazane finansijske informacije nije došlo do promjene lica koje je odgovorno za reviziju finansijskih izvještaja.</w:t>
      </w:r>
    </w:p>
    <w:p w:rsidR="00205132" w:rsidRPr="00930FF2" w:rsidRDefault="00205132" w:rsidP="00205132">
      <w:pPr>
        <w:ind w:left="0" w:firstLine="0"/>
        <w:contextualSpacing/>
      </w:pPr>
    </w:p>
    <w:p w:rsidR="00205132" w:rsidRPr="00930FF2" w:rsidRDefault="00E37B80" w:rsidP="00F553CF">
      <w:pPr>
        <w:pStyle w:val="ListParagraph"/>
        <w:numPr>
          <w:ilvl w:val="0"/>
          <w:numId w:val="8"/>
        </w:numPr>
        <w:rPr>
          <w:b/>
          <w:sz w:val="26"/>
          <w:szCs w:val="26"/>
        </w:rPr>
      </w:pPr>
      <w:r w:rsidRPr="00930FF2">
        <w:rPr>
          <w:b/>
          <w:sz w:val="26"/>
          <w:szCs w:val="26"/>
        </w:rPr>
        <w:t>IZABRANE FINANSIJSKE INFORMACIJE</w:t>
      </w:r>
    </w:p>
    <w:tbl>
      <w:tblPr>
        <w:tblpPr w:leftFromText="180" w:rightFromText="180" w:vertAnchor="text" w:tblpX="250" w:tblpY="1"/>
        <w:tblOverlap w:val="never"/>
        <w:tblW w:w="8637" w:type="dxa"/>
        <w:tblLook w:val="04A0"/>
      </w:tblPr>
      <w:tblGrid>
        <w:gridCol w:w="6004"/>
        <w:gridCol w:w="708"/>
        <w:gridCol w:w="608"/>
        <w:gridCol w:w="708"/>
        <w:gridCol w:w="240"/>
        <w:gridCol w:w="369"/>
      </w:tblGrid>
      <w:tr w:rsidR="00205132" w:rsidRPr="00930FF2" w:rsidTr="003967F1">
        <w:trPr>
          <w:gridAfter w:val="1"/>
          <w:wAfter w:w="369" w:type="dxa"/>
          <w:trHeight w:val="300"/>
        </w:trPr>
        <w:tc>
          <w:tcPr>
            <w:tcW w:w="8028" w:type="dxa"/>
            <w:gridSpan w:val="4"/>
            <w:tcBorders>
              <w:top w:val="nil"/>
              <w:left w:val="nil"/>
              <w:bottom w:val="nil"/>
              <w:right w:val="nil"/>
            </w:tcBorders>
            <w:shd w:val="clear" w:color="auto" w:fill="auto"/>
            <w:noWrap/>
            <w:vAlign w:val="bottom"/>
            <w:hideMark/>
          </w:tcPr>
          <w:p w:rsidR="00E37B80" w:rsidRPr="00930FF2" w:rsidRDefault="00E37B80" w:rsidP="003967F1">
            <w:pPr>
              <w:ind w:left="0" w:firstLine="0"/>
              <w:contextualSpacing/>
              <w:jc w:val="left"/>
              <w:rPr>
                <w:bCs/>
                <w:color w:val="000000"/>
                <w:sz w:val="22"/>
                <w:szCs w:val="22"/>
                <w:lang w:eastAsia="en-GB"/>
              </w:rPr>
            </w:pPr>
          </w:p>
          <w:p w:rsidR="00205132" w:rsidRPr="00930FF2" w:rsidRDefault="00205132" w:rsidP="003967F1">
            <w:pPr>
              <w:ind w:left="0" w:firstLine="0"/>
              <w:contextualSpacing/>
              <w:jc w:val="left"/>
              <w:rPr>
                <w:bCs/>
                <w:color w:val="000000"/>
                <w:sz w:val="22"/>
                <w:szCs w:val="22"/>
                <w:lang w:eastAsia="en-GB"/>
              </w:rPr>
            </w:pPr>
            <w:r w:rsidRPr="00930FF2">
              <w:rPr>
                <w:bCs/>
                <w:color w:val="000000"/>
                <w:sz w:val="22"/>
                <w:szCs w:val="22"/>
                <w:lang w:eastAsia="en-GB"/>
              </w:rPr>
              <w:t xml:space="preserve">IZABRANE FINANSIJSKE INFORMACIJE  NA DAN </w:t>
            </w:r>
            <w:r w:rsidRPr="00930FF2">
              <w:rPr>
                <w:bCs/>
                <w:sz w:val="22"/>
                <w:szCs w:val="22"/>
                <w:lang w:eastAsia="en-GB"/>
              </w:rPr>
              <w:t>31.12.201</w:t>
            </w:r>
            <w:r w:rsidR="001C152D" w:rsidRPr="00930FF2">
              <w:rPr>
                <w:bCs/>
                <w:sz w:val="22"/>
                <w:szCs w:val="22"/>
                <w:lang w:eastAsia="en-GB"/>
              </w:rPr>
              <w:t>5</w:t>
            </w:r>
            <w:r w:rsidRPr="00930FF2">
              <w:rPr>
                <w:bCs/>
                <w:sz w:val="22"/>
                <w:szCs w:val="22"/>
                <w:lang w:eastAsia="en-GB"/>
              </w:rPr>
              <w:t>. GODINE</w:t>
            </w:r>
          </w:p>
        </w:tc>
        <w:tc>
          <w:tcPr>
            <w:tcW w:w="240" w:type="dxa"/>
            <w:tcBorders>
              <w:top w:val="nil"/>
              <w:left w:val="nil"/>
              <w:bottom w:val="nil"/>
              <w:right w:val="nil"/>
            </w:tcBorders>
            <w:shd w:val="clear" w:color="auto" w:fill="auto"/>
            <w:noWrap/>
            <w:vAlign w:val="bottom"/>
            <w:hideMark/>
          </w:tcPr>
          <w:p w:rsidR="00205132" w:rsidRPr="00930FF2" w:rsidRDefault="00205132" w:rsidP="003967F1">
            <w:pPr>
              <w:ind w:left="0" w:firstLine="0"/>
              <w:contextualSpacing/>
              <w:rPr>
                <w:color w:val="000000"/>
                <w:sz w:val="22"/>
                <w:szCs w:val="22"/>
                <w:lang w:eastAsia="en-GB"/>
              </w:rPr>
            </w:pPr>
          </w:p>
        </w:tc>
      </w:tr>
      <w:tr w:rsidR="00205132" w:rsidRPr="00930FF2" w:rsidTr="003967F1">
        <w:trPr>
          <w:gridAfter w:val="1"/>
          <w:wAfter w:w="369" w:type="dxa"/>
          <w:trHeight w:val="300"/>
        </w:trPr>
        <w:tc>
          <w:tcPr>
            <w:tcW w:w="6004" w:type="dxa"/>
            <w:tcBorders>
              <w:top w:val="nil"/>
              <w:left w:val="nil"/>
              <w:bottom w:val="single" w:sz="4" w:space="0" w:color="auto"/>
              <w:right w:val="nil"/>
            </w:tcBorders>
            <w:shd w:val="clear" w:color="auto" w:fill="auto"/>
            <w:noWrap/>
            <w:vAlign w:val="bottom"/>
            <w:hideMark/>
          </w:tcPr>
          <w:p w:rsidR="00205132" w:rsidRPr="00930FF2" w:rsidRDefault="00205132" w:rsidP="003967F1">
            <w:pPr>
              <w:ind w:left="0" w:firstLine="0"/>
              <w:contextualSpacing/>
              <w:rPr>
                <w:color w:val="000000"/>
                <w:sz w:val="22"/>
                <w:szCs w:val="22"/>
                <w:lang w:eastAsia="en-GB"/>
              </w:rPr>
            </w:pPr>
          </w:p>
        </w:tc>
        <w:tc>
          <w:tcPr>
            <w:tcW w:w="708" w:type="dxa"/>
            <w:tcBorders>
              <w:top w:val="nil"/>
              <w:left w:val="nil"/>
              <w:bottom w:val="single" w:sz="4" w:space="0" w:color="auto"/>
              <w:right w:val="nil"/>
            </w:tcBorders>
            <w:shd w:val="clear" w:color="auto" w:fill="auto"/>
            <w:noWrap/>
            <w:vAlign w:val="bottom"/>
            <w:hideMark/>
          </w:tcPr>
          <w:p w:rsidR="00205132" w:rsidRPr="00930FF2" w:rsidRDefault="00205132" w:rsidP="003967F1">
            <w:pPr>
              <w:ind w:left="0" w:firstLine="0"/>
              <w:contextualSpacing/>
              <w:rPr>
                <w:color w:val="000000"/>
                <w:sz w:val="22"/>
                <w:szCs w:val="22"/>
                <w:lang w:eastAsia="en-GB"/>
              </w:rPr>
            </w:pPr>
          </w:p>
        </w:tc>
        <w:tc>
          <w:tcPr>
            <w:tcW w:w="1316" w:type="dxa"/>
            <w:gridSpan w:val="2"/>
            <w:tcBorders>
              <w:top w:val="nil"/>
              <w:left w:val="nil"/>
              <w:bottom w:val="single" w:sz="4" w:space="0" w:color="auto"/>
              <w:right w:val="nil"/>
            </w:tcBorders>
            <w:shd w:val="clear" w:color="auto" w:fill="auto"/>
            <w:noWrap/>
            <w:hideMark/>
          </w:tcPr>
          <w:p w:rsidR="00205132" w:rsidRPr="00930FF2" w:rsidRDefault="00205132" w:rsidP="003967F1">
            <w:pPr>
              <w:ind w:left="0" w:firstLine="0"/>
              <w:contextualSpacing/>
              <w:rPr>
                <w:color w:val="000000"/>
                <w:sz w:val="22"/>
                <w:szCs w:val="22"/>
                <w:lang w:eastAsia="en-GB"/>
              </w:rPr>
            </w:pPr>
            <w:r w:rsidRPr="00930FF2">
              <w:rPr>
                <w:color w:val="000000"/>
                <w:sz w:val="22"/>
                <w:szCs w:val="22"/>
                <w:lang w:eastAsia="en-GB"/>
              </w:rPr>
              <w:t>(u KM)</w:t>
            </w:r>
          </w:p>
        </w:tc>
        <w:tc>
          <w:tcPr>
            <w:tcW w:w="240" w:type="dxa"/>
            <w:tcBorders>
              <w:top w:val="nil"/>
              <w:left w:val="nil"/>
              <w:bottom w:val="nil"/>
              <w:right w:val="nil"/>
            </w:tcBorders>
            <w:shd w:val="clear" w:color="auto" w:fill="auto"/>
            <w:noWrap/>
            <w:vAlign w:val="bottom"/>
            <w:hideMark/>
          </w:tcPr>
          <w:p w:rsidR="00205132" w:rsidRPr="00930FF2" w:rsidRDefault="00205132" w:rsidP="003967F1">
            <w:pPr>
              <w:ind w:left="0" w:firstLine="0"/>
              <w:contextualSpacing/>
              <w:rPr>
                <w:color w:val="000000"/>
                <w:sz w:val="22"/>
                <w:szCs w:val="22"/>
                <w:lang w:eastAsia="en-GB"/>
              </w:rPr>
            </w:pPr>
          </w:p>
        </w:tc>
      </w:tr>
      <w:tr w:rsidR="00205132" w:rsidRPr="00930FF2" w:rsidTr="003967F1">
        <w:trPr>
          <w:trHeight w:val="353"/>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132" w:rsidRPr="00930FF2" w:rsidRDefault="00205132" w:rsidP="003967F1">
            <w:pPr>
              <w:ind w:left="0" w:firstLine="0"/>
              <w:contextualSpacing/>
              <w:rPr>
                <w:b/>
                <w:sz w:val="22"/>
                <w:szCs w:val="22"/>
                <w:lang w:eastAsia="en-GB"/>
              </w:rPr>
            </w:pPr>
            <w:r w:rsidRPr="00930FF2">
              <w:rPr>
                <w:b/>
                <w:sz w:val="22"/>
                <w:szCs w:val="22"/>
                <w:lang w:eastAsia="en-GB"/>
              </w:rPr>
              <w:t>Pozicija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205132" w:rsidRPr="00930FF2" w:rsidRDefault="001C152D" w:rsidP="003967F1">
            <w:pPr>
              <w:ind w:left="0" w:firstLine="0"/>
              <w:contextualSpacing/>
              <w:rPr>
                <w:b/>
                <w:sz w:val="22"/>
                <w:szCs w:val="22"/>
                <w:lang w:eastAsia="en-GB"/>
              </w:rPr>
            </w:pPr>
            <w:r w:rsidRPr="00930FF2">
              <w:rPr>
                <w:b/>
                <w:sz w:val="22"/>
                <w:szCs w:val="22"/>
                <w:lang w:eastAsia="en-GB"/>
              </w:rPr>
              <w:t>2015</w:t>
            </w:r>
            <w:r w:rsidR="00205132" w:rsidRPr="00930FF2">
              <w:rPr>
                <w:b/>
                <w:sz w:val="22"/>
                <w:szCs w:val="22"/>
                <w:lang w:eastAsia="en-GB"/>
              </w:rPr>
              <w:t>. god.</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05132" w:rsidRPr="00930FF2" w:rsidRDefault="00205132" w:rsidP="003967F1">
            <w:pPr>
              <w:ind w:left="0" w:firstLine="0"/>
              <w:contextualSpacing/>
              <w:rPr>
                <w:b/>
                <w:sz w:val="22"/>
                <w:szCs w:val="22"/>
                <w:lang w:eastAsia="en-GB"/>
              </w:rPr>
            </w:pPr>
            <w:r w:rsidRPr="00930FF2">
              <w:rPr>
                <w:b/>
                <w:sz w:val="22"/>
                <w:szCs w:val="22"/>
                <w:lang w:eastAsia="en-GB"/>
              </w:rPr>
              <w:t>201</w:t>
            </w:r>
            <w:r w:rsidR="001C152D" w:rsidRPr="00930FF2">
              <w:rPr>
                <w:b/>
                <w:sz w:val="22"/>
                <w:szCs w:val="22"/>
                <w:lang w:eastAsia="en-GB"/>
              </w:rPr>
              <w:t>4</w:t>
            </w:r>
            <w:r w:rsidRPr="00930FF2">
              <w:rPr>
                <w:b/>
                <w:sz w:val="22"/>
                <w:szCs w:val="22"/>
                <w:lang w:eastAsia="en-GB"/>
              </w:rPr>
              <w:t>. god.</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bCs/>
                <w:sz w:val="22"/>
                <w:szCs w:val="22"/>
                <w:lang w:eastAsia="en-GB"/>
              </w:rPr>
              <w:t xml:space="preserve">      UKUPNA IMOVINA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26.957.243</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31.934.924</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sz w:val="22"/>
                <w:szCs w:val="22"/>
                <w:lang w:eastAsia="en-GB"/>
              </w:rPr>
              <w:t xml:space="preserve"> I - Gotovina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510.154</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329.776</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II  1. Ulaganja fonda u finansijska sredstva raspoloživa za prodaju</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11.024.481</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15.699.741</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2. Ulaganja fonda u finansijska sredstva po fer vrijednosti kroz bilans uspjeha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15.410.131</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15.891.795</w:t>
            </w:r>
          </w:p>
        </w:tc>
      </w:tr>
      <w:tr w:rsidR="003967F1" w:rsidRPr="00930FF2" w:rsidTr="003967F1">
        <w:trPr>
          <w:trHeight w:val="36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III Depoziti i plasmani</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 xml:space="preserve">IV   Potraživanja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7F1" w:rsidRPr="00930FF2" w:rsidRDefault="003967F1" w:rsidP="003967F1">
            <w:pPr>
              <w:ind w:left="0" w:firstLine="0"/>
              <w:contextualSpacing/>
              <w:rPr>
                <w:sz w:val="22"/>
                <w:szCs w:val="22"/>
                <w:lang w:eastAsia="en-GB"/>
              </w:rPr>
            </w:pPr>
            <w:r w:rsidRPr="00930FF2">
              <w:rPr>
                <w:bCs/>
                <w:sz w:val="22"/>
                <w:szCs w:val="22"/>
                <w:lang w:eastAsia="en-GB"/>
              </w:rPr>
              <w:t xml:space="preserve">     OBAVEZE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1.946.767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1.884.942</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sz w:val="22"/>
                <w:szCs w:val="22"/>
                <w:lang w:eastAsia="en-GB"/>
              </w:rPr>
              <w:t xml:space="preserve">V-Obaveze po osnovu troškova poslovanja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12.718</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14.844</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VI- Obaveze prema društvu za upavljanje</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1.784.222</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1.861.636</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bCs/>
                <w:sz w:val="22"/>
                <w:szCs w:val="22"/>
                <w:lang w:eastAsia="en-GB"/>
              </w:rPr>
              <w:t xml:space="preserve">     NETO IMOVINA FONDA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25.011.476</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30.049.982</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KAPITAL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bCs/>
                <w:sz w:val="22"/>
                <w:szCs w:val="22"/>
                <w:lang w:eastAsia="en-GB"/>
              </w:rPr>
            </w:pPr>
            <w:r w:rsidRPr="00930FF2">
              <w:rPr>
                <w:bCs/>
                <w:sz w:val="22"/>
                <w:szCs w:val="22"/>
                <w:lang w:eastAsia="en-GB"/>
              </w:rPr>
              <w:t>25.011.476</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30.049.982</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Osnovni  akcijski kapital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187.191.287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187.191.287</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Kapitalne rezerve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2.619.595</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2.619.595</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Rev. rezerve po osnovu fin.sredstava raspoloživih za prodaju</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205769">
            <w:pPr>
              <w:ind w:left="0" w:firstLine="0"/>
              <w:contextualSpacing/>
              <w:jc w:val="right"/>
              <w:rPr>
                <w:sz w:val="22"/>
                <w:szCs w:val="22"/>
                <w:lang w:eastAsia="en-GB"/>
              </w:rPr>
            </w:pPr>
            <w:r w:rsidRPr="00930FF2">
              <w:rPr>
                <w:sz w:val="22"/>
                <w:szCs w:val="22"/>
                <w:lang w:eastAsia="en-GB"/>
              </w:rPr>
              <w:t>-</w:t>
            </w:r>
            <w:r w:rsidR="00205769" w:rsidRPr="00930FF2">
              <w:rPr>
                <w:sz w:val="22"/>
                <w:szCs w:val="22"/>
                <w:lang w:eastAsia="en-GB"/>
              </w:rPr>
              <w:t>45.888.357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-42.626.279</w:t>
            </w:r>
          </w:p>
        </w:tc>
      </w:tr>
      <w:tr w:rsidR="003967F1" w:rsidRPr="00930FF2" w:rsidTr="003967F1">
        <w:trPr>
          <w:trHeight w:val="31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Neraspoređena dobit ranijih godina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0</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Nepokriveni gubitak</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103.818.590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103.223.288</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sz w:val="22"/>
                <w:szCs w:val="22"/>
                <w:lang w:eastAsia="en-GB"/>
              </w:rPr>
              <w:t>1. Nepokriven gubitak ranijih godina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103.223.288</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94.999.907</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sz w:val="22"/>
                <w:szCs w:val="22"/>
                <w:lang w:eastAsia="en-GB"/>
              </w:rPr>
              <w:t>2. Nepokriven gubitak tekuće godine</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595.302</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8.233.381</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sz w:val="22"/>
                <w:szCs w:val="22"/>
                <w:lang w:eastAsia="en-GB"/>
              </w:rPr>
            </w:pPr>
            <w:r w:rsidRPr="00930FF2">
              <w:rPr>
                <w:bCs/>
                <w:sz w:val="22"/>
                <w:szCs w:val="22"/>
                <w:lang w:eastAsia="en-GB"/>
              </w:rPr>
              <w:t xml:space="preserve">     BROJ EMITOVANIH AKCIJA/UDJELA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187.191.287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187.191.287</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     NETO IMOVINA PO UDJELU/AKCIJI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3967F1" w:rsidP="003967F1">
            <w:pPr>
              <w:ind w:left="0" w:firstLine="0"/>
              <w:contextualSpacing/>
              <w:jc w:val="right"/>
              <w:rPr>
                <w:sz w:val="22"/>
                <w:szCs w:val="22"/>
                <w:lang w:eastAsia="en-GB"/>
              </w:rPr>
            </w:pPr>
            <w:r w:rsidRPr="00930FF2">
              <w:rPr>
                <w:sz w:val="22"/>
                <w:szCs w:val="22"/>
                <w:lang w:eastAsia="en-GB"/>
              </w:rPr>
              <w:t>0,16</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0,16</w:t>
            </w:r>
          </w:p>
        </w:tc>
      </w:tr>
      <w:tr w:rsidR="00205132" w:rsidRPr="00930FF2" w:rsidTr="003967F1">
        <w:trPr>
          <w:trHeight w:val="300"/>
        </w:trPr>
        <w:tc>
          <w:tcPr>
            <w:tcW w:w="8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3967F1">
            <w:pPr>
              <w:ind w:left="0" w:firstLine="0"/>
              <w:contextualSpacing/>
              <w:rPr>
                <w:bCs/>
                <w:sz w:val="22"/>
                <w:szCs w:val="22"/>
                <w:lang w:eastAsia="en-GB"/>
              </w:rPr>
            </w:pPr>
            <w:r w:rsidRPr="00930FF2">
              <w:rPr>
                <w:bCs/>
                <w:sz w:val="22"/>
                <w:szCs w:val="22"/>
                <w:lang w:eastAsia="en-GB"/>
              </w:rPr>
              <w:t xml:space="preserve">  PRIHODI I RASHODI</w:t>
            </w:r>
            <w:r w:rsidRPr="00930FF2">
              <w:rPr>
                <w:sz w:val="22"/>
                <w:szCs w:val="22"/>
                <w:lang w:eastAsia="en-GB"/>
              </w:rPr>
              <w:t> </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I - Poslovni prihodi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1.487.647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962.781</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II - Realizovan dobitak od prodaje HOV</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bCs/>
                <w:sz w:val="22"/>
                <w:szCs w:val="22"/>
                <w:lang w:eastAsia="en-GB"/>
              </w:rPr>
            </w:pPr>
            <w:r w:rsidRPr="00930FF2">
              <w:rPr>
                <w:bCs/>
                <w:sz w:val="22"/>
                <w:szCs w:val="22"/>
                <w:lang w:eastAsia="en-GB"/>
              </w:rPr>
              <w:t>9.979</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12.383</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III - Poslovni rashodi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527.591</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692.209</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IV - Realizovani gubitak od prodaje HOV</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bCs/>
                <w:sz w:val="22"/>
                <w:szCs w:val="22"/>
                <w:lang w:eastAsia="en-GB"/>
              </w:rPr>
            </w:pPr>
            <w:r w:rsidRPr="00930FF2">
              <w:rPr>
                <w:bCs/>
                <w:sz w:val="22"/>
                <w:szCs w:val="22"/>
                <w:lang w:eastAsia="en-GB"/>
              </w:rPr>
              <w:t>1.565.337</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8.506.354</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VI - Finansijski prihodi ( od kamata)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bCs/>
                <w:sz w:val="22"/>
                <w:szCs w:val="22"/>
                <w:lang w:eastAsia="en-GB"/>
              </w:rPr>
            </w:pPr>
            <w:r w:rsidRPr="00930FF2">
              <w:rPr>
                <w:bCs/>
                <w:sz w:val="22"/>
                <w:szCs w:val="22"/>
                <w:lang w:eastAsia="en-GB"/>
              </w:rPr>
              <w:t>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18</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REALIZOV.  DOB. I GUB. PRIJE  OPOREZIVANjA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595.302</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8.223.381</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7F1" w:rsidRPr="00930FF2" w:rsidRDefault="003967F1" w:rsidP="003967F1">
            <w:pPr>
              <w:ind w:left="0" w:firstLine="0"/>
              <w:contextualSpacing/>
              <w:rPr>
                <w:bCs/>
                <w:sz w:val="22"/>
                <w:szCs w:val="22"/>
                <w:lang w:eastAsia="en-GB"/>
              </w:rPr>
            </w:pPr>
            <w:r w:rsidRPr="00930FF2">
              <w:rPr>
                <w:bCs/>
                <w:sz w:val="22"/>
                <w:szCs w:val="22"/>
                <w:lang w:eastAsia="en-GB"/>
              </w:rPr>
              <w:t>REALIZOV.  DOB. I GUB. POSLIJE OPOREZIVANjA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bCs/>
                <w:sz w:val="22"/>
                <w:szCs w:val="22"/>
                <w:lang w:eastAsia="en-GB"/>
              </w:rPr>
            </w:pPr>
            <w:r w:rsidRPr="00930FF2">
              <w:rPr>
                <w:bCs/>
                <w:sz w:val="22"/>
                <w:szCs w:val="22"/>
                <w:lang w:eastAsia="en-GB"/>
              </w:rPr>
              <w:t>595.302</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67F1" w:rsidRPr="00930FF2" w:rsidRDefault="003967F1" w:rsidP="003967F1">
            <w:pPr>
              <w:ind w:left="0" w:firstLine="0"/>
              <w:contextualSpacing/>
              <w:jc w:val="right"/>
              <w:rPr>
                <w:bCs/>
                <w:sz w:val="22"/>
                <w:szCs w:val="22"/>
                <w:lang w:eastAsia="en-GB"/>
              </w:rPr>
            </w:pPr>
            <w:r w:rsidRPr="00930FF2">
              <w:rPr>
                <w:bCs/>
                <w:sz w:val="22"/>
                <w:szCs w:val="22"/>
                <w:lang w:eastAsia="en-GB"/>
              </w:rPr>
              <w:t>8.223.381</w:t>
            </w:r>
          </w:p>
        </w:tc>
      </w:tr>
      <w:tr w:rsidR="00205132" w:rsidRPr="00930FF2" w:rsidTr="003967F1">
        <w:trPr>
          <w:trHeight w:val="349"/>
        </w:trPr>
        <w:tc>
          <w:tcPr>
            <w:tcW w:w="8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05132" w:rsidRPr="00930FF2" w:rsidRDefault="00205132" w:rsidP="003967F1">
            <w:pPr>
              <w:ind w:left="0" w:firstLine="0"/>
              <w:contextualSpacing/>
              <w:rPr>
                <w:sz w:val="22"/>
                <w:szCs w:val="22"/>
                <w:lang w:eastAsia="en-GB"/>
              </w:rPr>
            </w:pPr>
            <w:r w:rsidRPr="00930FF2">
              <w:rPr>
                <w:sz w:val="22"/>
                <w:szCs w:val="22"/>
                <w:lang w:eastAsia="en-GB"/>
              </w:rPr>
              <w:lastRenderedPageBreak/>
              <w:t>TOKOVI GOTOVINE</w:t>
            </w:r>
          </w:p>
        </w:tc>
      </w:tr>
      <w:tr w:rsidR="003967F1" w:rsidRPr="00930FF2" w:rsidTr="003967F1">
        <w:trPr>
          <w:trHeight w:val="349"/>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UKUPAN PRILIV GOTOVINE</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1.906.914</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1.319.197</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UKUPAN ODLIV GOTOVINE</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1.726.536</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1.860.324</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D.NETO PRILIV GOTOVINE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180.378</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205769" w:rsidP="003967F1">
            <w:pPr>
              <w:ind w:left="0" w:firstLine="0"/>
              <w:contextualSpacing/>
              <w:jc w:val="right"/>
              <w:rPr>
                <w:sz w:val="22"/>
                <w:szCs w:val="22"/>
                <w:lang w:eastAsia="en-GB"/>
              </w:rPr>
            </w:pPr>
            <w:r w:rsidRPr="00930FF2">
              <w:rPr>
                <w:sz w:val="22"/>
                <w:szCs w:val="22"/>
                <w:lang w:eastAsia="en-GB"/>
              </w:rPr>
              <w:t>0</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 xml:space="preserve">Đ.NETO ODLIV GOTOVINE </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0</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541.127</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E. Gotovina na početku perioda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329.776</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870.903</w:t>
            </w:r>
          </w:p>
        </w:tc>
      </w:tr>
      <w:tr w:rsidR="003967F1" w:rsidRPr="00930FF2" w:rsidTr="003967F1">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rPr>
                <w:bCs/>
                <w:sz w:val="22"/>
                <w:szCs w:val="22"/>
                <w:lang w:eastAsia="en-GB"/>
              </w:rPr>
            </w:pPr>
            <w:r w:rsidRPr="00930FF2">
              <w:rPr>
                <w:bCs/>
                <w:sz w:val="22"/>
                <w:szCs w:val="22"/>
                <w:lang w:eastAsia="en-GB"/>
              </w:rPr>
              <w:t>I. GOTOVINA NA KRAJU OBRAČUNSKOG PERIODA</w:t>
            </w:r>
          </w:p>
        </w:tc>
        <w:tc>
          <w:tcPr>
            <w:tcW w:w="1316" w:type="dxa"/>
            <w:gridSpan w:val="2"/>
            <w:tcBorders>
              <w:top w:val="single" w:sz="4" w:space="0" w:color="auto"/>
              <w:left w:val="single" w:sz="4" w:space="0" w:color="auto"/>
              <w:bottom w:val="single" w:sz="4" w:space="0" w:color="auto"/>
              <w:right w:val="single" w:sz="4" w:space="0" w:color="auto"/>
            </w:tcBorders>
            <w:vAlign w:val="bottom"/>
          </w:tcPr>
          <w:p w:rsidR="003967F1" w:rsidRPr="00930FF2" w:rsidRDefault="00205769" w:rsidP="003967F1">
            <w:pPr>
              <w:ind w:left="0" w:firstLine="0"/>
              <w:contextualSpacing/>
              <w:jc w:val="right"/>
              <w:rPr>
                <w:sz w:val="22"/>
                <w:szCs w:val="22"/>
                <w:lang w:eastAsia="en-GB"/>
              </w:rPr>
            </w:pPr>
            <w:r w:rsidRPr="00930FF2">
              <w:rPr>
                <w:sz w:val="22"/>
                <w:szCs w:val="22"/>
                <w:lang w:eastAsia="en-GB"/>
              </w:rPr>
              <w:t>510.154</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7F1" w:rsidRPr="00930FF2" w:rsidRDefault="003967F1" w:rsidP="003967F1">
            <w:pPr>
              <w:ind w:left="0" w:firstLine="0"/>
              <w:contextualSpacing/>
              <w:jc w:val="right"/>
              <w:rPr>
                <w:sz w:val="22"/>
                <w:szCs w:val="22"/>
                <w:lang w:eastAsia="en-GB"/>
              </w:rPr>
            </w:pPr>
            <w:r w:rsidRPr="00930FF2">
              <w:rPr>
                <w:sz w:val="22"/>
                <w:szCs w:val="22"/>
                <w:lang w:eastAsia="en-GB"/>
              </w:rPr>
              <w:t>329.776</w:t>
            </w:r>
          </w:p>
        </w:tc>
      </w:tr>
    </w:tbl>
    <w:p w:rsidR="00205132" w:rsidRPr="00930FF2" w:rsidRDefault="003967F1" w:rsidP="00205132">
      <w:pPr>
        <w:ind w:left="0" w:firstLine="0"/>
        <w:contextualSpacing/>
        <w:rPr>
          <w:color w:val="FF0000"/>
        </w:rPr>
      </w:pPr>
      <w:r w:rsidRPr="00930FF2">
        <w:rPr>
          <w:color w:val="FF0000"/>
        </w:rPr>
        <w:br w:type="textWrapping" w:clear="all"/>
      </w:r>
    </w:p>
    <w:tbl>
      <w:tblPr>
        <w:tblW w:w="10711" w:type="dxa"/>
        <w:tblInd w:w="250" w:type="dxa"/>
        <w:tblLook w:val="04A0"/>
      </w:tblPr>
      <w:tblGrid>
        <w:gridCol w:w="1418"/>
        <w:gridCol w:w="4586"/>
        <w:gridCol w:w="1316"/>
        <w:gridCol w:w="122"/>
        <w:gridCol w:w="1296"/>
        <w:gridCol w:w="677"/>
        <w:gridCol w:w="1296"/>
      </w:tblGrid>
      <w:tr w:rsidR="00205132" w:rsidRPr="00930FF2" w:rsidTr="00205132">
        <w:trPr>
          <w:trHeight w:val="300"/>
        </w:trPr>
        <w:tc>
          <w:tcPr>
            <w:tcW w:w="9415" w:type="dxa"/>
            <w:gridSpan w:val="6"/>
            <w:tcBorders>
              <w:top w:val="nil"/>
              <w:left w:val="nil"/>
              <w:bottom w:val="nil"/>
              <w:right w:val="nil"/>
            </w:tcBorders>
            <w:shd w:val="clear" w:color="auto" w:fill="auto"/>
            <w:noWrap/>
            <w:vAlign w:val="bottom"/>
            <w:hideMark/>
          </w:tcPr>
          <w:p w:rsidR="00205132" w:rsidRPr="00930FF2" w:rsidRDefault="00205132" w:rsidP="001C152D">
            <w:pPr>
              <w:ind w:left="0" w:firstLine="0"/>
              <w:contextualSpacing/>
              <w:rPr>
                <w:bCs/>
                <w:color w:val="000000"/>
                <w:sz w:val="22"/>
                <w:szCs w:val="22"/>
                <w:lang w:eastAsia="en-GB"/>
              </w:rPr>
            </w:pPr>
            <w:r w:rsidRPr="00930FF2">
              <w:rPr>
                <w:bCs/>
                <w:color w:val="000000"/>
                <w:sz w:val="22"/>
                <w:szCs w:val="22"/>
                <w:lang w:eastAsia="en-GB"/>
              </w:rPr>
              <w:t xml:space="preserve">IZABRANE FINANSIJSKE INFORMACIJE  NA DAN </w:t>
            </w:r>
            <w:r w:rsidRPr="00930FF2">
              <w:rPr>
                <w:bCs/>
                <w:sz w:val="22"/>
                <w:szCs w:val="22"/>
                <w:lang w:eastAsia="en-GB"/>
              </w:rPr>
              <w:t>3</w:t>
            </w:r>
            <w:r w:rsidR="001C152D" w:rsidRPr="00930FF2">
              <w:rPr>
                <w:bCs/>
                <w:sz w:val="22"/>
                <w:szCs w:val="22"/>
                <w:lang w:eastAsia="en-GB"/>
              </w:rPr>
              <w:t>0.06</w:t>
            </w:r>
            <w:r w:rsidRPr="00930FF2">
              <w:rPr>
                <w:bCs/>
                <w:sz w:val="22"/>
                <w:szCs w:val="22"/>
                <w:lang w:eastAsia="en-GB"/>
              </w:rPr>
              <w:t>.201</w:t>
            </w:r>
            <w:r w:rsidR="001C152D" w:rsidRPr="00930FF2">
              <w:rPr>
                <w:bCs/>
                <w:sz w:val="22"/>
                <w:szCs w:val="22"/>
                <w:lang w:eastAsia="en-GB"/>
              </w:rPr>
              <w:t>6</w:t>
            </w:r>
            <w:r w:rsidRPr="00930FF2">
              <w:rPr>
                <w:bCs/>
                <w:sz w:val="22"/>
                <w:szCs w:val="22"/>
                <w:lang w:eastAsia="en-GB"/>
              </w:rPr>
              <w:t>. GODINE</w:t>
            </w:r>
          </w:p>
        </w:tc>
        <w:tc>
          <w:tcPr>
            <w:tcW w:w="1296" w:type="dxa"/>
            <w:tcBorders>
              <w:top w:val="nil"/>
              <w:left w:val="nil"/>
              <w:bottom w:val="nil"/>
              <w:right w:val="nil"/>
            </w:tcBorders>
            <w:shd w:val="clear" w:color="auto" w:fill="auto"/>
            <w:noWrap/>
            <w:vAlign w:val="bottom"/>
            <w:hideMark/>
          </w:tcPr>
          <w:p w:rsidR="00205132" w:rsidRPr="00930FF2" w:rsidRDefault="00205132" w:rsidP="00205132">
            <w:pPr>
              <w:ind w:left="0" w:firstLine="0"/>
              <w:contextualSpacing/>
              <w:rPr>
                <w:color w:val="000000"/>
                <w:sz w:val="22"/>
                <w:szCs w:val="22"/>
                <w:lang w:eastAsia="en-GB"/>
              </w:rPr>
            </w:pPr>
          </w:p>
        </w:tc>
      </w:tr>
      <w:tr w:rsidR="00205132" w:rsidRPr="00930FF2" w:rsidTr="00205132">
        <w:trPr>
          <w:gridAfter w:val="2"/>
          <w:wAfter w:w="1993" w:type="dxa"/>
          <w:trHeight w:val="300"/>
        </w:trPr>
        <w:tc>
          <w:tcPr>
            <w:tcW w:w="1418" w:type="dxa"/>
            <w:tcBorders>
              <w:top w:val="nil"/>
              <w:left w:val="nil"/>
              <w:bottom w:val="nil"/>
              <w:right w:val="nil"/>
            </w:tcBorders>
            <w:shd w:val="clear" w:color="auto" w:fill="auto"/>
            <w:noWrap/>
            <w:vAlign w:val="bottom"/>
            <w:hideMark/>
          </w:tcPr>
          <w:p w:rsidR="00205132" w:rsidRPr="00930FF2" w:rsidRDefault="00205132" w:rsidP="00205132">
            <w:pPr>
              <w:ind w:left="0" w:firstLine="0"/>
              <w:contextualSpacing/>
              <w:rPr>
                <w:color w:val="000000"/>
                <w:sz w:val="22"/>
                <w:szCs w:val="22"/>
                <w:lang w:eastAsia="en-GB"/>
              </w:rPr>
            </w:pPr>
          </w:p>
        </w:tc>
        <w:tc>
          <w:tcPr>
            <w:tcW w:w="6004" w:type="dxa"/>
            <w:gridSpan w:val="3"/>
            <w:tcBorders>
              <w:top w:val="nil"/>
              <w:left w:val="nil"/>
              <w:bottom w:val="nil"/>
              <w:right w:val="nil"/>
            </w:tcBorders>
            <w:shd w:val="clear" w:color="auto" w:fill="auto"/>
            <w:noWrap/>
            <w:vAlign w:val="bottom"/>
            <w:hideMark/>
          </w:tcPr>
          <w:p w:rsidR="00205132" w:rsidRPr="00930FF2" w:rsidRDefault="00205132" w:rsidP="00205132">
            <w:pPr>
              <w:ind w:left="0" w:firstLine="0"/>
              <w:contextualSpacing/>
              <w:rPr>
                <w:color w:val="000000"/>
                <w:sz w:val="22"/>
                <w:szCs w:val="22"/>
                <w:lang w:eastAsia="en-GB"/>
              </w:rPr>
            </w:pPr>
          </w:p>
        </w:tc>
        <w:tc>
          <w:tcPr>
            <w:tcW w:w="1296" w:type="dxa"/>
            <w:tcBorders>
              <w:top w:val="nil"/>
              <w:left w:val="nil"/>
              <w:bottom w:val="nil"/>
              <w:right w:val="nil"/>
            </w:tcBorders>
            <w:shd w:val="clear" w:color="auto" w:fill="auto"/>
            <w:noWrap/>
            <w:vAlign w:val="bottom"/>
            <w:hideMark/>
          </w:tcPr>
          <w:p w:rsidR="00205132" w:rsidRPr="00930FF2" w:rsidRDefault="00205132" w:rsidP="00205132">
            <w:pPr>
              <w:ind w:left="0" w:firstLine="0"/>
              <w:contextualSpacing/>
              <w:rPr>
                <w:color w:val="000000"/>
                <w:sz w:val="22"/>
                <w:szCs w:val="22"/>
                <w:lang w:eastAsia="en-GB"/>
              </w:rPr>
            </w:pPr>
            <w:r w:rsidRPr="00930FF2">
              <w:rPr>
                <w:color w:val="000000"/>
                <w:sz w:val="22"/>
                <w:szCs w:val="22"/>
                <w:lang w:eastAsia="en-GB"/>
              </w:rPr>
              <w:t>(u KM)</w:t>
            </w:r>
          </w:p>
        </w:tc>
      </w:tr>
      <w:tr w:rsidR="00205132" w:rsidRPr="00930FF2" w:rsidTr="009C1D7C">
        <w:trPr>
          <w:gridAfter w:val="2"/>
          <w:wAfter w:w="1993" w:type="dxa"/>
          <w:trHeight w:val="409"/>
        </w:trPr>
        <w:tc>
          <w:tcPr>
            <w:tcW w:w="6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5132" w:rsidRPr="00930FF2" w:rsidRDefault="00205132" w:rsidP="00205132">
            <w:pPr>
              <w:ind w:left="0" w:firstLine="0"/>
              <w:contextualSpacing/>
              <w:rPr>
                <w:b/>
                <w:sz w:val="22"/>
                <w:szCs w:val="22"/>
                <w:lang w:eastAsia="en-GB"/>
              </w:rPr>
            </w:pPr>
            <w:r w:rsidRPr="00930FF2">
              <w:rPr>
                <w:b/>
                <w:sz w:val="22"/>
                <w:szCs w:val="22"/>
                <w:lang w:eastAsia="en-GB"/>
              </w:rPr>
              <w:t>Pozicija</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205132" w:rsidRPr="00930FF2" w:rsidRDefault="001C152D" w:rsidP="001C152D">
            <w:pPr>
              <w:ind w:left="0" w:firstLine="0"/>
              <w:contextualSpacing/>
              <w:rPr>
                <w:b/>
                <w:sz w:val="22"/>
                <w:szCs w:val="22"/>
                <w:lang w:eastAsia="en-GB"/>
              </w:rPr>
            </w:pPr>
            <w:r w:rsidRPr="00930FF2">
              <w:rPr>
                <w:b/>
                <w:sz w:val="22"/>
                <w:szCs w:val="22"/>
                <w:lang w:eastAsia="en-GB"/>
              </w:rPr>
              <w:t>30.06.</w:t>
            </w:r>
            <w:r w:rsidR="00205132" w:rsidRPr="00930FF2">
              <w:rPr>
                <w:b/>
                <w:sz w:val="22"/>
                <w:szCs w:val="22"/>
                <w:lang w:eastAsia="en-GB"/>
              </w:rPr>
              <w:t>201</w:t>
            </w:r>
            <w:r w:rsidRPr="00930FF2">
              <w:rPr>
                <w:b/>
                <w:sz w:val="22"/>
                <w:szCs w:val="22"/>
                <w:lang w:eastAsia="en-GB"/>
              </w:rPr>
              <w:t>6</w:t>
            </w:r>
            <w:r w:rsidR="00205132" w:rsidRPr="00930FF2">
              <w:rPr>
                <w:b/>
                <w:sz w:val="22"/>
                <w:szCs w:val="22"/>
                <w:lang w:eastAsia="en-GB"/>
              </w:rPr>
              <w:t>. god.</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C152D" w:rsidP="001C152D">
            <w:pPr>
              <w:ind w:left="0" w:firstLine="0"/>
              <w:contextualSpacing/>
              <w:rPr>
                <w:b/>
                <w:sz w:val="22"/>
                <w:szCs w:val="22"/>
                <w:lang w:eastAsia="en-GB"/>
              </w:rPr>
            </w:pPr>
            <w:r w:rsidRPr="00930FF2">
              <w:rPr>
                <w:b/>
                <w:sz w:val="22"/>
                <w:szCs w:val="22"/>
                <w:lang w:eastAsia="en-GB"/>
              </w:rPr>
              <w:t>30.06.</w:t>
            </w:r>
            <w:r w:rsidR="00205132" w:rsidRPr="00930FF2">
              <w:rPr>
                <w:b/>
                <w:sz w:val="22"/>
                <w:szCs w:val="22"/>
                <w:lang w:eastAsia="en-GB"/>
              </w:rPr>
              <w:t>201</w:t>
            </w:r>
            <w:r w:rsidRPr="00930FF2">
              <w:rPr>
                <w:b/>
                <w:sz w:val="22"/>
                <w:szCs w:val="22"/>
                <w:lang w:eastAsia="en-GB"/>
              </w:rPr>
              <w:t>5</w:t>
            </w:r>
            <w:r w:rsidR="00205132" w:rsidRPr="00930FF2">
              <w:rPr>
                <w:b/>
                <w:sz w:val="22"/>
                <w:szCs w:val="22"/>
                <w:lang w:eastAsia="en-GB"/>
              </w:rPr>
              <w:t xml:space="preserve"> god.</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UKUPNA IMOVINA </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24.919.078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26.957.243</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 xml:space="preserve"> I - Gotovina</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977.591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510.154</w:t>
            </w:r>
          </w:p>
        </w:tc>
      </w:tr>
      <w:tr w:rsidR="00205132" w:rsidRPr="00930FF2" w:rsidTr="009C1D7C">
        <w:trPr>
          <w:gridAfter w:val="2"/>
          <w:wAfter w:w="1993" w:type="dxa"/>
          <w:trHeight w:val="369"/>
        </w:trPr>
        <w:tc>
          <w:tcPr>
            <w:tcW w:w="6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 xml:space="preserve">II </w:t>
            </w:r>
            <w:r w:rsidR="0018266D" w:rsidRPr="00930FF2">
              <w:rPr>
                <w:sz w:val="22"/>
                <w:szCs w:val="22"/>
                <w:lang w:eastAsia="en-GB"/>
              </w:rPr>
              <w:t xml:space="preserve">1. </w:t>
            </w:r>
            <w:r w:rsidRPr="00930FF2">
              <w:rPr>
                <w:sz w:val="22"/>
                <w:szCs w:val="22"/>
                <w:lang w:eastAsia="en-GB"/>
              </w:rPr>
              <w:t xml:space="preserve"> Ulaganja fonda u finansijska sredstva raspoloživa za prodaju</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F02326" w:rsidP="0018266D">
            <w:pPr>
              <w:ind w:left="0" w:firstLine="0"/>
              <w:contextualSpacing/>
              <w:jc w:val="right"/>
              <w:rPr>
                <w:sz w:val="22"/>
                <w:szCs w:val="22"/>
              </w:rPr>
            </w:pPr>
            <w:r w:rsidRPr="00930FF2">
              <w:rPr>
                <w:sz w:val="22"/>
                <w:szCs w:val="22"/>
              </w:rPr>
              <w:t>11.</w:t>
            </w:r>
            <w:r w:rsidR="0018266D" w:rsidRPr="00930FF2">
              <w:rPr>
                <w:sz w:val="22"/>
                <w:szCs w:val="22"/>
              </w:rPr>
              <w:t>617.198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F02326" w:rsidP="0018266D">
            <w:pPr>
              <w:ind w:left="0" w:firstLine="0"/>
              <w:contextualSpacing/>
              <w:jc w:val="right"/>
              <w:rPr>
                <w:sz w:val="22"/>
                <w:szCs w:val="22"/>
              </w:rPr>
            </w:pPr>
            <w:r w:rsidRPr="00930FF2">
              <w:rPr>
                <w:sz w:val="22"/>
                <w:szCs w:val="22"/>
              </w:rPr>
              <w:t>11</w:t>
            </w:r>
            <w:r w:rsidR="0018266D" w:rsidRPr="00930FF2">
              <w:rPr>
                <w:sz w:val="22"/>
                <w:szCs w:val="22"/>
              </w:rPr>
              <w:t>.024.481</w:t>
            </w:r>
          </w:p>
        </w:tc>
      </w:tr>
      <w:tr w:rsidR="0018266D" w:rsidRPr="00930FF2" w:rsidTr="009C1D7C">
        <w:trPr>
          <w:gridAfter w:val="2"/>
          <w:wAfter w:w="1993" w:type="dxa"/>
          <w:trHeight w:val="369"/>
        </w:trPr>
        <w:tc>
          <w:tcPr>
            <w:tcW w:w="6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66D" w:rsidRPr="00930FF2" w:rsidRDefault="0018266D" w:rsidP="00205132">
            <w:pPr>
              <w:ind w:left="0" w:firstLine="0"/>
              <w:contextualSpacing/>
              <w:rPr>
                <w:sz w:val="22"/>
                <w:szCs w:val="22"/>
                <w:lang w:eastAsia="en-GB"/>
              </w:rPr>
            </w:pPr>
            <w:r w:rsidRPr="00930FF2">
              <w:rPr>
                <w:sz w:val="22"/>
                <w:szCs w:val="22"/>
                <w:lang w:eastAsia="en-GB"/>
              </w:rPr>
              <w:t>2. Ulaganja fonda u finansijska sredstva po fer vrijednosti kroz bilans uspjeha</w:t>
            </w:r>
          </w:p>
        </w:tc>
        <w:tc>
          <w:tcPr>
            <w:tcW w:w="1296" w:type="dxa"/>
            <w:tcBorders>
              <w:top w:val="nil"/>
              <w:left w:val="nil"/>
              <w:bottom w:val="single" w:sz="4" w:space="0" w:color="auto"/>
              <w:right w:val="single" w:sz="4" w:space="0" w:color="auto"/>
            </w:tcBorders>
            <w:shd w:val="clear" w:color="auto" w:fill="auto"/>
            <w:noWrap/>
            <w:vAlign w:val="bottom"/>
            <w:hideMark/>
          </w:tcPr>
          <w:p w:rsidR="0018266D" w:rsidRPr="00930FF2" w:rsidRDefault="0018266D" w:rsidP="0018266D">
            <w:pPr>
              <w:ind w:left="0" w:firstLine="0"/>
              <w:contextualSpacing/>
              <w:jc w:val="right"/>
              <w:rPr>
                <w:sz w:val="22"/>
                <w:szCs w:val="22"/>
              </w:rPr>
            </w:pPr>
            <w:r w:rsidRPr="00930FF2">
              <w:rPr>
                <w:sz w:val="22"/>
                <w:szCs w:val="22"/>
              </w:rPr>
              <w:t>12.303.591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8266D" w:rsidRPr="00930FF2" w:rsidRDefault="0018266D" w:rsidP="0018266D">
            <w:pPr>
              <w:ind w:left="0" w:firstLine="0"/>
              <w:contextualSpacing/>
              <w:jc w:val="right"/>
              <w:rPr>
                <w:sz w:val="22"/>
                <w:szCs w:val="22"/>
              </w:rPr>
            </w:pPr>
            <w:r w:rsidRPr="00930FF2">
              <w:rPr>
                <w:sz w:val="22"/>
                <w:szCs w:val="22"/>
              </w:rPr>
              <w:t>15.410.131</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III Depoziti i plasmani</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F02326" w:rsidP="00205132">
            <w:pPr>
              <w:ind w:left="0" w:firstLine="0"/>
              <w:contextualSpacing/>
              <w:jc w:val="right"/>
              <w:rPr>
                <w:sz w:val="22"/>
                <w:szCs w:val="22"/>
                <w:lang w:eastAsia="en-GB"/>
              </w:rPr>
            </w:pPr>
            <w:r w:rsidRPr="00930FF2">
              <w:rPr>
                <w:sz w:val="22"/>
                <w:szCs w:val="22"/>
                <w:lang w:eastAsia="en-GB"/>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F02326" w:rsidP="00205132">
            <w:pPr>
              <w:ind w:left="0" w:firstLine="0"/>
              <w:contextualSpacing/>
              <w:jc w:val="right"/>
              <w:rPr>
                <w:sz w:val="22"/>
                <w:szCs w:val="22"/>
                <w:lang w:eastAsia="en-GB"/>
              </w:rPr>
            </w:pPr>
            <w:r w:rsidRPr="00930FF2">
              <w:rPr>
                <w:sz w:val="22"/>
                <w:szCs w:val="22"/>
                <w:lang w:eastAsia="en-GB"/>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 xml:space="preserve">IV   Potraživanja </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4A23D9" w:rsidP="00205132">
            <w:pPr>
              <w:ind w:left="0" w:firstLine="0"/>
              <w:contextualSpacing/>
              <w:jc w:val="right"/>
              <w:rPr>
                <w:sz w:val="22"/>
                <w:szCs w:val="22"/>
              </w:rPr>
            </w:pPr>
            <w:r w:rsidRPr="00930FF2">
              <w:rPr>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4A23D9" w:rsidP="00205132">
            <w:pPr>
              <w:ind w:left="0" w:firstLine="0"/>
              <w:contextualSpacing/>
              <w:jc w:val="right"/>
              <w:rPr>
                <w:sz w:val="22"/>
                <w:szCs w:val="22"/>
              </w:rPr>
            </w:pPr>
            <w:r w:rsidRPr="00930FF2">
              <w:rPr>
                <w:sz w:val="22"/>
                <w:szCs w:val="22"/>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OBAVEZE</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jc w:val="right"/>
              <w:rPr>
                <w:sz w:val="22"/>
                <w:szCs w:val="22"/>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jc w:val="right"/>
              <w:rPr>
                <w:sz w:val="22"/>
                <w:szCs w:val="22"/>
              </w:rPr>
            </w:pP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 xml:space="preserve">V-Obaveze po osnovu troškova poslovanja </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18266D">
            <w:pPr>
              <w:ind w:left="0" w:firstLine="0"/>
              <w:contextualSpacing/>
              <w:jc w:val="right"/>
              <w:rPr>
                <w:sz w:val="22"/>
                <w:szCs w:val="22"/>
              </w:rPr>
            </w:pPr>
            <w:r w:rsidRPr="00930FF2">
              <w:rPr>
                <w:sz w:val="22"/>
                <w:szCs w:val="22"/>
              </w:rPr>
              <w:t>7.150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12.718</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VI- Obaveze prema društvu za upavljanje</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1.</w:t>
            </w:r>
            <w:r w:rsidR="0018266D" w:rsidRPr="00930FF2">
              <w:rPr>
                <w:sz w:val="22"/>
                <w:szCs w:val="22"/>
              </w:rPr>
              <w:t>604.784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1.784.222</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NETO IMOVINA FONDA </w:t>
            </w:r>
          </w:p>
        </w:tc>
        <w:tc>
          <w:tcPr>
            <w:tcW w:w="1296" w:type="dxa"/>
            <w:tcBorders>
              <w:top w:val="nil"/>
              <w:left w:val="nil"/>
              <w:bottom w:val="nil"/>
              <w:right w:val="single" w:sz="4" w:space="0" w:color="auto"/>
            </w:tcBorders>
            <w:shd w:val="clear" w:color="auto" w:fill="auto"/>
            <w:noWrap/>
            <w:vAlign w:val="bottom"/>
            <w:hideMark/>
          </w:tcPr>
          <w:p w:rsidR="00205132" w:rsidRPr="00930FF2" w:rsidRDefault="0018266D" w:rsidP="0018266D">
            <w:pPr>
              <w:ind w:left="0" w:firstLine="0"/>
              <w:contextualSpacing/>
              <w:jc w:val="right"/>
              <w:rPr>
                <w:sz w:val="22"/>
                <w:szCs w:val="22"/>
              </w:rPr>
            </w:pPr>
            <w:r w:rsidRPr="00930FF2">
              <w:rPr>
                <w:sz w:val="22"/>
                <w:szCs w:val="22"/>
              </w:rPr>
              <w:t>23.186.877</w:t>
            </w:r>
          </w:p>
        </w:tc>
        <w:tc>
          <w:tcPr>
            <w:tcW w:w="1418" w:type="dxa"/>
            <w:gridSpan w:val="2"/>
            <w:tcBorders>
              <w:top w:val="nil"/>
              <w:left w:val="nil"/>
              <w:bottom w:val="nil"/>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25.011.476</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KAPITAL </w:t>
            </w:r>
          </w:p>
        </w:tc>
        <w:tc>
          <w:tcPr>
            <w:tcW w:w="1296" w:type="dxa"/>
            <w:tcBorders>
              <w:top w:val="single" w:sz="4" w:space="0" w:color="auto"/>
              <w:left w:val="nil"/>
              <w:bottom w:val="nil"/>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2</w:t>
            </w:r>
            <w:r w:rsidR="0018266D" w:rsidRPr="00930FF2">
              <w:rPr>
                <w:sz w:val="22"/>
                <w:szCs w:val="22"/>
              </w:rPr>
              <w:t>3.186.877</w:t>
            </w:r>
          </w:p>
        </w:tc>
        <w:tc>
          <w:tcPr>
            <w:tcW w:w="1418" w:type="dxa"/>
            <w:gridSpan w:val="2"/>
            <w:tcBorders>
              <w:top w:val="single" w:sz="4" w:space="0" w:color="auto"/>
              <w:left w:val="nil"/>
              <w:bottom w:val="nil"/>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25.011.476</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Osnovni  akcijski kapital </w:t>
            </w:r>
          </w:p>
        </w:tc>
        <w:tc>
          <w:tcPr>
            <w:tcW w:w="1296" w:type="dxa"/>
            <w:tcBorders>
              <w:top w:val="single" w:sz="4" w:space="0" w:color="auto"/>
              <w:left w:val="nil"/>
              <w:bottom w:val="nil"/>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rPr>
            </w:pPr>
            <w:r w:rsidRPr="00930FF2">
              <w:rPr>
                <w:sz w:val="22"/>
                <w:szCs w:val="22"/>
              </w:rPr>
              <w:t>187.191.287</w:t>
            </w:r>
          </w:p>
        </w:tc>
        <w:tc>
          <w:tcPr>
            <w:tcW w:w="1418" w:type="dxa"/>
            <w:gridSpan w:val="2"/>
            <w:tcBorders>
              <w:top w:val="single" w:sz="4" w:space="0" w:color="auto"/>
              <w:left w:val="nil"/>
              <w:bottom w:val="nil"/>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rPr>
            </w:pPr>
            <w:r w:rsidRPr="00930FF2">
              <w:rPr>
                <w:sz w:val="22"/>
                <w:szCs w:val="22"/>
              </w:rPr>
              <w:t>187.191.287</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Kapitalne rezerve </w:t>
            </w:r>
          </w:p>
        </w:tc>
        <w:tc>
          <w:tcPr>
            <w:tcW w:w="1296" w:type="dxa"/>
            <w:tcBorders>
              <w:top w:val="single" w:sz="4" w:space="0" w:color="auto"/>
              <w:left w:val="nil"/>
              <w:bottom w:val="nil"/>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rPr>
            </w:pPr>
            <w:r w:rsidRPr="00930FF2">
              <w:rPr>
                <w:sz w:val="22"/>
                <w:szCs w:val="22"/>
              </w:rPr>
              <w:t>2.619.595</w:t>
            </w:r>
          </w:p>
        </w:tc>
        <w:tc>
          <w:tcPr>
            <w:tcW w:w="1418" w:type="dxa"/>
            <w:gridSpan w:val="2"/>
            <w:tcBorders>
              <w:top w:val="single" w:sz="4" w:space="0" w:color="auto"/>
              <w:left w:val="nil"/>
              <w:bottom w:val="nil"/>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rPr>
            </w:pPr>
            <w:r w:rsidRPr="00930FF2">
              <w:rPr>
                <w:sz w:val="22"/>
                <w:szCs w:val="22"/>
              </w:rPr>
              <w:t>2.619.595</w:t>
            </w:r>
          </w:p>
        </w:tc>
      </w:tr>
      <w:tr w:rsidR="00205132" w:rsidRPr="00930FF2" w:rsidTr="009C1D7C">
        <w:trPr>
          <w:gridAfter w:val="2"/>
          <w:wAfter w:w="1993" w:type="dxa"/>
          <w:trHeight w:val="315"/>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Rev. rezerve po osnovu fin.sredstava raspoloživih za prodaju</w:t>
            </w:r>
          </w:p>
        </w:tc>
        <w:tc>
          <w:tcPr>
            <w:tcW w:w="1296" w:type="dxa"/>
            <w:tcBorders>
              <w:top w:val="single" w:sz="4" w:space="0" w:color="auto"/>
              <w:left w:val="nil"/>
              <w:bottom w:val="nil"/>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-4</w:t>
            </w:r>
            <w:r w:rsidR="0018266D" w:rsidRPr="00930FF2">
              <w:rPr>
                <w:sz w:val="22"/>
                <w:szCs w:val="22"/>
              </w:rPr>
              <w:t>1.981.756</w:t>
            </w:r>
          </w:p>
        </w:tc>
        <w:tc>
          <w:tcPr>
            <w:tcW w:w="1418" w:type="dxa"/>
            <w:gridSpan w:val="2"/>
            <w:tcBorders>
              <w:top w:val="single" w:sz="4" w:space="0" w:color="auto"/>
              <w:left w:val="nil"/>
              <w:bottom w:val="nil"/>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-45.888.357</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Neraspoređena dobit ranijih godina</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lang w:eastAsia="en-GB"/>
              </w:rPr>
            </w:pPr>
            <w:r w:rsidRPr="00930FF2">
              <w:rPr>
                <w:sz w:val="22"/>
                <w:szCs w:val="22"/>
                <w:lang w:eastAsia="en-GB"/>
              </w:rPr>
              <w:t>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lang w:eastAsia="en-GB"/>
              </w:rPr>
            </w:pPr>
            <w:r w:rsidRPr="00930FF2">
              <w:rPr>
                <w:sz w:val="22"/>
                <w:szCs w:val="22"/>
                <w:lang w:eastAsia="en-GB"/>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Nepokriveni gubitak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107.152.526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103.818.590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1. Nepokriven gubitak ranijih godina</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103.</w:t>
            </w:r>
            <w:r w:rsidR="0018266D" w:rsidRPr="00930FF2">
              <w:rPr>
                <w:sz w:val="22"/>
                <w:szCs w:val="22"/>
              </w:rPr>
              <w:t>818.590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103.223.288</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sz w:val="22"/>
                <w:szCs w:val="22"/>
                <w:lang w:eastAsia="en-GB"/>
              </w:rPr>
            </w:pPr>
            <w:r w:rsidRPr="00930FF2">
              <w:rPr>
                <w:sz w:val="22"/>
                <w:szCs w:val="22"/>
                <w:lang w:eastAsia="en-GB"/>
              </w:rPr>
              <w:t>2. Nepokriven gubitak tekuće godine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3.333.936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595.302</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BROJ EMITOVANIH AKCIJA/UDJELA</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lang w:eastAsia="en-GB"/>
              </w:rPr>
            </w:pPr>
            <w:r w:rsidRPr="00930FF2">
              <w:rPr>
                <w:sz w:val="22"/>
                <w:szCs w:val="22"/>
                <w:lang w:eastAsia="en-GB"/>
              </w:rPr>
              <w:t>187.191.287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9C1D7C" w:rsidP="00205132">
            <w:pPr>
              <w:ind w:left="0" w:firstLine="0"/>
              <w:contextualSpacing/>
              <w:jc w:val="right"/>
              <w:rPr>
                <w:sz w:val="22"/>
                <w:szCs w:val="22"/>
                <w:lang w:eastAsia="en-GB"/>
              </w:rPr>
            </w:pPr>
            <w:r w:rsidRPr="00930FF2">
              <w:rPr>
                <w:sz w:val="22"/>
                <w:szCs w:val="22"/>
                <w:lang w:eastAsia="en-GB"/>
              </w:rPr>
              <w:t>187.191.287</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     NETO IMOVINA PO UDJELU/AKCIJI (040/063)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0,1</w:t>
            </w:r>
            <w:r w:rsidR="0018266D" w:rsidRPr="00930FF2">
              <w:rPr>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9C1D7C" w:rsidP="0018266D">
            <w:pPr>
              <w:ind w:left="0" w:firstLine="0"/>
              <w:contextualSpacing/>
              <w:jc w:val="right"/>
              <w:rPr>
                <w:sz w:val="22"/>
                <w:szCs w:val="22"/>
              </w:rPr>
            </w:pPr>
            <w:r w:rsidRPr="00930FF2">
              <w:rPr>
                <w:sz w:val="22"/>
                <w:szCs w:val="22"/>
              </w:rPr>
              <w:t>0,1</w:t>
            </w:r>
            <w:r w:rsidR="0018266D" w:rsidRPr="00930FF2">
              <w:rPr>
                <w:sz w:val="22"/>
                <w:szCs w:val="22"/>
              </w:rPr>
              <w:t>3</w:t>
            </w:r>
          </w:p>
        </w:tc>
      </w:tr>
      <w:tr w:rsidR="00205132" w:rsidRPr="00930FF2" w:rsidTr="009C1D7C">
        <w:trPr>
          <w:gridAfter w:val="2"/>
          <w:wAfter w:w="1993" w:type="dxa"/>
          <w:trHeight w:val="300"/>
        </w:trPr>
        <w:tc>
          <w:tcPr>
            <w:tcW w:w="87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PRIHODI I RASHODI</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I - Poslovni prihodi </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654.556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862.776</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II - Realizovan dobitak od prodaje HOV</w:t>
            </w:r>
          </w:p>
        </w:tc>
        <w:tc>
          <w:tcPr>
            <w:tcW w:w="1296" w:type="dxa"/>
            <w:tcBorders>
              <w:top w:val="nil"/>
              <w:left w:val="nil"/>
              <w:bottom w:val="single" w:sz="4" w:space="0" w:color="auto"/>
              <w:right w:val="single" w:sz="4" w:space="0" w:color="auto"/>
            </w:tcBorders>
            <w:shd w:val="clear" w:color="auto" w:fill="auto"/>
            <w:noWrap/>
            <w:vAlign w:val="bottom"/>
          </w:tcPr>
          <w:p w:rsidR="00205132" w:rsidRPr="00930FF2" w:rsidRDefault="0018266D" w:rsidP="00205132">
            <w:pPr>
              <w:ind w:left="0" w:firstLine="0"/>
              <w:contextualSpacing/>
              <w:jc w:val="right"/>
              <w:rPr>
                <w:sz w:val="22"/>
                <w:szCs w:val="22"/>
                <w:lang w:eastAsia="en-GB"/>
              </w:rPr>
            </w:pPr>
            <w:r w:rsidRPr="00930FF2">
              <w:rPr>
                <w:sz w:val="22"/>
                <w:szCs w:val="22"/>
                <w:lang w:eastAsia="en-GB"/>
              </w:rPr>
              <w:t>0</w:t>
            </w:r>
          </w:p>
        </w:tc>
        <w:tc>
          <w:tcPr>
            <w:tcW w:w="1418" w:type="dxa"/>
            <w:gridSpan w:val="2"/>
            <w:tcBorders>
              <w:top w:val="nil"/>
              <w:left w:val="nil"/>
              <w:bottom w:val="single" w:sz="4" w:space="0" w:color="auto"/>
              <w:right w:val="single" w:sz="4" w:space="0" w:color="auto"/>
            </w:tcBorders>
            <w:shd w:val="clear" w:color="auto" w:fill="auto"/>
            <w:noWrap/>
            <w:vAlign w:val="bottom"/>
          </w:tcPr>
          <w:p w:rsidR="00205132" w:rsidRPr="00930FF2" w:rsidRDefault="0018266D" w:rsidP="0018266D">
            <w:pPr>
              <w:ind w:left="0" w:firstLine="0"/>
              <w:contextualSpacing/>
              <w:jc w:val="right"/>
              <w:rPr>
                <w:sz w:val="22"/>
                <w:szCs w:val="22"/>
                <w:lang w:eastAsia="en-GB"/>
              </w:rPr>
            </w:pPr>
            <w:r w:rsidRPr="00930FF2">
              <w:rPr>
                <w:sz w:val="22"/>
                <w:szCs w:val="22"/>
                <w:lang w:eastAsia="en-GB"/>
              </w:rPr>
              <w:t>9.979</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 xml:space="preserve">III - Poslovni rashodi </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105.817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304.276</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IV - Realizovani gubitak od prodaje HOV</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3.882.675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VI - Finansijski prihodi ( od kamata)</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EC3D5E" w:rsidP="00205132">
            <w:pPr>
              <w:ind w:left="0" w:firstLine="0"/>
              <w:contextualSpacing/>
              <w:jc w:val="right"/>
              <w:rPr>
                <w:sz w:val="22"/>
                <w:szCs w:val="22"/>
              </w:rPr>
            </w:pPr>
            <w:r w:rsidRPr="00930FF2">
              <w:rPr>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5132" w:rsidRPr="00930FF2" w:rsidRDefault="00205132" w:rsidP="00205132">
            <w:pPr>
              <w:ind w:left="0" w:firstLine="0"/>
              <w:contextualSpacing/>
              <w:rPr>
                <w:bCs/>
                <w:sz w:val="22"/>
                <w:szCs w:val="22"/>
                <w:lang w:eastAsia="en-GB"/>
              </w:rPr>
            </w:pPr>
            <w:r w:rsidRPr="00930FF2">
              <w:rPr>
                <w:bCs/>
                <w:sz w:val="22"/>
                <w:szCs w:val="22"/>
                <w:lang w:eastAsia="en-GB"/>
              </w:rPr>
              <w:t>REALIZOV.  DOB. I GUB. PRIJE  OPOREZIVANjA</w:t>
            </w:r>
          </w:p>
        </w:tc>
        <w:tc>
          <w:tcPr>
            <w:tcW w:w="1296" w:type="dxa"/>
            <w:tcBorders>
              <w:top w:val="nil"/>
              <w:left w:val="nil"/>
              <w:bottom w:val="single" w:sz="4" w:space="0" w:color="auto"/>
              <w:right w:val="single" w:sz="4" w:space="0" w:color="auto"/>
            </w:tcBorders>
            <w:shd w:val="clear" w:color="auto" w:fill="auto"/>
            <w:noWrap/>
            <w:vAlign w:val="bottom"/>
          </w:tcPr>
          <w:p w:rsidR="00205132" w:rsidRPr="00930FF2" w:rsidRDefault="0018266D" w:rsidP="00205132">
            <w:pPr>
              <w:ind w:left="0" w:firstLine="0"/>
              <w:contextualSpacing/>
              <w:jc w:val="right"/>
              <w:rPr>
                <w:sz w:val="22"/>
                <w:szCs w:val="22"/>
              </w:rPr>
            </w:pPr>
            <w:r w:rsidRPr="00930FF2">
              <w:rPr>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tcPr>
          <w:p w:rsidR="00205132" w:rsidRPr="00930FF2" w:rsidRDefault="0018266D" w:rsidP="00205132">
            <w:pPr>
              <w:ind w:left="0" w:firstLine="0"/>
              <w:contextualSpacing/>
              <w:jc w:val="right"/>
              <w:rPr>
                <w:sz w:val="22"/>
                <w:szCs w:val="22"/>
              </w:rPr>
            </w:pPr>
            <w:r w:rsidRPr="00930FF2">
              <w:rPr>
                <w:sz w:val="22"/>
                <w:szCs w:val="22"/>
              </w:rPr>
              <w:t>568.479</w:t>
            </w:r>
          </w:p>
        </w:tc>
      </w:tr>
      <w:tr w:rsidR="00205132" w:rsidRPr="00930FF2" w:rsidTr="009C1D7C">
        <w:trPr>
          <w:gridAfter w:val="2"/>
          <w:wAfter w:w="1993" w:type="dxa"/>
          <w:trHeight w:val="349"/>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REALIZOV.  DOB. I GUB. POSLIJE OPOREZIVANjA</w:t>
            </w:r>
          </w:p>
        </w:tc>
        <w:tc>
          <w:tcPr>
            <w:tcW w:w="1296" w:type="dxa"/>
            <w:tcBorders>
              <w:top w:val="nil"/>
              <w:left w:val="nil"/>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3.333.936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132" w:rsidRPr="00930FF2" w:rsidRDefault="00EC3D5E" w:rsidP="00205132">
            <w:pPr>
              <w:ind w:left="0" w:firstLine="0"/>
              <w:contextualSpacing/>
              <w:jc w:val="right"/>
              <w:rPr>
                <w:sz w:val="22"/>
                <w:szCs w:val="22"/>
              </w:rPr>
            </w:pPr>
            <w:r w:rsidRPr="00930FF2">
              <w:rPr>
                <w:sz w:val="22"/>
                <w:szCs w:val="22"/>
              </w:rPr>
              <w:t>0</w:t>
            </w:r>
          </w:p>
        </w:tc>
      </w:tr>
      <w:tr w:rsidR="00205132" w:rsidRPr="00930FF2" w:rsidTr="009C1D7C">
        <w:trPr>
          <w:gridAfter w:val="2"/>
          <w:wAfter w:w="1993" w:type="dxa"/>
          <w:trHeight w:val="300"/>
        </w:trPr>
        <w:tc>
          <w:tcPr>
            <w:tcW w:w="87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05132" w:rsidRPr="00930FF2" w:rsidRDefault="00205132" w:rsidP="00205132">
            <w:pPr>
              <w:ind w:left="0" w:firstLine="0"/>
              <w:contextualSpacing/>
              <w:rPr>
                <w:sz w:val="22"/>
                <w:szCs w:val="22"/>
                <w:lang w:eastAsia="en-GB"/>
              </w:rPr>
            </w:pPr>
            <w:r w:rsidRPr="00930FF2">
              <w:rPr>
                <w:sz w:val="22"/>
                <w:szCs w:val="22"/>
                <w:lang w:eastAsia="en-GB"/>
              </w:rPr>
              <w:lastRenderedPageBreak/>
              <w:t>TOKOVI GOTOVINE</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UKUPAN PRILIV GOTOVINE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18266D">
            <w:pPr>
              <w:ind w:left="0" w:firstLine="0"/>
              <w:contextualSpacing/>
              <w:jc w:val="right"/>
              <w:rPr>
                <w:sz w:val="22"/>
                <w:szCs w:val="22"/>
              </w:rPr>
            </w:pPr>
            <w:r w:rsidRPr="00930FF2">
              <w:rPr>
                <w:sz w:val="22"/>
                <w:szCs w:val="22"/>
              </w:rPr>
              <w:t>804.279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1.109.410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UKUPAN ODLIV GOTOVINE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336.842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8266D" w:rsidP="00205132">
            <w:pPr>
              <w:ind w:left="0" w:firstLine="0"/>
              <w:contextualSpacing/>
              <w:jc w:val="right"/>
              <w:rPr>
                <w:sz w:val="22"/>
                <w:szCs w:val="22"/>
              </w:rPr>
            </w:pPr>
            <w:r w:rsidRPr="00930FF2">
              <w:rPr>
                <w:sz w:val="22"/>
                <w:szCs w:val="22"/>
              </w:rPr>
              <w:t>692.409</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D.NETO PRILIV GOTOVINE (431-432)</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467.437</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417.001</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Đ.NETO ODLIV GOTOVINE (432-431)</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1519A9">
            <w:pPr>
              <w:ind w:left="0" w:firstLine="0"/>
              <w:contextualSpacing/>
              <w:jc w:val="right"/>
              <w:rPr>
                <w:sz w:val="22"/>
                <w:szCs w:val="22"/>
              </w:rPr>
            </w:pPr>
            <w:r w:rsidRPr="00930FF2">
              <w:rPr>
                <w:sz w:val="22"/>
                <w:szCs w:val="22"/>
              </w:rPr>
              <w:t>0</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E. Gotovina na početku perioda</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510.154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329.776</w:t>
            </w:r>
          </w:p>
        </w:tc>
      </w:tr>
      <w:tr w:rsidR="00205132" w:rsidRPr="00930FF2" w:rsidTr="009C1D7C">
        <w:trPr>
          <w:gridAfter w:val="2"/>
          <w:wAfter w:w="1993" w:type="dxa"/>
          <w:trHeight w:val="300"/>
        </w:trPr>
        <w:tc>
          <w:tcPr>
            <w:tcW w:w="6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205132" w:rsidP="00205132">
            <w:pPr>
              <w:ind w:left="0" w:firstLine="0"/>
              <w:contextualSpacing/>
              <w:rPr>
                <w:bCs/>
                <w:sz w:val="22"/>
                <w:szCs w:val="22"/>
                <w:lang w:eastAsia="en-GB"/>
              </w:rPr>
            </w:pPr>
            <w:r w:rsidRPr="00930FF2">
              <w:rPr>
                <w:bCs/>
                <w:sz w:val="22"/>
                <w:szCs w:val="22"/>
                <w:lang w:eastAsia="en-GB"/>
              </w:rPr>
              <w:t>I. GOTOVINA NA KRAJU OBRAČUNSKOG PERIODA</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32" w:rsidRPr="00930FF2" w:rsidRDefault="001519A9" w:rsidP="001519A9">
            <w:pPr>
              <w:ind w:left="0" w:firstLine="0"/>
              <w:contextualSpacing/>
              <w:jc w:val="right"/>
              <w:rPr>
                <w:sz w:val="22"/>
                <w:szCs w:val="22"/>
              </w:rPr>
            </w:pPr>
            <w:r w:rsidRPr="00930FF2">
              <w:rPr>
                <w:sz w:val="22"/>
                <w:szCs w:val="22"/>
              </w:rPr>
              <w:t>977.591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132" w:rsidRPr="00930FF2" w:rsidRDefault="001519A9" w:rsidP="00205132">
            <w:pPr>
              <w:ind w:left="0" w:firstLine="0"/>
              <w:contextualSpacing/>
              <w:jc w:val="right"/>
              <w:rPr>
                <w:sz w:val="22"/>
                <w:szCs w:val="22"/>
              </w:rPr>
            </w:pPr>
            <w:r w:rsidRPr="00930FF2">
              <w:rPr>
                <w:sz w:val="22"/>
                <w:szCs w:val="22"/>
              </w:rPr>
              <w:t>746.777</w:t>
            </w:r>
          </w:p>
        </w:tc>
      </w:tr>
    </w:tbl>
    <w:p w:rsidR="00205132" w:rsidRPr="00930FF2" w:rsidRDefault="00205132" w:rsidP="00205132">
      <w:pPr>
        <w:pStyle w:val="Heading3"/>
        <w:spacing w:before="0" w:after="0"/>
        <w:contextualSpacing/>
        <w:jc w:val="both"/>
        <w:rPr>
          <w:rFonts w:ascii="Times New Roman" w:hAnsi="Times New Roman"/>
        </w:rPr>
      </w:pPr>
    </w:p>
    <w:p w:rsidR="00205132" w:rsidRPr="00930FF2" w:rsidRDefault="00264A7E" w:rsidP="00F553CF">
      <w:pPr>
        <w:pStyle w:val="ListParagraph"/>
        <w:numPr>
          <w:ilvl w:val="0"/>
          <w:numId w:val="8"/>
        </w:numPr>
        <w:rPr>
          <w:b/>
          <w:sz w:val="26"/>
          <w:szCs w:val="26"/>
        </w:rPr>
      </w:pPr>
      <w:r w:rsidRPr="00930FF2">
        <w:rPr>
          <w:b/>
          <w:sz w:val="26"/>
          <w:szCs w:val="26"/>
        </w:rPr>
        <w:t>FAKTORI RIZIKA</w:t>
      </w:r>
    </w:p>
    <w:p w:rsidR="00205132" w:rsidRPr="00930FF2" w:rsidRDefault="00205132" w:rsidP="00205132">
      <w:pPr>
        <w:autoSpaceDE w:val="0"/>
        <w:autoSpaceDN w:val="0"/>
        <w:adjustRightInd w:val="0"/>
        <w:ind w:left="0" w:firstLine="0"/>
        <w:contextualSpacing/>
      </w:pPr>
      <w:r w:rsidRPr="00930FF2">
        <w:t>Ulaganje u fond predstavlja riziča</w:t>
      </w:r>
      <w:r w:rsidR="006118F6" w:rsidRPr="00930FF2">
        <w:t xml:space="preserve">n posao i zahtijeva preuzimanje </w:t>
      </w:r>
      <w:r w:rsidRPr="00930FF2">
        <w:t>određenih rizika.</w:t>
      </w:r>
    </w:p>
    <w:p w:rsidR="006118F6" w:rsidRPr="00930FF2" w:rsidRDefault="006118F6" w:rsidP="00205132">
      <w:pPr>
        <w:autoSpaceDE w:val="0"/>
        <w:autoSpaceDN w:val="0"/>
        <w:adjustRightInd w:val="0"/>
        <w:ind w:left="0" w:firstLine="0"/>
        <w:contextualSpacing/>
      </w:pPr>
      <w:r w:rsidRPr="00930FF2">
        <w:t xml:space="preserve">Rizik ulaganja na tržištu kapitala je vjerovatnoća ili mogućnost da prinos od ulaganja bude </w:t>
      </w:r>
      <w:r w:rsidR="00422F9E" w:rsidRPr="00930FF2">
        <w:t>nezadovoljavajući ili negativan.</w:t>
      </w:r>
    </w:p>
    <w:p w:rsidR="00205132" w:rsidRPr="00930FF2" w:rsidRDefault="00567CD1" w:rsidP="00205132">
      <w:pPr>
        <w:autoSpaceDE w:val="0"/>
        <w:autoSpaceDN w:val="0"/>
        <w:adjustRightInd w:val="0"/>
        <w:ind w:left="0" w:firstLine="0"/>
        <w:contextualSpacing/>
      </w:pPr>
      <w:r w:rsidRPr="00930FF2">
        <w:t>Upravljanje rizicima neizostavni je dio investicionog poslovanja, a sastoji se od identifikacije različitih oblika rizika kojima je izložen portfelj Fonda, njihovog mjerenja, te definisanja postupaka kojima se provodi upravljanje. Neophodno je istaći da bez izlaganja portfelja rizičnom poslovanju nije moguće ostvariti</w:t>
      </w:r>
      <w:r w:rsidR="006118F6" w:rsidRPr="00930FF2">
        <w:t xml:space="preserve"> prinose. Rizik ulaganja u Fond</w:t>
      </w:r>
      <w:r w:rsidRPr="00930FF2">
        <w:t xml:space="preserve"> povezan je sa ulaganjima </w:t>
      </w:r>
      <w:r w:rsidR="006118F6" w:rsidRPr="00930FF2">
        <w:t>i</w:t>
      </w:r>
      <w:r w:rsidRPr="00930FF2">
        <w:t xml:space="preserve"> strukturom imovine Fonda. U skladu sa strategijom ulaganja, Društvo će voditi politiku ulaganja sredstava Fonda umjerenog stepena rizika koji je karakterističan za ulaganja u mješovite fondove. Ulaganje u investicioni fond nije depo</w:t>
      </w:r>
      <w:r w:rsidR="00422F9E" w:rsidRPr="00930FF2">
        <w:t>z</w:t>
      </w:r>
      <w:r w:rsidRPr="00930FF2">
        <w:t xml:space="preserve">it uložen kod banke, </w:t>
      </w:r>
      <w:r w:rsidR="006118F6" w:rsidRPr="00930FF2">
        <w:t>i</w:t>
      </w:r>
      <w:r w:rsidRPr="00930FF2">
        <w:t xml:space="preserve"> kao takvo nije osigurano od strane Agencije za osiguranje depozita, niti od nekog trećeg lica. Niz rizika djeluje na ulaganja u investicione fondove. U tom kontekstu, rizik se definiše kao prijetnja ili mogućnost da će aktivnost ili događaj negativno uticati na ciljeve Fonda i poslovanje Društva, odnosno, fokus je na potencijalnim štetama koje mo</w:t>
      </w:r>
      <w:r w:rsidR="006118F6" w:rsidRPr="00930FF2">
        <w:t>gu nastati od budućeg događaja. Finansijski instrumenti su u korelaciji sa rizicima i to najčešće sa tržišnim rizikom, rizikom likvidnosti, kreditnim rizikom koji nastaju kao posljedica alokacije imovine, tržišnih kretanja, investiranja u inostranstvu, ekonomskih, zakonskih i političkih promjena, te rizika povezanih sa emitentom. Na poslovanje Fonda djeluje i operativni rizik koji je povezan sa poslovanjem društva, ali se posljedice ovog rizika mogu lako odraziti na poslovanje Fonda.</w:t>
      </w:r>
    </w:p>
    <w:p w:rsidR="006118F6" w:rsidRPr="00930FF2" w:rsidRDefault="006118F6" w:rsidP="00205132">
      <w:pPr>
        <w:autoSpaceDE w:val="0"/>
        <w:autoSpaceDN w:val="0"/>
        <w:adjustRightInd w:val="0"/>
        <w:ind w:left="0" w:firstLine="0"/>
        <w:contextualSpacing/>
      </w:pPr>
      <w:r w:rsidRPr="00930FF2">
        <w:t>Rizici specifični Fondu:</w:t>
      </w:r>
    </w:p>
    <w:p w:rsidR="00205132" w:rsidRPr="00930FF2" w:rsidRDefault="00205132" w:rsidP="00F553CF">
      <w:pPr>
        <w:pStyle w:val="ListParagraph"/>
        <w:numPr>
          <w:ilvl w:val="0"/>
          <w:numId w:val="3"/>
        </w:numPr>
        <w:autoSpaceDE w:val="0"/>
        <w:autoSpaceDN w:val="0"/>
        <w:adjustRightInd w:val="0"/>
      </w:pPr>
      <w:r w:rsidRPr="00930FF2">
        <w:t>rizik promjene cijena finansijskih instrumenata (tržišni rizik),</w:t>
      </w:r>
    </w:p>
    <w:p w:rsidR="00422F9E" w:rsidRPr="00930FF2" w:rsidRDefault="000342D6" w:rsidP="00422F9E">
      <w:pPr>
        <w:pStyle w:val="BodyText"/>
        <w:contextualSpacing/>
        <w:rPr>
          <w:lang w:val="sr-Latn-BA"/>
        </w:rPr>
      </w:pPr>
      <w:r w:rsidRPr="00930FF2">
        <w:t xml:space="preserve">Imovina fonda će biti uložena u finansijske instrumente čija je cijena podložna dnevnim promjenama, a u skladu sa strategijom i ograničenjima navedenim u Statutu fonda  i Prospektu fonda. Pad cijene pojedinog instrumenta u koji je uložena imovina fonda može dovesti do smanjenja prinosa na ulaganje. </w:t>
      </w:r>
      <w:r w:rsidR="00422F9E" w:rsidRPr="00930FF2">
        <w:t>Tržišni rizik dolazi do izražaja u slučaju većih poremećaja na berzama, ili na drugim uređenim tržištima, na kojima se kupuje nova imovina za račun fonda, ili na kojima se prodaje imovina iz portfelja fonda, a naročito ako dođe do većih padova vrijednosti imovine iz portfelja fonda, u kom slučaju društvo na brz i efikasan način izrađuje i koriguje procedure za procjenu vrijednosti ulaganja, kako bi se uspostavila i održala vrijednost imovine fonda, kako po vrstama ulaganja tako i po strukturi ulaganja.</w:t>
      </w:r>
      <w:r w:rsidR="00422F9E" w:rsidRPr="00930FF2">
        <w:rPr>
          <w:lang w:val="sr-Latn-BA"/>
        </w:rPr>
        <w:t xml:space="preserve"> </w:t>
      </w:r>
      <w:r w:rsidR="00422F9E" w:rsidRPr="00930FF2">
        <w:t>Društvo za upravljanje blagovremeno preduzima adekvatne mjere za zaštitu od tržišnog rizika, prodajama imovine iz portfelja fonda, kako bi se uravnotežili gubici od prodaja po nižim cijenama, sa dobicima od kupovina po višim cijenama, do potpune stabilizacije tržišta.</w:t>
      </w:r>
      <w:r w:rsidR="00422F9E" w:rsidRPr="00930FF2">
        <w:rPr>
          <w:lang w:val="sr-Latn-BA"/>
        </w:rPr>
        <w:t xml:space="preserve"> </w:t>
      </w:r>
    </w:p>
    <w:p w:rsidR="00205132" w:rsidRPr="00930FF2" w:rsidRDefault="00205132" w:rsidP="00F553CF">
      <w:pPr>
        <w:pStyle w:val="BodyText"/>
        <w:numPr>
          <w:ilvl w:val="0"/>
          <w:numId w:val="3"/>
        </w:numPr>
        <w:contextualSpacing/>
      </w:pPr>
      <w:r w:rsidRPr="00930FF2">
        <w:t xml:space="preserve">rizik promjene kursa (valutni rizik), </w:t>
      </w:r>
    </w:p>
    <w:p w:rsidR="00422F9E" w:rsidRPr="00930FF2" w:rsidRDefault="00422F9E" w:rsidP="00422F9E">
      <w:pPr>
        <w:pStyle w:val="BodyText"/>
        <w:contextualSpacing/>
      </w:pPr>
      <w:r w:rsidRPr="00930FF2">
        <w:t xml:space="preserve">Imovina fonda može biti uložena u: akcije emitenata i akcije zatvorenih investicionih fondova, udjele otvorenih investicionih fondova, državne obveznice i druge dužničke hartije od vrijednosti  </w:t>
      </w:r>
      <w:r w:rsidRPr="00930FF2">
        <w:lastRenderedPageBreak/>
        <w:t>denominirane u različitim valutama, tako da se imovina fonda koja je nominirana u stranim valutama izlaže riziku promjene kursa pojedinih valuta u odnosu na konvertibilnu marku, koja je domaća i obračunska valuta, u kojoj se mjeri prinos na ulaganja u imovinu fonda.</w:t>
      </w:r>
    </w:p>
    <w:p w:rsidR="00422F9E" w:rsidRPr="00930FF2" w:rsidRDefault="00422F9E" w:rsidP="00422F9E">
      <w:pPr>
        <w:pStyle w:val="BodyText"/>
        <w:contextualSpacing/>
      </w:pPr>
      <w:r w:rsidRPr="00930FF2">
        <w:t>Društvo za upravljanje kupuje i prodaje imovinu fonda u konvertibilnoj marki kao domaćoj valuti, ili eurima kao valuti država članica EU i država okruženja u kojima je EUR obračunska valuta koja se kao sredstvo plaćanja koristi umjesto domaće valute, kako bi se izbjegao valutni rizik u obračunu i vrednovanju određenih ulaganja fonda u drugim valutama, koje imaju nestabilan kurs, kao što su: švajcarski franak, engleska funta i američki dolar.</w:t>
      </w:r>
    </w:p>
    <w:p w:rsidR="00205132" w:rsidRPr="00930FF2" w:rsidRDefault="00205132" w:rsidP="00F553CF">
      <w:pPr>
        <w:pStyle w:val="ListParagraph"/>
        <w:numPr>
          <w:ilvl w:val="0"/>
          <w:numId w:val="3"/>
        </w:numPr>
        <w:autoSpaceDE w:val="0"/>
        <w:autoSpaceDN w:val="0"/>
        <w:adjustRightInd w:val="0"/>
      </w:pPr>
      <w:r w:rsidRPr="00930FF2">
        <w:t>kreditni rizik,</w:t>
      </w:r>
    </w:p>
    <w:p w:rsidR="002450EE" w:rsidRPr="00930FF2" w:rsidRDefault="002450EE" w:rsidP="009565B4">
      <w:pPr>
        <w:pStyle w:val="BodyText"/>
        <w:rPr>
          <w:lang w:val="sr-Latn-BA"/>
        </w:rPr>
      </w:pPr>
      <w:r w:rsidRPr="00930FF2">
        <w:rPr>
          <w:lang w:val="sr-Latn-BA"/>
        </w:rPr>
        <w:t>P</w:t>
      </w:r>
      <w:r w:rsidRPr="00930FF2">
        <w:t>redstavlja vjerovatnoću da emitenti finansijskog instrumenta koji je uključen u imovinu fonda neće u cjelini ili djelimično podmiriti svoje obaveze, a što bi negativno uticalo na likvidnost i vrijednost imovine fonda.</w:t>
      </w:r>
      <w:r w:rsidRPr="00930FF2">
        <w:rPr>
          <w:lang w:val="sr-Latn-BA"/>
        </w:rPr>
        <w:t xml:space="preserve"> Takođe, definiše se kao mogućnost djelimičnog ili potpunog gubitka proizišlog iz neispunjavanja ugovora zbog negativnih promjena kreditne sposobnosti uključenih strana, pri čemu negativna promjena kreditne sposobnosti u ovom kontekstu znači, kako stvarni slučaj nesolventnosti tako i postepeno pogoršavanje kreditne sposobnosti. Rizik države je dio kreditnog rizika.</w:t>
      </w:r>
    </w:p>
    <w:p w:rsidR="00205132" w:rsidRPr="00930FF2" w:rsidRDefault="00205132" w:rsidP="00F553CF">
      <w:pPr>
        <w:pStyle w:val="ListParagraph"/>
        <w:numPr>
          <w:ilvl w:val="0"/>
          <w:numId w:val="3"/>
        </w:numPr>
        <w:autoSpaceDE w:val="0"/>
        <w:autoSpaceDN w:val="0"/>
        <w:adjustRightInd w:val="0"/>
      </w:pPr>
      <w:r w:rsidRPr="00930FF2">
        <w:t>rizik likvidnosti,</w:t>
      </w:r>
    </w:p>
    <w:p w:rsidR="009565B4" w:rsidRPr="00930FF2" w:rsidRDefault="00205132" w:rsidP="009565B4">
      <w:pPr>
        <w:pStyle w:val="BodyText"/>
        <w:contextualSpacing/>
      </w:pPr>
      <w:r w:rsidRPr="00930FF2">
        <w:t>Predstavlja vjerovatnoću nemogućnosti brze prodaje finansijske imovine fonda po cijeni koja je približno jednaka fer vrijednosti imovine.</w:t>
      </w:r>
      <w:r w:rsidR="009565B4" w:rsidRPr="00930FF2">
        <w:t xml:space="preserve"> Društvo za upravljanje vrši analize i procjene koju vrstu imovine kupuje za račun fonda, ili koju vrstu imovine prodaje iz portfelja fonda, i pri tome vodi računa da se finansijski za račun fonda kupuje ili da se prodaje imovina u skladu sa ograničenjima, koji su utvrđeni Zakonom, podzakonskim aktima Komisije, aktima društva za upravljanje i aktima fonda kojim društvo upravlja.</w:t>
      </w:r>
    </w:p>
    <w:p w:rsidR="00205132" w:rsidRPr="00930FF2" w:rsidRDefault="009565B4" w:rsidP="009565B4">
      <w:pPr>
        <w:pStyle w:val="BodyText"/>
        <w:contextualSpacing/>
        <w:rPr>
          <w:lang w:val="sr-Latn-BA"/>
        </w:rPr>
      </w:pPr>
      <w:r w:rsidRPr="00930FF2">
        <w:t>Kako rizik likvidnosti predstavlja vjerovatnoću nemogućnosti brze prodaje određene imovine fonda, po cijenama koje su približno jednake fer vrijednosti te imovine, društvo za upravljanje za račun fonda kupuje ili prodaje imovinu koja se može adekvatno vrednovati, tako da se finansijskim derivatima i drugom finansijskom imovinom ne trguje.</w:t>
      </w:r>
    </w:p>
    <w:p w:rsidR="00205132" w:rsidRPr="00930FF2" w:rsidRDefault="00205132" w:rsidP="00F553CF">
      <w:pPr>
        <w:pStyle w:val="ListParagraph"/>
        <w:numPr>
          <w:ilvl w:val="0"/>
          <w:numId w:val="3"/>
        </w:numPr>
        <w:autoSpaceDE w:val="0"/>
        <w:autoSpaceDN w:val="0"/>
        <w:adjustRightInd w:val="0"/>
      </w:pPr>
      <w:r w:rsidRPr="00930FF2">
        <w:t>rizik promjene poreskih propisa,</w:t>
      </w:r>
    </w:p>
    <w:p w:rsidR="009565B4" w:rsidRPr="00930FF2" w:rsidRDefault="00205132" w:rsidP="009565B4">
      <w:pPr>
        <w:pStyle w:val="BodyText"/>
        <w:contextualSpacing/>
      </w:pPr>
      <w:r w:rsidRPr="00930FF2">
        <w:t xml:space="preserve">Predstavlja vjerovatnoću da se poreski propisi u Republici Srpskoj i Bosni i Hercegovini ili inostranstvu promijene na način koji bi negativno uticao na prinos fonda. </w:t>
      </w:r>
      <w:r w:rsidR="009565B4" w:rsidRPr="00930FF2">
        <w:rPr>
          <w:lang w:val="sr-Latn-BA"/>
        </w:rPr>
        <w:t>P</w:t>
      </w:r>
      <w:r w:rsidR="009565B4" w:rsidRPr="00930FF2">
        <w:t>oreski propisi u Republici Srpskoj i u Federaciji BiH se često mijenjaju i ove promjene utiču ili mogu uticati na investitore koji ulažu na domaćim berzama, naročito u pogledu promjene poreskih stopa i eventualnog oporezivanja finansijskih transakcija.</w:t>
      </w:r>
    </w:p>
    <w:p w:rsidR="009565B4" w:rsidRPr="00930FF2" w:rsidRDefault="009565B4" w:rsidP="009565B4">
      <w:pPr>
        <w:pStyle w:val="BodyText"/>
        <w:contextualSpacing/>
      </w:pPr>
      <w:r w:rsidRPr="00930FF2">
        <w:t>Ovoj vrsti rizika nisu izloženi investitori koji ulažu na berzama i na drugim uređenim tržištima država članica EU, koje imaju stabilne poreske zakone koji se ne mijenjaju često, kao što se to čini u državama koje se nalaze u tranziciji.</w:t>
      </w:r>
    </w:p>
    <w:p w:rsidR="00205132" w:rsidRPr="00930FF2" w:rsidRDefault="009565B4" w:rsidP="009565B4">
      <w:pPr>
        <w:pStyle w:val="BodyText"/>
        <w:contextualSpacing/>
        <w:rPr>
          <w:lang w:val="sr-Latn-BA"/>
        </w:rPr>
      </w:pPr>
      <w:r w:rsidRPr="00930FF2">
        <w:t>Ovaj rizik je u potpunosti izvan kontrole i uticaja društva za upravljanje, obzirom da se ne može predvidjeti, niti se prodajom ulaganjima u državama u kojima dođe do promjene poreskih propisa na štetu fonda, mogu spriječiti negativni finansijski efekti za fond.</w:t>
      </w:r>
    </w:p>
    <w:p w:rsidR="00205132" w:rsidRPr="00930FF2" w:rsidRDefault="00205132" w:rsidP="00F553CF">
      <w:pPr>
        <w:pStyle w:val="ListParagraph"/>
        <w:numPr>
          <w:ilvl w:val="0"/>
          <w:numId w:val="3"/>
        </w:numPr>
        <w:autoSpaceDE w:val="0"/>
        <w:autoSpaceDN w:val="0"/>
        <w:adjustRightInd w:val="0"/>
      </w:pPr>
      <w:r w:rsidRPr="00930FF2">
        <w:t>promjena neto vrijednosti imovine fonda,</w:t>
      </w:r>
    </w:p>
    <w:p w:rsidR="00205132" w:rsidRPr="00930FF2" w:rsidRDefault="00205132" w:rsidP="00205132">
      <w:pPr>
        <w:autoSpaceDE w:val="0"/>
        <w:autoSpaceDN w:val="0"/>
        <w:adjustRightInd w:val="0"/>
        <w:ind w:left="0" w:firstLine="0"/>
        <w:contextualSpacing/>
      </w:pPr>
      <w:r w:rsidRPr="00930FF2">
        <w:t>S obzirom na vrste imovine u koje fond ulaže, te s obzirom na sastav portfelja fonda, odnosno na tehnike upravljanja imovinom fonda, vrijednost imovine fonda je podložna promjenama.</w:t>
      </w:r>
    </w:p>
    <w:p w:rsidR="009565B4" w:rsidRPr="00930FF2" w:rsidRDefault="009565B4" w:rsidP="009565B4">
      <w:pPr>
        <w:pStyle w:val="BodyText"/>
        <w:contextualSpacing/>
      </w:pPr>
      <w:r w:rsidRPr="00930FF2">
        <w:rPr>
          <w:lang w:val="sr-Latn-BA"/>
        </w:rPr>
        <w:t>Tačnije, p</w:t>
      </w:r>
      <w:r w:rsidRPr="00930FF2">
        <w:t xml:space="preserve">ored </w:t>
      </w:r>
      <w:r w:rsidRPr="00930FF2">
        <w:rPr>
          <w:lang w:val="sr-Latn-BA"/>
        </w:rPr>
        <w:t xml:space="preserve">prethodno </w:t>
      </w:r>
      <w:r w:rsidRPr="00930FF2">
        <w:t xml:space="preserve">navedenih rizika ulaganja u imovinu fonda za fond je takođe važan </w:t>
      </w:r>
      <w:r w:rsidRPr="00930FF2">
        <w:rPr>
          <w:lang w:val="sr-Latn-BA"/>
        </w:rPr>
        <w:t xml:space="preserve">i </w:t>
      </w:r>
      <w:r w:rsidRPr="00930FF2">
        <w:t>rizik promjene neto vrijednosti imovine fonda, koji dolazi do izražaja ako za fond nastupi jedan od navedenih rizika ili više rizika kumulativno, što neminovno dovodi do smanjenja vrijednosti imovine fonda, i do nemogućnosti ostvarenja projektovanih prinosa za fond.</w:t>
      </w:r>
    </w:p>
    <w:p w:rsidR="009565B4" w:rsidRPr="00930FF2" w:rsidRDefault="009565B4" w:rsidP="009565B4">
      <w:pPr>
        <w:pStyle w:val="BodyText"/>
        <w:contextualSpacing/>
      </w:pPr>
      <w:r w:rsidRPr="00930FF2">
        <w:lastRenderedPageBreak/>
        <w:t>Da bi se ovaj rizik sveo na najmanju mjeru, društvo za upravljanje utvrđenom poslovnom politikom investira u manje rizičnu imovinu za račun fonda, kako bi se osigurala struktura portfelja koja se želi dostići, i kako bi se ostvarili projektovani prinosi za fond.</w:t>
      </w:r>
    </w:p>
    <w:p w:rsidR="00205132" w:rsidRPr="00930FF2" w:rsidRDefault="00205132" w:rsidP="00205132">
      <w:pPr>
        <w:pStyle w:val="Heading1"/>
        <w:contextualSpacing/>
        <w:jc w:val="both"/>
        <w:rPr>
          <w:rFonts w:ascii="Times New Roman" w:hAnsi="Times New Roman"/>
          <w:bCs w:val="0"/>
          <w:sz w:val="24"/>
        </w:rPr>
      </w:pPr>
    </w:p>
    <w:p w:rsidR="00C36F62" w:rsidRPr="00930FF2" w:rsidRDefault="00F94DFD" w:rsidP="00F553CF">
      <w:pPr>
        <w:pStyle w:val="ListParagraph"/>
        <w:numPr>
          <w:ilvl w:val="0"/>
          <w:numId w:val="8"/>
        </w:numPr>
        <w:rPr>
          <w:b/>
          <w:lang w:val="sr-Latn-BA"/>
        </w:rPr>
      </w:pPr>
      <w:r w:rsidRPr="00930FF2">
        <w:rPr>
          <w:b/>
          <w:lang w:val="sr-Latn-BA"/>
        </w:rPr>
        <w:t>INFORMACIJE</w:t>
      </w:r>
      <w:r w:rsidR="000B687A" w:rsidRPr="00930FF2">
        <w:rPr>
          <w:b/>
          <w:lang w:val="sr-Latn-BA"/>
        </w:rPr>
        <w:t xml:space="preserve"> O FONDU</w:t>
      </w:r>
    </w:p>
    <w:p w:rsidR="000B687A" w:rsidRPr="00930FF2" w:rsidRDefault="00205132" w:rsidP="00F553CF">
      <w:pPr>
        <w:pStyle w:val="ListParagraph"/>
        <w:numPr>
          <w:ilvl w:val="1"/>
          <w:numId w:val="8"/>
        </w:numPr>
        <w:ind w:left="1080" w:hanging="720"/>
        <w:jc w:val="left"/>
      </w:pPr>
      <w:r w:rsidRPr="00930FF2">
        <w:t>Osnovni podaci i razvoj emitenta:</w:t>
      </w:r>
    </w:p>
    <w:p w:rsidR="00205132" w:rsidRPr="00930FF2" w:rsidRDefault="00205132" w:rsidP="00E37E92">
      <w:pPr>
        <w:ind w:left="0" w:firstLine="0"/>
      </w:pPr>
      <w:r w:rsidRPr="00930FF2">
        <w:t xml:space="preserve">Fond spada u vrstu zatvorenih investicionih fondova sa javnom ponudom </w:t>
      </w:r>
      <w:r w:rsidR="00473C13" w:rsidRPr="00930FF2">
        <w:t xml:space="preserve">u preoblikovanju </w:t>
      </w:r>
      <w:r w:rsidRPr="00930FF2">
        <w:t>čije je poslovanje i druga pitanja od značaja za rad regulisana Zakonom o investicionim fondov</w:t>
      </w:r>
      <w:r w:rsidR="000B687A" w:rsidRPr="00930FF2">
        <w:t>ima</w:t>
      </w:r>
      <w:r w:rsidRPr="00930FF2">
        <w:t>, te drugim zakonskim i podzakonskim propisima.</w:t>
      </w:r>
    </w:p>
    <w:p w:rsidR="00CE097B" w:rsidRPr="00930FF2" w:rsidRDefault="001669EB" w:rsidP="00CE097B">
      <w:pPr>
        <w:autoSpaceDE w:val="0"/>
        <w:autoSpaceDN w:val="0"/>
        <w:adjustRightInd w:val="0"/>
        <w:ind w:left="0" w:firstLine="0"/>
        <w:contextualSpacing/>
      </w:pPr>
      <w:r w:rsidRPr="00930FF2">
        <w:rPr>
          <w:lang w:val="sl-SI"/>
        </w:rPr>
        <w:t xml:space="preserve">Podvrsta fonda: </w:t>
      </w:r>
      <w:r w:rsidR="00CE097B" w:rsidRPr="00930FF2">
        <w:t>mješoviti fond koji ima uložena sredstva u različite vrste hartija od vrijednosti, instrumente tržišta novca i novčane depozite.</w:t>
      </w:r>
    </w:p>
    <w:p w:rsidR="000B687A" w:rsidRPr="00930FF2" w:rsidRDefault="000B687A" w:rsidP="000B687A">
      <w:pPr>
        <w:pStyle w:val="BodyTextIndent"/>
        <w:ind w:left="0" w:firstLine="0"/>
        <w:rPr>
          <w:lang w:val="sr-Latn-BA"/>
        </w:rPr>
      </w:pPr>
    </w:p>
    <w:p w:rsidR="00E37E92" w:rsidRPr="00930FF2" w:rsidRDefault="000B687A" w:rsidP="00F553CF">
      <w:pPr>
        <w:pStyle w:val="BodyTextIndent"/>
        <w:numPr>
          <w:ilvl w:val="2"/>
          <w:numId w:val="8"/>
        </w:numPr>
        <w:rPr>
          <w:szCs w:val="24"/>
          <w:lang w:val="sr-Latn-BA"/>
        </w:rPr>
      </w:pPr>
      <w:r w:rsidRPr="00930FF2">
        <w:t xml:space="preserve">Poslovno ime: </w:t>
      </w:r>
    </w:p>
    <w:p w:rsidR="000B687A" w:rsidRPr="00930FF2" w:rsidRDefault="000B687A" w:rsidP="009653FA">
      <w:pPr>
        <w:pStyle w:val="BodyTextIndent"/>
        <w:ind w:left="0" w:firstLine="0"/>
        <w:contextualSpacing/>
        <w:rPr>
          <w:szCs w:val="24"/>
          <w:lang w:val="sr-Latn-BA"/>
        </w:rPr>
      </w:pPr>
      <w:r w:rsidRPr="00930FF2">
        <w:rPr>
          <w:szCs w:val="24"/>
          <w:lang w:val="sl-SI"/>
        </w:rPr>
        <w:t>Zatvoreni</w:t>
      </w:r>
      <w:r w:rsidR="001669EB" w:rsidRPr="00930FF2">
        <w:rPr>
          <w:szCs w:val="24"/>
          <w:lang w:val="sl-SI"/>
        </w:rPr>
        <w:t xml:space="preserve"> </w:t>
      </w:r>
      <w:r w:rsidR="00CE097B" w:rsidRPr="00930FF2">
        <w:rPr>
          <w:szCs w:val="24"/>
          <w:lang w:val="sl-SI"/>
        </w:rPr>
        <w:t>mješoviti</w:t>
      </w:r>
      <w:r w:rsidRPr="00930FF2">
        <w:rPr>
          <w:szCs w:val="24"/>
          <w:lang w:val="sl-SI"/>
        </w:rPr>
        <w:t xml:space="preserve"> investicioni fond</w:t>
      </w:r>
      <w:r w:rsidRPr="00930FF2">
        <w:rPr>
          <w:szCs w:val="24"/>
        </w:rPr>
        <w:t xml:space="preserve"> </w:t>
      </w:r>
      <w:r w:rsidRPr="00930FF2">
        <w:rPr>
          <w:szCs w:val="24"/>
          <w:lang w:val="sl-SI"/>
        </w:rPr>
        <w:t>sa javnom ponudom</w:t>
      </w:r>
      <w:r w:rsidR="009653FA" w:rsidRPr="00930FF2">
        <w:rPr>
          <w:szCs w:val="24"/>
          <w:lang w:val="sl-SI"/>
        </w:rPr>
        <w:t xml:space="preserve"> u preoblikovanju »Invest nova fond« </w:t>
      </w:r>
      <w:r w:rsidRPr="00930FF2">
        <w:rPr>
          <w:szCs w:val="24"/>
        </w:rPr>
        <w:t>а.</w:t>
      </w:r>
      <w:r w:rsidRPr="00930FF2">
        <w:rPr>
          <w:szCs w:val="24"/>
          <w:lang w:val="sl-SI"/>
        </w:rPr>
        <w:t>d</w:t>
      </w:r>
      <w:r w:rsidRPr="00930FF2">
        <w:rPr>
          <w:szCs w:val="24"/>
        </w:rPr>
        <w:t>.</w:t>
      </w:r>
      <w:r w:rsidRPr="00930FF2">
        <w:rPr>
          <w:szCs w:val="24"/>
          <w:lang w:val="sr-Latn-BA"/>
        </w:rPr>
        <w:t xml:space="preserve"> </w:t>
      </w:r>
      <w:r w:rsidRPr="00930FF2">
        <w:rPr>
          <w:szCs w:val="24"/>
          <w:lang w:val="sl-SI"/>
        </w:rPr>
        <w:t>Bijeljina</w:t>
      </w:r>
      <w:r w:rsidRPr="00930FF2">
        <w:rPr>
          <w:szCs w:val="24"/>
        </w:rPr>
        <w:t>,</w:t>
      </w:r>
    </w:p>
    <w:p w:rsidR="000B687A" w:rsidRPr="00930FF2" w:rsidRDefault="000B687A" w:rsidP="000B687A">
      <w:pPr>
        <w:pStyle w:val="BodyTextIndent"/>
        <w:ind w:left="0" w:firstLine="0"/>
        <w:rPr>
          <w:szCs w:val="24"/>
          <w:lang w:val="sr-Latn-BA"/>
        </w:rPr>
      </w:pPr>
      <w:r w:rsidRPr="00930FF2">
        <w:rPr>
          <w:szCs w:val="24"/>
          <w:lang w:val="sl-SI"/>
        </w:rPr>
        <w:t>Skraćeni naziv Fonda glasi</w:t>
      </w:r>
      <w:r w:rsidRPr="00930FF2">
        <w:rPr>
          <w:szCs w:val="24"/>
        </w:rPr>
        <w:t xml:space="preserve">: </w:t>
      </w:r>
      <w:r w:rsidRPr="00930FF2">
        <w:rPr>
          <w:szCs w:val="24"/>
          <w:lang w:val="sl-SI"/>
        </w:rPr>
        <w:t>Z</w:t>
      </w:r>
      <w:r w:rsidR="00CE097B" w:rsidRPr="00930FF2">
        <w:rPr>
          <w:szCs w:val="24"/>
          <w:lang w:val="sl-SI"/>
        </w:rPr>
        <w:t>M</w:t>
      </w:r>
      <w:r w:rsidRPr="00930FF2">
        <w:rPr>
          <w:szCs w:val="24"/>
          <w:lang w:val="sl-SI"/>
        </w:rPr>
        <w:t>IF</w:t>
      </w:r>
      <w:r w:rsidR="009653FA" w:rsidRPr="00930FF2">
        <w:rPr>
          <w:szCs w:val="24"/>
          <w:lang w:val="sl-SI"/>
        </w:rPr>
        <w:t xml:space="preserve"> u preoblikovanju</w:t>
      </w:r>
      <w:r w:rsidRPr="00930FF2">
        <w:rPr>
          <w:szCs w:val="24"/>
        </w:rPr>
        <w:t xml:space="preserve"> </w:t>
      </w:r>
      <w:r w:rsidRPr="00930FF2">
        <w:rPr>
          <w:szCs w:val="24"/>
          <w:lang w:val="sl-SI"/>
        </w:rPr>
        <w:t xml:space="preserve">»Invest nova fond« </w:t>
      </w:r>
      <w:r w:rsidRPr="00930FF2">
        <w:rPr>
          <w:szCs w:val="24"/>
        </w:rPr>
        <w:t>а.</w:t>
      </w:r>
      <w:r w:rsidRPr="00930FF2">
        <w:rPr>
          <w:szCs w:val="24"/>
          <w:lang w:val="sl-SI"/>
        </w:rPr>
        <w:t>d.</w:t>
      </w:r>
      <w:r w:rsidRPr="00930FF2">
        <w:rPr>
          <w:szCs w:val="24"/>
        </w:rPr>
        <w:t xml:space="preserve"> </w:t>
      </w:r>
      <w:r w:rsidRPr="00930FF2">
        <w:rPr>
          <w:szCs w:val="24"/>
          <w:lang w:val="sl-SI"/>
        </w:rPr>
        <w:t>Bijeljina</w:t>
      </w:r>
      <w:r w:rsidRPr="00930FF2">
        <w:rPr>
          <w:szCs w:val="24"/>
        </w:rPr>
        <w:t xml:space="preserve"> (</w:t>
      </w:r>
      <w:r w:rsidRPr="00930FF2">
        <w:rPr>
          <w:szCs w:val="24"/>
          <w:lang w:val="sl-SI"/>
        </w:rPr>
        <w:t>u daljem tekstu Fond</w:t>
      </w:r>
      <w:r w:rsidRPr="00930FF2">
        <w:rPr>
          <w:szCs w:val="24"/>
        </w:rPr>
        <w:t xml:space="preserve">). </w:t>
      </w:r>
    </w:p>
    <w:p w:rsidR="00E37E92" w:rsidRPr="00930FF2" w:rsidRDefault="00E37E92" w:rsidP="000B687A">
      <w:pPr>
        <w:pStyle w:val="BodyTextIndent"/>
        <w:ind w:left="0" w:firstLine="0"/>
        <w:rPr>
          <w:szCs w:val="24"/>
          <w:lang w:val="sr-Latn-BA"/>
        </w:rPr>
      </w:pPr>
    </w:p>
    <w:p w:rsidR="000B687A" w:rsidRPr="00930FF2" w:rsidRDefault="000B687A" w:rsidP="00F553CF">
      <w:pPr>
        <w:pStyle w:val="ListParagraph"/>
        <w:numPr>
          <w:ilvl w:val="2"/>
          <w:numId w:val="8"/>
        </w:numPr>
      </w:pPr>
      <w:r w:rsidRPr="00930FF2">
        <w:t>Sjedište, matični broj, broj registracije:</w:t>
      </w:r>
    </w:p>
    <w:p w:rsidR="00AF293E" w:rsidRPr="00930FF2" w:rsidRDefault="00AF293E" w:rsidP="00AF293E">
      <w:pPr>
        <w:ind w:left="0" w:firstLine="0"/>
      </w:pPr>
      <w:r w:rsidRPr="00930FF2">
        <w:t>Sjedište Fonda: 76300 Bijeljina, Gavrila Principa 11, Republika Srpska, Bosna i Hercegovina</w:t>
      </w:r>
    </w:p>
    <w:p w:rsidR="00AF293E" w:rsidRPr="00930FF2" w:rsidRDefault="00AF293E" w:rsidP="00AF293E">
      <w:pPr>
        <w:ind w:left="0" w:firstLine="0"/>
      </w:pPr>
      <w:r w:rsidRPr="00930FF2">
        <w:t xml:space="preserve">Matični broj: 01956973 </w:t>
      </w:r>
    </w:p>
    <w:p w:rsidR="00AF293E" w:rsidRPr="00930FF2" w:rsidRDefault="00AF293E" w:rsidP="00AF293E">
      <w:pPr>
        <w:ind w:left="0" w:firstLine="0"/>
      </w:pPr>
      <w:r w:rsidRPr="00930FF2">
        <w:t>Poreski broj: 4400352650008</w:t>
      </w:r>
    </w:p>
    <w:p w:rsidR="000D3F7B" w:rsidRPr="00930FF2" w:rsidRDefault="00AF293E" w:rsidP="00AF293E">
      <w:pPr>
        <w:ind w:left="0" w:firstLine="0"/>
      </w:pPr>
      <w:r w:rsidRPr="00930FF2">
        <w:t>Registracioni sud: O</w:t>
      </w:r>
      <w:r w:rsidR="00541882" w:rsidRPr="00930FF2">
        <w:t>kružni privredni</w:t>
      </w:r>
      <w:r w:rsidRPr="00930FF2">
        <w:t xml:space="preserve"> sud u Bijeljini</w:t>
      </w:r>
      <w:r w:rsidR="000D3F7B" w:rsidRPr="00930FF2">
        <w:t xml:space="preserve">, broj rješenja o upisu u sudski registar: </w:t>
      </w:r>
    </w:p>
    <w:p w:rsidR="00AF293E" w:rsidRPr="00930FF2" w:rsidRDefault="000D3F7B" w:rsidP="00AF293E">
      <w:pPr>
        <w:ind w:left="0" w:firstLine="0"/>
      </w:pPr>
      <w:r w:rsidRPr="00930FF2">
        <w:t>059-0-Reg-11-000 488 od 07.09.2011. godine, broj registarskog uloška 1-5399.</w:t>
      </w:r>
    </w:p>
    <w:p w:rsidR="000B687A" w:rsidRPr="00930FF2" w:rsidRDefault="000B687A" w:rsidP="00AF293E">
      <w:pPr>
        <w:ind w:left="0" w:firstLine="0"/>
      </w:pPr>
    </w:p>
    <w:p w:rsidR="004F35A1" w:rsidRPr="00930FF2" w:rsidRDefault="000B687A" w:rsidP="00F553CF">
      <w:pPr>
        <w:pStyle w:val="ListParagraph"/>
        <w:numPr>
          <w:ilvl w:val="2"/>
          <w:numId w:val="8"/>
        </w:numPr>
      </w:pPr>
      <w:r w:rsidRPr="00930FF2">
        <w:t>Pravna forma emitenta, adresa, broj telefona i e-mail adresa:</w:t>
      </w:r>
    </w:p>
    <w:p w:rsidR="000B687A" w:rsidRPr="00930FF2" w:rsidRDefault="001669EB" w:rsidP="000B687A">
      <w:pPr>
        <w:ind w:left="0" w:firstLine="0"/>
        <w:contextualSpacing/>
      </w:pPr>
      <w:r w:rsidRPr="00930FF2">
        <w:t xml:space="preserve">Fond </w:t>
      </w:r>
      <w:r w:rsidR="000B687A" w:rsidRPr="00930FF2">
        <w:t>je organizovan kao otvoreno akcionarsko društvo u skladu sa Zakonom o privrednim društvima.</w:t>
      </w:r>
    </w:p>
    <w:p w:rsidR="00087D42" w:rsidRPr="00930FF2" w:rsidRDefault="00087D42" w:rsidP="00087D42">
      <w:pPr>
        <w:pStyle w:val="BodyText"/>
        <w:rPr>
          <w:szCs w:val="24"/>
          <w:lang w:val="sr-Latn-BA"/>
        </w:rPr>
      </w:pPr>
      <w:r w:rsidRPr="00930FF2">
        <w:rPr>
          <w:szCs w:val="24"/>
        </w:rPr>
        <w:t xml:space="preserve">Vrijeme trajanja Fonda je neograničeno, tj. Fond je osnovan na neodređeno vrijeme i može prestati samo u slučajevima i na način predviđen Zakonom o investicionim fondovima i </w:t>
      </w:r>
      <w:r w:rsidRPr="00930FF2">
        <w:rPr>
          <w:szCs w:val="24"/>
          <w:lang w:val="sr-Latn-BA"/>
        </w:rPr>
        <w:t>Zakonom o privrednim društvima.</w:t>
      </w:r>
    </w:p>
    <w:p w:rsidR="000B687A" w:rsidRPr="00930FF2" w:rsidRDefault="000B687A" w:rsidP="0035167D">
      <w:pPr>
        <w:ind w:left="0" w:firstLine="0"/>
        <w:contextualSpacing/>
        <w:rPr>
          <w:color w:val="76923C"/>
        </w:rPr>
      </w:pPr>
      <w:r w:rsidRPr="00930FF2">
        <w:t>Tel/faks – 055/206-021, 055/208-131</w:t>
      </w:r>
    </w:p>
    <w:p w:rsidR="000B687A" w:rsidRPr="00930FF2" w:rsidRDefault="000B687A" w:rsidP="0035167D">
      <w:pPr>
        <w:ind w:left="0" w:firstLine="0"/>
        <w:contextualSpacing/>
      </w:pPr>
      <w:r w:rsidRPr="00930FF2">
        <w:t xml:space="preserve">E-mail: </w:t>
      </w:r>
      <w:hyperlink r:id="rId8" w:history="1">
        <w:r w:rsidRPr="00930FF2">
          <w:rPr>
            <w:rStyle w:val="Hyperlink"/>
          </w:rPr>
          <w:t>office@investnova.info</w:t>
        </w:r>
      </w:hyperlink>
    </w:p>
    <w:p w:rsidR="00E37E92" w:rsidRPr="00930FF2" w:rsidRDefault="00E37E92" w:rsidP="0035167D">
      <w:pPr>
        <w:ind w:left="0" w:firstLine="0"/>
        <w:contextualSpacing/>
      </w:pPr>
    </w:p>
    <w:p w:rsidR="001C4120" w:rsidRPr="00930FF2" w:rsidRDefault="009653FA" w:rsidP="00F553CF">
      <w:pPr>
        <w:pStyle w:val="ListParagraph"/>
        <w:numPr>
          <w:ilvl w:val="2"/>
          <w:numId w:val="8"/>
        </w:numPr>
      </w:pPr>
      <w:r w:rsidRPr="00930FF2">
        <w:t>Datum osni</w:t>
      </w:r>
      <w:r w:rsidR="00E37E92" w:rsidRPr="00930FF2">
        <w:t>vanja i registracije emitenta:</w:t>
      </w:r>
    </w:p>
    <w:p w:rsidR="001C4120" w:rsidRPr="00930FF2" w:rsidRDefault="001C4120" w:rsidP="001C4120">
      <w:pPr>
        <w:ind w:left="0" w:firstLine="0"/>
        <w:contextualSpacing/>
      </w:pPr>
      <w:r w:rsidRPr="00930FF2">
        <w:t>Fond je osnovan 18.04.2002. godine, a registrovan dana 31.05.2002. godine na osnovu Rješenja Komisije za hartije od vrijednosti Republike Srpske, broj: 04-UP-041-P-842/02 od 15.05.2002. godine.</w:t>
      </w:r>
    </w:p>
    <w:p w:rsidR="00E37E92" w:rsidRPr="00930FF2" w:rsidRDefault="00E37E92" w:rsidP="00E37E92">
      <w:pPr>
        <w:pStyle w:val="ListParagraph"/>
        <w:ind w:left="1080" w:firstLine="0"/>
      </w:pPr>
    </w:p>
    <w:p w:rsidR="004F35A1" w:rsidRPr="00930FF2" w:rsidRDefault="004F35A1" w:rsidP="00F553CF">
      <w:pPr>
        <w:pStyle w:val="ListParagraph"/>
        <w:numPr>
          <w:ilvl w:val="2"/>
          <w:numId w:val="8"/>
        </w:numPr>
      </w:pPr>
      <w:r w:rsidRPr="00930FF2">
        <w:t>Događaji značajni za razvoj:</w:t>
      </w:r>
    </w:p>
    <w:p w:rsidR="000B687A" w:rsidRPr="00930FF2" w:rsidRDefault="00AF293E" w:rsidP="0035167D">
      <w:pPr>
        <w:ind w:left="0" w:firstLine="0"/>
        <w:contextualSpacing/>
        <w:rPr>
          <w:lang w:val="sr-Latn-BA"/>
        </w:rPr>
      </w:pPr>
      <w:r w:rsidRPr="00930FF2">
        <w:rPr>
          <w:lang w:val="sr-Latn-BA"/>
        </w:rPr>
        <w:t xml:space="preserve">Komisija za hartije od vrijednosti je svojim Rešenjem broj: 01-UP-041-2453/07, dana 15.06.2007. godine dala saglasnost za transformaciju fonda. </w:t>
      </w:r>
    </w:p>
    <w:p w:rsidR="000B687A" w:rsidRPr="00930FF2" w:rsidRDefault="00AF293E" w:rsidP="0035167D">
      <w:pPr>
        <w:ind w:left="0" w:firstLine="0"/>
        <w:contextualSpacing/>
        <w:rPr>
          <w:lang w:val="sr-Latn-BA"/>
        </w:rPr>
      </w:pPr>
      <w:r w:rsidRPr="00930FF2">
        <w:rPr>
          <w:lang w:val="sr-Latn-BA"/>
        </w:rPr>
        <w:t xml:space="preserve">Svojim Rešenjem, Komisija za HOV RS broj: 01-03-RE-2612/07, je dana 10.07.2007. godine, </w:t>
      </w:r>
    </w:p>
    <w:p w:rsidR="000B687A" w:rsidRPr="00930FF2" w:rsidRDefault="00AF293E" w:rsidP="0035167D">
      <w:pPr>
        <w:ind w:left="0" w:firstLine="0"/>
        <w:contextualSpacing/>
        <w:rPr>
          <w:lang w:val="sr-Latn-BA"/>
        </w:rPr>
      </w:pPr>
      <w:r w:rsidRPr="00930FF2">
        <w:rPr>
          <w:lang w:val="sr-Latn-BA"/>
        </w:rPr>
        <w:t>izvršila upis fonda u registar emitenata.</w:t>
      </w:r>
    </w:p>
    <w:p w:rsidR="00B15BE1" w:rsidRPr="00930FF2" w:rsidRDefault="00B15BE1" w:rsidP="0035167D">
      <w:pPr>
        <w:ind w:left="0" w:firstLine="0"/>
        <w:contextualSpacing/>
        <w:rPr>
          <w:b/>
          <w:bCs/>
          <w:sz w:val="26"/>
          <w:szCs w:val="26"/>
        </w:rPr>
      </w:pPr>
    </w:p>
    <w:p w:rsidR="000342D6" w:rsidRPr="00930FF2" w:rsidRDefault="000342D6" w:rsidP="00F553CF">
      <w:pPr>
        <w:pStyle w:val="ListParagraph"/>
        <w:numPr>
          <w:ilvl w:val="2"/>
          <w:numId w:val="8"/>
        </w:numPr>
      </w:pPr>
      <w:r w:rsidRPr="00930FF2">
        <w:t>Nadzorni odbor Fonda izabran je na Skupštini akcionara Fonda, dana 11.05.2015.</w:t>
      </w:r>
    </w:p>
    <w:p w:rsidR="000342D6" w:rsidRPr="00930FF2" w:rsidRDefault="000342D6" w:rsidP="000342D6">
      <w:pPr>
        <w:ind w:left="0" w:firstLine="0"/>
        <w:contextualSpacing/>
      </w:pPr>
      <w:r w:rsidRPr="00930FF2">
        <w:lastRenderedPageBreak/>
        <w:t>godine na period od 4 godine, odnosno na Skupštini akcionara Fonda, dana 06.04.2016. godine, u sljedećem sastavu:</w:t>
      </w:r>
    </w:p>
    <w:p w:rsidR="000342D6" w:rsidRPr="00930FF2" w:rsidRDefault="000342D6" w:rsidP="000342D6">
      <w:pPr>
        <w:ind w:left="0" w:firstLine="0"/>
        <w:rPr>
          <w:lang w:val="sl-SI"/>
        </w:rPr>
      </w:pPr>
      <w:r w:rsidRPr="00930FF2">
        <w:rPr>
          <w:b/>
          <w:i/>
        </w:rPr>
        <w:t>Darjo Pungartnik</w:t>
      </w:r>
      <w:r w:rsidRPr="00930FF2">
        <w:t xml:space="preserve">, </w:t>
      </w:r>
      <w:r w:rsidRPr="00930FF2">
        <w:rPr>
          <w:lang w:val="sr-Latn-BA"/>
        </w:rPr>
        <w:t>magistar ekonomije, predsjednik Nadzornog odbora Fonda,</w:t>
      </w:r>
      <w:r w:rsidRPr="00930FF2">
        <w:rPr>
          <w:lang w:val="sl-SI"/>
        </w:rPr>
        <w:t xml:space="preserve"> </w:t>
      </w:r>
      <w:r w:rsidRPr="00930FF2">
        <w:rPr>
          <w:lang w:val="sr-Latn-BA"/>
        </w:rPr>
        <w:t xml:space="preserve">trajanje mandata od 11.05.2015. godine do 11.05.2019. godine, rođen </w:t>
      </w:r>
      <w:r w:rsidRPr="00930FF2">
        <w:rPr>
          <w:lang w:val="sl-SI"/>
        </w:rPr>
        <w:t xml:space="preserve">05.06.1968. godine u Slovenj Gradcu, Republika Slovenija. Visoko stručno obrazovanje diplomiranog inžinjera rudarstva stekao na Fakultetu za narovoslovlje i tehnologije, Univerziteta u Ljubljani, 1993. godine. Naučno zvanje magistra ekonomije posjeduje od 1997. godine. Zaposlen u </w:t>
      </w:r>
      <w:r w:rsidRPr="00930FF2">
        <w:t>Poslovne storitve Darjo Pungartnik s.p. - preduzetnik</w:t>
      </w:r>
      <w:r w:rsidRPr="00930FF2">
        <w:rPr>
          <w:lang w:val="sl-SI"/>
        </w:rPr>
        <w:t xml:space="preserve">. Funkciju direktora obavljao u preduzeću Pluton Gradnje d.o.o. i firmama kćerkama Pluton d.o.o., Oberon d.o.o., Projekt 10 d.o.o., Skupina Pluton d.o.o., </w:t>
      </w:r>
      <w:r w:rsidRPr="00930FF2">
        <w:t xml:space="preserve">Biogoriva d.o.o., Pinus TKI d.o.o, Avanta Real d.d., Mins NO1 d.o.o., Premogovnik Velenje d.d. </w:t>
      </w:r>
      <w:r w:rsidRPr="00930FF2">
        <w:rPr>
          <w:lang w:val="sl-SI"/>
        </w:rPr>
        <w:t>Republika Slovenija</w:t>
      </w:r>
      <w:r w:rsidRPr="00930FF2">
        <w:t xml:space="preserve">. </w:t>
      </w:r>
      <w:r w:rsidRPr="00930FF2">
        <w:rPr>
          <w:lang w:val="sl-SI"/>
        </w:rPr>
        <w:t>U posljednjih pet godina nije pravosnažno osuđen za krivična djela protiv privrede. Ni u jednom od navedenih emitenata nije vođen stečaj ili likvidacija u posljednjih pet godina. Od strane pravosudnih ili regulatornih organa nije bilo službenih optužbi ili sankcija, te u posljednjih pet godina sudskom odlukom nije isključen, niti mu je zabranjen rad u takvim organima.</w:t>
      </w:r>
    </w:p>
    <w:p w:rsidR="000342D6" w:rsidRPr="00930FF2" w:rsidRDefault="000342D6" w:rsidP="000342D6">
      <w:pPr>
        <w:ind w:left="0" w:firstLine="0"/>
        <w:rPr>
          <w:lang w:val="sl-SI"/>
        </w:rPr>
      </w:pPr>
      <w:r w:rsidRPr="00930FF2">
        <w:rPr>
          <w:b/>
          <w:i/>
          <w:lang w:val="sr-Latn-BA"/>
        </w:rPr>
        <w:t>Petar Dragičević</w:t>
      </w:r>
      <w:r w:rsidRPr="00930FF2">
        <w:rPr>
          <w:lang w:val="sr-Cyrl-CS"/>
        </w:rPr>
        <w:t>,</w:t>
      </w:r>
      <w:r w:rsidRPr="00930FF2">
        <w:rPr>
          <w:lang w:val="sl-SI"/>
        </w:rPr>
        <w:t xml:space="preserve"> magistar ekonomskih nauka, član Nadzornog odbora Fonda</w:t>
      </w:r>
    </w:p>
    <w:p w:rsidR="000342D6" w:rsidRPr="00930FF2" w:rsidRDefault="000342D6" w:rsidP="000342D6">
      <w:pPr>
        <w:ind w:left="0" w:firstLine="0"/>
        <w:rPr>
          <w:lang w:val="sl-SI"/>
        </w:rPr>
      </w:pPr>
      <w:r w:rsidRPr="00930FF2">
        <w:rPr>
          <w:lang w:val="sr-Latn-BA"/>
        </w:rPr>
        <w:t xml:space="preserve">trajanje mandata od 11.05.2015. godine do 11.05.2019. godine, </w:t>
      </w:r>
      <w:r w:rsidRPr="00930FF2">
        <w:rPr>
          <w:lang w:val="sl-SI"/>
        </w:rPr>
        <w:t xml:space="preserve">rođen 30.08.1954. godine u Suhom Polju, Opština Bijeljina. Završio gimnaziju u Bijeljini, a visoko stručno obrazovanje diplomiranog ekonomiste stekao na Ekonomskom fakultetu, Univerziteta u Sarajevu, </w:t>
      </w:r>
      <w:r w:rsidRPr="00930FF2">
        <w:rPr>
          <w:color w:val="000000"/>
          <w:lang w:val="sl-SI"/>
        </w:rPr>
        <w:t>1973. godine.</w:t>
      </w:r>
      <w:r w:rsidRPr="00930FF2">
        <w:rPr>
          <w:lang w:val="sl-SI"/>
        </w:rPr>
        <w:t xml:space="preserve"> Naučno zvanje magistra ekonomskih nauka posjeduje od 2000. godine. Od stručnih i naučnih radova značajno je učestvovao u izradi brojnih studija, strategija iz oblasti elektroenergetskog sektora RS. Zaposlen u Rudniku i termoelektrani »Ugljevik« a.d. Ugljevik. Funkciju člana Nadzornog odbora je obavljao u preduzeću Komunalac a.d. Bijeljina, te bio član Upravnog odbora Društva za upravljanje investicionim fondovima »Invest nova« a.d. Bijeljina. Ni u jednom od navedenih emitenata nije vođen stečaj ili likvidacija u posljednjih pet godina. Od strane pravosudnih ili regulatornih organa nije bilo službenih optužbi ili sankcija, te u posljednjih pet godina sudskom odlukom nije isključen, niti mu je zabranjen rad u takvim organima.</w:t>
      </w:r>
    </w:p>
    <w:p w:rsidR="000342D6" w:rsidRPr="00930FF2" w:rsidRDefault="000342D6" w:rsidP="000342D6">
      <w:pPr>
        <w:ind w:left="0" w:firstLine="0"/>
        <w:contextualSpacing/>
        <w:rPr>
          <w:lang w:val="sl-SI"/>
        </w:rPr>
      </w:pPr>
      <w:r w:rsidRPr="00930FF2">
        <w:rPr>
          <w:b/>
          <w:i/>
        </w:rPr>
        <w:t>Biljana Čepujnoska Sekulić</w:t>
      </w:r>
      <w:r w:rsidRPr="00930FF2">
        <w:t>, diplomirani ekonomista</w:t>
      </w:r>
      <w:r w:rsidRPr="00930FF2">
        <w:rPr>
          <w:lang w:val="sr-Latn-BA"/>
        </w:rPr>
        <w:t xml:space="preserve">, član Nadzornog odbora Fonda, trajanje mandata od 06.04.2016. godine do 11.05.2019. godine, rođena </w:t>
      </w:r>
      <w:r w:rsidRPr="00930FF2">
        <w:rPr>
          <w:lang w:val="sl-SI"/>
        </w:rPr>
        <w:t xml:space="preserve">02.03.1972. godine u Skoplju, Republika Makedonija. Visoko stručno obrazovanje diplomiranog ekonomiste stekla na Ekonomskom Fakultetu, Univerziteta »Sv. Kiril i Metodij« u Skoplju, 1995. godine. Investicioni bankar sa 20 godina radnog iskustva u oblasti korporativnih finansija i investicionog bankarstva. Radno iskustvo sticala je u Ministarstvu finansija Republike Makedonije, obavljala poslove savjetnika za poreze. Poslove portfolio analitičara obavljala u »Merrill Lynch«, Sun City, Arizona, Sjedinjene Američke Države. Poslove investicionog savjetovanja, obavljala u »Makedonskom poslovnom centru«, Skoplje. U periodu od 2002. godine do 2013. godine poslove rukovođenja privatizacijom i M&amp;A transakcijama obavljala u »Raiffeisen Investment AG – Predstavništvo Beograd«, raspoređena na poslovima nezavisnog konsultanta za investicije, menadžera projekta, potpredsjednika i direktora. Poslove finansijskog direktora u periodu od 2013. godine do februara 2016. godine, obavljala je u »ESTEX« d.o.o. Beograd. Trenutno nezavisni konsultant. </w:t>
      </w:r>
      <w:r w:rsidRPr="00930FF2">
        <w:rPr>
          <w:lang w:val="sr-Latn-BA"/>
        </w:rPr>
        <w:t xml:space="preserve">Nije član Upravnih ili Nadzornih odbora u drugim emitentima i nije učestvovala u radu odbora </w:t>
      </w:r>
      <w:r w:rsidRPr="00930FF2">
        <w:rPr>
          <w:lang w:val="sl-SI"/>
        </w:rPr>
        <w:t>emitenata u kojima je vođen stečaj ili likvidacija</w:t>
      </w:r>
      <w:r w:rsidRPr="00930FF2">
        <w:rPr>
          <w:lang w:val="sr-Latn-BA"/>
        </w:rPr>
        <w:t xml:space="preserve"> u posljednjih pet godina</w:t>
      </w:r>
      <w:r w:rsidRPr="00930FF2">
        <w:rPr>
          <w:lang w:val="sl-SI"/>
        </w:rPr>
        <w:t xml:space="preserve">. U posljednjih pet godina nije pravosnažno osuđena za krivična djela protiv privrede. Od strane pravosudnih ili regulatornih organa nije bilo službenih optužbi ili sankcija, te u posljednjih pet godina sudskom odlukom nije isključena, niti joj je zabranjen rad u takvim organima. </w:t>
      </w:r>
    </w:p>
    <w:p w:rsidR="000342D6" w:rsidRPr="00930FF2" w:rsidRDefault="000342D6" w:rsidP="000342D6">
      <w:pPr>
        <w:ind w:left="0" w:firstLine="0"/>
        <w:contextualSpacing/>
        <w:rPr>
          <w:lang w:val="sl-SI"/>
        </w:rPr>
      </w:pPr>
      <w:r w:rsidRPr="00930FF2">
        <w:rPr>
          <w:b/>
          <w:i/>
        </w:rPr>
        <w:t>Miladin Vidić</w:t>
      </w:r>
      <w:r w:rsidRPr="00930FF2">
        <w:t>, diplomirani ekonomista</w:t>
      </w:r>
      <w:r w:rsidRPr="00930FF2">
        <w:rPr>
          <w:lang w:val="sr-Latn-BA"/>
        </w:rPr>
        <w:t xml:space="preserve">, član Nadzornog odbora Fonda, trajanje mandata od 06.04.2016. godine do 11.05.2019. godine, rođen </w:t>
      </w:r>
      <w:r w:rsidRPr="00930FF2">
        <w:rPr>
          <w:lang w:val="sl-SI"/>
        </w:rPr>
        <w:t xml:space="preserve">02.01.1950. godine u Donjoj Trnovi, Opština </w:t>
      </w:r>
      <w:r w:rsidRPr="00930FF2">
        <w:rPr>
          <w:lang w:val="sl-SI"/>
        </w:rPr>
        <w:lastRenderedPageBreak/>
        <w:t>Ugljevik. Visoko stručno obrazovanje diplomiranog ekonomiste stekao na Ekonomskom Fakultetu u Subotici, Univerziteta u Novom Sadu, 1976. godine. Radno iskustvo sticao je u »RNK Zenica - Tvornica za preradu žice«, Bijeljina, na poslovima komercijalnog rukovodioca u periodu od 1976. godine do 1985. godine. Funkciju Direktora »Privredne banke Sarajevo – Osnovna banka Bijeljina«, obavljao u periodu od 1985. godine do 1992. godine, nakon čega prelazi u »Export Banku« a.d. Bijeljina do 2000. godine, kada usljed reorganizacije, ista mijenja naziv u »Nova banka« a.d. Bijeljina (danas Banja Luka) i u periodu od 2000. godine do penzionisanja, biva raspoređen na poslovima zamjenika direktora banke, savjetnika direktora banke, pomoćnika direktora banke za compliance, višeg samostalnog saradnika za upravljanje spornim kreditima – direkcija za upravljanje rizicima, višeg samostalnog saradnika – upravljanje spornim kreditima, sektor za upravljanje rizicima. Obavljao je funkciju člana Nadzornog odbora u akcionarskom društvu »Vodovod i kanalizacija«, Bijeljina. N</w:t>
      </w:r>
      <w:r w:rsidRPr="00930FF2">
        <w:rPr>
          <w:lang w:val="sr-Latn-BA"/>
        </w:rPr>
        <w:t xml:space="preserve">ije učestvovao u radu odbora </w:t>
      </w:r>
      <w:r w:rsidRPr="00930FF2">
        <w:rPr>
          <w:lang w:val="sl-SI"/>
        </w:rPr>
        <w:t>emitenata u kojima je vođen stečaj ili likvidacija</w:t>
      </w:r>
      <w:r w:rsidRPr="00930FF2">
        <w:rPr>
          <w:lang w:val="sr-Latn-BA"/>
        </w:rPr>
        <w:t xml:space="preserve"> u posljednjih pet godina</w:t>
      </w:r>
      <w:r w:rsidRPr="00930FF2">
        <w:rPr>
          <w:lang w:val="sl-SI"/>
        </w:rPr>
        <w:t xml:space="preserve">. U posljednjih pet godina nije pravosnažno osuđen za krivična djela protiv privrede. Od strane pravosudnih ili regulatornih organa nije bilo službenih optužbi ili sankcija, te u posljednjih pet godina sudskom odlukom nije isključen, niti mu je zabranjen rad u takvim organima. </w:t>
      </w:r>
    </w:p>
    <w:p w:rsidR="000342D6" w:rsidRPr="00930FF2" w:rsidRDefault="000342D6" w:rsidP="000342D6">
      <w:pPr>
        <w:ind w:left="0" w:firstLine="0"/>
        <w:contextualSpacing/>
        <w:rPr>
          <w:lang w:val="sl-SI"/>
        </w:rPr>
      </w:pPr>
      <w:r w:rsidRPr="00930FF2">
        <w:rPr>
          <w:b/>
          <w:i/>
        </w:rPr>
        <w:t>Cvijeta Cacanović</w:t>
      </w:r>
      <w:r w:rsidRPr="00930FF2">
        <w:t xml:space="preserve">, diplomirani inženjer za informacione sisteme, </w:t>
      </w:r>
      <w:r w:rsidRPr="00930FF2">
        <w:rPr>
          <w:lang w:val="sr-Latn-BA"/>
        </w:rPr>
        <w:t xml:space="preserve">član Nadzornog odbora Fonda, trajanje mandata od 06.04.2016. godine do 11.05.2019. godine, rođena </w:t>
      </w:r>
      <w:r w:rsidRPr="00930FF2">
        <w:rPr>
          <w:lang w:val="sl-SI"/>
        </w:rPr>
        <w:t xml:space="preserve">12.09.1972. godine u Brčkom. Visoko stručno obrazovanje diplomiranog inženjera za informacione sisteme stekla na Fakultetu Organizacionih nauka, Univerziteta u Beogradu, 1998. godine. Radno iskustvo sticala je na poslovima višeg stručnog saradnika u »Srpskoj državnoj banci - Razvojna banka« a.d. Banja Luka, filijala Brčko i filijala Bijeljina, u periodu od 1998. godine do 2001. godine. Od 2001. godine, do danas zaposlena u Novoj banci a.d. Banja Luka. U navedenom periodu bila je raspoređena na poslovima višeg stručnog saradnika u AOP-u, šefa odjeljenja unutrašnjeg platnog prometa, obrade podataka i elektronskog bankarstva, višeg stručnog saradnika u samostalnom odjeljenju za internu kontrolu i saradnika u odjeljenju interne revizije. </w:t>
      </w:r>
      <w:r w:rsidRPr="00930FF2">
        <w:rPr>
          <w:lang w:val="sr-Latn-BA"/>
        </w:rPr>
        <w:t xml:space="preserve">Nije član Upravnih ili Nadzornih odbora u drugim emitentima i nije učestvovala u radu odbora </w:t>
      </w:r>
      <w:r w:rsidRPr="00930FF2">
        <w:rPr>
          <w:lang w:val="sl-SI"/>
        </w:rPr>
        <w:t>emitenata u kojima je vođen stečaj ili likvidacija</w:t>
      </w:r>
      <w:r w:rsidRPr="00930FF2">
        <w:rPr>
          <w:lang w:val="sr-Latn-BA"/>
        </w:rPr>
        <w:t xml:space="preserve"> u posljednjih pet godina</w:t>
      </w:r>
      <w:r w:rsidRPr="00930FF2">
        <w:rPr>
          <w:lang w:val="sl-SI"/>
        </w:rPr>
        <w:t xml:space="preserve">. U posljednjih pet godina nije pravosnažno osuđena za krivična djela protiv privrede. Od strane pravosudnih ili regulatornih organa nije bilo službenih optužbi ili sankcija, te u posljednjih pet godina sudskom odlukom nije isključena, niti joj je zabranjen rad u takvim organima. </w:t>
      </w:r>
    </w:p>
    <w:p w:rsidR="000342D6" w:rsidRPr="00930FF2" w:rsidRDefault="000342D6" w:rsidP="0035167D">
      <w:pPr>
        <w:ind w:left="0" w:firstLine="0"/>
        <w:contextualSpacing/>
        <w:rPr>
          <w:b/>
          <w:bCs/>
          <w:sz w:val="26"/>
          <w:szCs w:val="26"/>
        </w:rPr>
      </w:pPr>
    </w:p>
    <w:p w:rsidR="004F35A1" w:rsidRPr="00930FF2" w:rsidRDefault="0035167D" w:rsidP="00F553CF">
      <w:pPr>
        <w:pStyle w:val="ListParagraph"/>
        <w:numPr>
          <w:ilvl w:val="0"/>
          <w:numId w:val="8"/>
        </w:numPr>
        <w:rPr>
          <w:b/>
          <w:lang w:val="sr-Latn-BA"/>
        </w:rPr>
      </w:pPr>
      <w:r w:rsidRPr="00930FF2">
        <w:rPr>
          <w:b/>
          <w:bCs/>
          <w:sz w:val="26"/>
          <w:szCs w:val="26"/>
        </w:rPr>
        <w:t>ORGANIZACIONA STRUKTURA</w:t>
      </w:r>
    </w:p>
    <w:p w:rsidR="004F35A1" w:rsidRPr="00930FF2" w:rsidRDefault="00AF293E" w:rsidP="00F553CF">
      <w:pPr>
        <w:pStyle w:val="ListParagraph"/>
        <w:numPr>
          <w:ilvl w:val="1"/>
          <w:numId w:val="8"/>
        </w:numPr>
        <w:ind w:left="1080" w:hanging="720"/>
        <w:rPr>
          <w:lang w:val="sr-Latn-BA"/>
        </w:rPr>
      </w:pPr>
      <w:r w:rsidRPr="00930FF2">
        <w:t>Grupa/koncern kojoj Fond pripada: Fond nije dio grupe/koncerna ili korporacije, djeluje samostalno</w:t>
      </w:r>
      <w:r w:rsidR="004F35A1" w:rsidRPr="00930FF2">
        <w:t>.</w:t>
      </w:r>
    </w:p>
    <w:p w:rsidR="004F35A1" w:rsidRPr="00930FF2" w:rsidRDefault="004F35A1" w:rsidP="00F553CF">
      <w:pPr>
        <w:pStyle w:val="ListParagraph"/>
        <w:numPr>
          <w:ilvl w:val="1"/>
          <w:numId w:val="8"/>
        </w:numPr>
        <w:ind w:left="1080" w:hanging="720"/>
        <w:rPr>
          <w:lang w:val="sr-Latn-BA"/>
        </w:rPr>
      </w:pPr>
      <w:r w:rsidRPr="00930FF2">
        <w:rPr>
          <w:bCs/>
        </w:rPr>
        <w:t>Fond nema zavisnih društava.</w:t>
      </w:r>
    </w:p>
    <w:p w:rsidR="004F35A1" w:rsidRPr="00930FF2" w:rsidRDefault="004F35A1" w:rsidP="004F35A1">
      <w:pPr>
        <w:ind w:left="0" w:firstLine="0"/>
        <w:contextualSpacing/>
        <w:rPr>
          <w:bCs/>
          <w:color w:val="C00000"/>
        </w:rPr>
      </w:pPr>
    </w:p>
    <w:p w:rsidR="004F35A1" w:rsidRPr="00930FF2" w:rsidRDefault="0035167D" w:rsidP="00F553CF">
      <w:pPr>
        <w:pStyle w:val="ListParagraph"/>
        <w:numPr>
          <w:ilvl w:val="0"/>
          <w:numId w:val="8"/>
        </w:numPr>
        <w:rPr>
          <w:b/>
          <w:bCs/>
        </w:rPr>
      </w:pPr>
      <w:r w:rsidRPr="00930FF2">
        <w:rPr>
          <w:b/>
          <w:bCs/>
        </w:rPr>
        <w:t>FINANSIJSKO STANJE</w:t>
      </w:r>
    </w:p>
    <w:p w:rsidR="004F35A1" w:rsidRPr="00930FF2" w:rsidRDefault="001669EB" w:rsidP="004F35A1">
      <w:pPr>
        <w:ind w:left="0" w:firstLine="0"/>
        <w:contextualSpacing/>
        <w:rPr>
          <w:bCs/>
        </w:rPr>
      </w:pPr>
      <w:r w:rsidRPr="00930FF2">
        <w:rPr>
          <w:color w:val="000000"/>
          <w:lang w:eastAsia="en-GB"/>
        </w:rPr>
        <w:t>Fond</w:t>
      </w:r>
      <w:r w:rsidR="004F35A1" w:rsidRPr="00930FF2">
        <w:rPr>
          <w:color w:val="000000"/>
          <w:lang w:eastAsia="en-GB"/>
        </w:rPr>
        <w:t xml:space="preserve"> je poslovao s gubitkom u obe posmatrane poslovne godine.</w:t>
      </w:r>
    </w:p>
    <w:p w:rsidR="004F35A1" w:rsidRPr="00930FF2" w:rsidRDefault="0058542C" w:rsidP="004F35A1">
      <w:pPr>
        <w:ind w:left="0" w:firstLine="0"/>
        <w:contextualSpacing/>
        <w:rPr>
          <w:bCs/>
        </w:rPr>
      </w:pPr>
      <w:r w:rsidRPr="00930FF2">
        <w:rPr>
          <w:color w:val="000000"/>
          <w:lang w:eastAsia="en-GB"/>
        </w:rPr>
        <w:t>Realizovani</w:t>
      </w:r>
      <w:r w:rsidR="004F35A1" w:rsidRPr="00930FF2">
        <w:rPr>
          <w:color w:val="000000"/>
          <w:lang w:eastAsia="en-GB"/>
        </w:rPr>
        <w:t xml:space="preserve"> gubitak </w:t>
      </w:r>
      <w:r w:rsidRPr="00930FF2">
        <w:rPr>
          <w:color w:val="000000"/>
          <w:lang w:eastAsia="en-GB"/>
        </w:rPr>
        <w:t>poslije oporezivanja u</w:t>
      </w:r>
      <w:r w:rsidR="004F35A1" w:rsidRPr="00930FF2">
        <w:rPr>
          <w:color w:val="000000"/>
          <w:lang w:eastAsia="en-GB"/>
        </w:rPr>
        <w:t xml:space="preserve"> 201</w:t>
      </w:r>
      <w:r w:rsidR="00E37B80" w:rsidRPr="00930FF2">
        <w:rPr>
          <w:color w:val="000000"/>
          <w:lang w:eastAsia="en-GB"/>
        </w:rPr>
        <w:t>5</w:t>
      </w:r>
      <w:r w:rsidR="004F35A1" w:rsidRPr="00930FF2">
        <w:rPr>
          <w:color w:val="000000"/>
          <w:lang w:eastAsia="en-GB"/>
        </w:rPr>
        <w:t xml:space="preserve">. iznosi </w:t>
      </w:r>
      <w:r w:rsidRPr="00930FF2">
        <w:rPr>
          <w:color w:val="000000"/>
          <w:lang w:eastAsia="en-GB"/>
        </w:rPr>
        <w:t>595.302,00</w:t>
      </w:r>
      <w:r w:rsidR="004F35A1" w:rsidRPr="00930FF2">
        <w:rPr>
          <w:color w:val="000000"/>
          <w:lang w:eastAsia="en-GB"/>
        </w:rPr>
        <w:t xml:space="preserve">KM, a </w:t>
      </w:r>
      <w:r w:rsidRPr="00930FF2">
        <w:rPr>
          <w:color w:val="000000"/>
          <w:lang w:eastAsia="en-GB"/>
        </w:rPr>
        <w:t xml:space="preserve">nerealizovani </w:t>
      </w:r>
      <w:r w:rsidR="004F35A1" w:rsidRPr="00930FF2">
        <w:rPr>
          <w:color w:val="000000"/>
          <w:lang w:eastAsia="en-GB"/>
        </w:rPr>
        <w:t xml:space="preserve">gubitak </w:t>
      </w:r>
      <w:r w:rsidRPr="00930FF2">
        <w:rPr>
          <w:color w:val="000000"/>
          <w:lang w:eastAsia="en-GB"/>
        </w:rPr>
        <w:t>na dan 31.12.2015. godine</w:t>
      </w:r>
      <w:r w:rsidR="00B15BE1" w:rsidRPr="00930FF2">
        <w:rPr>
          <w:color w:val="000000"/>
          <w:lang w:eastAsia="en-GB"/>
        </w:rPr>
        <w:t xml:space="preserve"> je iznosio 2.627.433,00</w:t>
      </w:r>
      <w:r w:rsidRPr="00930FF2">
        <w:rPr>
          <w:color w:val="000000"/>
          <w:lang w:eastAsia="en-GB"/>
        </w:rPr>
        <w:t xml:space="preserve">KM, tako da su ukupni nerealizovani gubici u </w:t>
      </w:r>
      <w:r w:rsidR="004F35A1" w:rsidRPr="00930FF2">
        <w:rPr>
          <w:color w:val="000000"/>
          <w:lang w:eastAsia="en-GB"/>
        </w:rPr>
        <w:t xml:space="preserve"> 201</w:t>
      </w:r>
      <w:r w:rsidR="00E37B80" w:rsidRPr="00930FF2">
        <w:rPr>
          <w:color w:val="000000"/>
          <w:lang w:eastAsia="en-GB"/>
        </w:rPr>
        <w:t>5</w:t>
      </w:r>
      <w:r w:rsidR="004F35A1" w:rsidRPr="00930FF2">
        <w:rPr>
          <w:color w:val="000000"/>
          <w:lang w:eastAsia="en-GB"/>
        </w:rPr>
        <w:t>.</w:t>
      </w:r>
      <w:r w:rsidR="00E37B80" w:rsidRPr="00930FF2">
        <w:rPr>
          <w:color w:val="000000"/>
          <w:lang w:eastAsia="en-GB"/>
        </w:rPr>
        <w:t xml:space="preserve"> </w:t>
      </w:r>
      <w:r w:rsidRPr="00930FF2">
        <w:rPr>
          <w:color w:val="000000"/>
          <w:lang w:eastAsia="en-GB"/>
        </w:rPr>
        <w:t>g</w:t>
      </w:r>
      <w:r w:rsidR="004F35A1" w:rsidRPr="00930FF2">
        <w:rPr>
          <w:color w:val="000000"/>
          <w:lang w:eastAsia="en-GB"/>
        </w:rPr>
        <w:t>od</w:t>
      </w:r>
      <w:r w:rsidRPr="00930FF2">
        <w:rPr>
          <w:color w:val="000000"/>
          <w:lang w:eastAsia="en-GB"/>
        </w:rPr>
        <w:t>ini iznosili 3.807.605,00</w:t>
      </w:r>
      <w:r w:rsidR="004F35A1" w:rsidRPr="00930FF2">
        <w:rPr>
          <w:color w:val="000000"/>
          <w:lang w:eastAsia="en-GB"/>
        </w:rPr>
        <w:t>KM.</w:t>
      </w:r>
    </w:p>
    <w:p w:rsidR="004F35A1" w:rsidRPr="00930FF2" w:rsidRDefault="00E37B80" w:rsidP="004F35A1">
      <w:pPr>
        <w:ind w:left="0" w:firstLine="0"/>
        <w:contextualSpacing/>
        <w:rPr>
          <w:bCs/>
        </w:rPr>
      </w:pPr>
      <w:r w:rsidRPr="00930FF2">
        <w:rPr>
          <w:color w:val="000000"/>
          <w:lang w:eastAsia="en-GB"/>
        </w:rPr>
        <w:t>U toku 2014</w:t>
      </w:r>
      <w:r w:rsidR="004F35A1" w:rsidRPr="00930FF2">
        <w:rPr>
          <w:color w:val="000000"/>
          <w:lang w:eastAsia="en-GB"/>
        </w:rPr>
        <w:t>.</w:t>
      </w:r>
      <w:r w:rsidRPr="00930FF2">
        <w:rPr>
          <w:color w:val="000000"/>
          <w:lang w:eastAsia="en-GB"/>
        </w:rPr>
        <w:t xml:space="preserve"> </w:t>
      </w:r>
      <w:r w:rsidR="004F35A1" w:rsidRPr="00930FF2">
        <w:rPr>
          <w:color w:val="000000"/>
          <w:lang w:eastAsia="en-GB"/>
        </w:rPr>
        <w:t>god</w:t>
      </w:r>
      <w:r w:rsidRPr="00930FF2">
        <w:rPr>
          <w:color w:val="000000"/>
          <w:lang w:eastAsia="en-GB"/>
        </w:rPr>
        <w:t xml:space="preserve">ine je </w:t>
      </w:r>
      <w:r w:rsidR="004F35A1" w:rsidRPr="00930FF2">
        <w:rPr>
          <w:color w:val="000000"/>
          <w:lang w:eastAsia="en-GB"/>
        </w:rPr>
        <w:t>realiz</w:t>
      </w:r>
      <w:r w:rsidRPr="00930FF2">
        <w:rPr>
          <w:color w:val="000000"/>
          <w:lang w:eastAsia="en-GB"/>
        </w:rPr>
        <w:t xml:space="preserve">ovan poslovni gubitak </w:t>
      </w:r>
      <w:r w:rsidR="0058542C" w:rsidRPr="00930FF2">
        <w:rPr>
          <w:color w:val="000000"/>
          <w:lang w:eastAsia="en-GB"/>
        </w:rPr>
        <w:t xml:space="preserve">poslije oporezivanja iznosio </w:t>
      </w:r>
      <w:r w:rsidR="002E324A" w:rsidRPr="00930FF2">
        <w:rPr>
          <w:color w:val="000000"/>
          <w:lang w:eastAsia="en-GB"/>
        </w:rPr>
        <w:t>8.223.381</w:t>
      </w:r>
      <w:r w:rsidR="004F35A1" w:rsidRPr="00930FF2">
        <w:rPr>
          <w:color w:val="000000"/>
          <w:lang w:eastAsia="en-GB"/>
        </w:rPr>
        <w:t xml:space="preserve"> KM</w:t>
      </w:r>
      <w:r w:rsidR="002E324A" w:rsidRPr="00930FF2">
        <w:rPr>
          <w:color w:val="000000"/>
          <w:lang w:eastAsia="en-GB"/>
        </w:rPr>
        <w:t>, dok je nerealizovani gubitak na godišnjem nivou izno</w:t>
      </w:r>
      <w:r w:rsidR="00B15BE1" w:rsidRPr="00930FF2">
        <w:rPr>
          <w:color w:val="000000"/>
          <w:lang w:eastAsia="en-GB"/>
        </w:rPr>
        <w:t>sio 5.017.537,00</w:t>
      </w:r>
      <w:r w:rsidR="002E324A" w:rsidRPr="00930FF2">
        <w:rPr>
          <w:color w:val="000000"/>
          <w:lang w:eastAsia="en-GB"/>
        </w:rPr>
        <w:t>KM. Nerealizovani dobici na HOV na godišnjem nivou su iznosili 4.553.424,00</w:t>
      </w:r>
      <w:r w:rsidR="004F35A1" w:rsidRPr="00930FF2">
        <w:rPr>
          <w:color w:val="000000"/>
          <w:lang w:eastAsia="en-GB"/>
        </w:rPr>
        <w:t>KM</w:t>
      </w:r>
      <w:r w:rsidR="002E324A" w:rsidRPr="00930FF2">
        <w:rPr>
          <w:color w:val="000000"/>
          <w:lang w:eastAsia="en-GB"/>
        </w:rPr>
        <w:t>.</w:t>
      </w:r>
    </w:p>
    <w:p w:rsidR="004F35A1" w:rsidRPr="00930FF2" w:rsidRDefault="004F35A1" w:rsidP="004F35A1">
      <w:pPr>
        <w:ind w:left="0" w:firstLine="0"/>
        <w:contextualSpacing/>
        <w:rPr>
          <w:bCs/>
        </w:rPr>
      </w:pPr>
      <w:r w:rsidRPr="00930FF2">
        <w:rPr>
          <w:color w:val="000000"/>
          <w:lang w:eastAsia="en-GB"/>
        </w:rPr>
        <w:lastRenderedPageBreak/>
        <w:t>Fond je uspješno održavao tekuću likvidnost u toku posmatranog perioda i nije imao problema u izmirivanju svojih obaveza.</w:t>
      </w:r>
    </w:p>
    <w:p w:rsidR="004F35A1" w:rsidRPr="00930FF2" w:rsidRDefault="004F35A1" w:rsidP="00E37B80">
      <w:pPr>
        <w:pStyle w:val="Heading5"/>
        <w:spacing w:before="0" w:after="0"/>
        <w:contextualSpacing/>
        <w:jc w:val="both"/>
        <w:rPr>
          <w:rFonts w:ascii="Times New Roman" w:hAnsi="Times New Roman"/>
          <w:b w:val="0"/>
          <w:i w:val="0"/>
          <w:sz w:val="24"/>
          <w:szCs w:val="24"/>
        </w:rPr>
      </w:pPr>
      <w:r w:rsidRPr="00930FF2">
        <w:rPr>
          <w:rFonts w:ascii="Times New Roman" w:hAnsi="Times New Roman"/>
          <w:b w:val="0"/>
          <w:i w:val="0"/>
          <w:sz w:val="24"/>
          <w:szCs w:val="24"/>
        </w:rPr>
        <w:t>Raspodjela dobiti</w:t>
      </w:r>
      <w:r w:rsidR="004E262B" w:rsidRPr="00930FF2">
        <w:rPr>
          <w:rFonts w:ascii="Times New Roman" w:hAnsi="Times New Roman"/>
          <w:b w:val="0"/>
          <w:i w:val="0"/>
          <w:sz w:val="24"/>
          <w:szCs w:val="24"/>
        </w:rPr>
        <w:t>:</w:t>
      </w:r>
    </w:p>
    <w:p w:rsidR="004F35A1" w:rsidRPr="00930FF2" w:rsidRDefault="004F35A1" w:rsidP="004F35A1">
      <w:pPr>
        <w:ind w:left="0" w:firstLine="0"/>
        <w:contextualSpacing/>
      </w:pPr>
      <w:r w:rsidRPr="00930FF2">
        <w:t>U skladu sa Zakonom i Statutom Fonda, a nakon usvajanja godišnjih finansijskih izvještaja, Glavna skupština odlučuje o raspodjeli dobiti i eventualnoj isplati dividende. Društvo za upravlja</w:t>
      </w:r>
      <w:r w:rsidR="00AF4115" w:rsidRPr="00930FF2">
        <w:t>nje predlaže raspodjelu dobiti za</w:t>
      </w:r>
      <w:r w:rsidRPr="00930FF2">
        <w:t>visno o rezultatima poslovanja, poslovnom s</w:t>
      </w:r>
      <w:r w:rsidR="00AF4115" w:rsidRPr="00930FF2">
        <w:t>tanju u Fondu i drugim pokazateljima</w:t>
      </w:r>
      <w:r w:rsidRPr="00930FF2">
        <w:t>.</w:t>
      </w:r>
    </w:p>
    <w:p w:rsidR="00E37B80" w:rsidRPr="00930FF2" w:rsidRDefault="004F35A1" w:rsidP="00E37B80">
      <w:pPr>
        <w:ind w:left="0" w:firstLine="0"/>
        <w:contextualSpacing/>
      </w:pPr>
      <w:r w:rsidRPr="00930FF2">
        <w:t xml:space="preserve">Fond do sada nije isplaćivao dividendu. </w:t>
      </w:r>
    </w:p>
    <w:p w:rsidR="00F94DFD" w:rsidRPr="00930FF2" w:rsidRDefault="00F94DFD" w:rsidP="00E37B80">
      <w:pPr>
        <w:ind w:left="0" w:firstLine="0"/>
        <w:contextualSpacing/>
      </w:pPr>
    </w:p>
    <w:p w:rsidR="00446EED" w:rsidRPr="00930FF2" w:rsidRDefault="001669EB" w:rsidP="00F553CF">
      <w:pPr>
        <w:pStyle w:val="ListParagraph"/>
        <w:numPr>
          <w:ilvl w:val="0"/>
          <w:numId w:val="8"/>
        </w:numPr>
        <w:rPr>
          <w:b/>
        </w:rPr>
      </w:pPr>
      <w:r w:rsidRPr="00930FF2">
        <w:rPr>
          <w:b/>
        </w:rPr>
        <w:t>ČINJENICE KOJE UTIČU ILI ĆE UTICATI NA POSLOVANJE FONDA</w:t>
      </w:r>
      <w:r w:rsidR="00FD383C" w:rsidRPr="00930FF2">
        <w:rPr>
          <w:b/>
        </w:rPr>
        <w:t xml:space="preserve"> </w:t>
      </w:r>
    </w:p>
    <w:p w:rsidR="000F7ECC" w:rsidRPr="00930FF2" w:rsidRDefault="00A97694" w:rsidP="00A236CC">
      <w:pPr>
        <w:ind w:left="0" w:firstLine="0"/>
        <w:contextualSpacing/>
      </w:pPr>
      <w:r w:rsidRPr="00930FF2">
        <w:t xml:space="preserve">Na poslovanje fonda </w:t>
      </w:r>
      <w:r w:rsidR="000F7ECC" w:rsidRPr="00930FF2">
        <w:t>će uticati poslovanje emitenata u portfelju fonda, u kojima fond ima učešće u akcijama, a kako u imovini fonda relativno visoko učešće imaju akcije u en</w:t>
      </w:r>
      <w:r w:rsidR="009D7531" w:rsidRPr="00930FF2">
        <w:t>e</w:t>
      </w:r>
      <w:r w:rsidR="000F7ECC" w:rsidRPr="00930FF2">
        <w:t xml:space="preserve">rgetskom sektoru </w:t>
      </w:r>
      <w:r w:rsidR="009D7531" w:rsidRPr="00930FF2">
        <w:t>i</w:t>
      </w:r>
      <w:r w:rsidR="000F7ECC" w:rsidRPr="00930FF2">
        <w:t xml:space="preserve"> u sektoru telekomunikacija, za fond je važno da preduzeća</w:t>
      </w:r>
      <w:r w:rsidR="009D7531" w:rsidRPr="00930FF2">
        <w:t xml:space="preserve"> iz ovog sektora dobro posluju i</w:t>
      </w:r>
      <w:r w:rsidR="000F7ECC" w:rsidRPr="00930FF2">
        <w:t xml:space="preserve"> da svojim akcionarima isplaćuju dividend</w:t>
      </w:r>
      <w:r w:rsidR="009D7531" w:rsidRPr="00930FF2">
        <w:t>e, iz kojih se za fond obezbjeđ</w:t>
      </w:r>
      <w:r w:rsidR="000F7ECC" w:rsidRPr="00930FF2">
        <w:t xml:space="preserve">uju novčana srdstva za ulaganja u novu imovinu </w:t>
      </w:r>
      <w:r w:rsidR="009D7531" w:rsidRPr="00930FF2">
        <w:t>i</w:t>
      </w:r>
      <w:r w:rsidR="000F7ECC" w:rsidRPr="00930FF2">
        <w:t xml:space="preserve"> za izmirivanje obaveza fonda.</w:t>
      </w:r>
    </w:p>
    <w:p w:rsidR="00510B51" w:rsidRPr="00930FF2" w:rsidRDefault="00510B51" w:rsidP="00A236CC">
      <w:pPr>
        <w:ind w:left="0" w:firstLine="0"/>
        <w:contextualSpacing/>
      </w:pPr>
      <w:r w:rsidRPr="00930FF2">
        <w:t>Djelimičnom ili potpunom</w:t>
      </w:r>
      <w:r w:rsidR="000F7ECC" w:rsidRPr="00930FF2">
        <w:t xml:space="preserve"> privatizac</w:t>
      </w:r>
      <w:r w:rsidRPr="00930FF2">
        <w:t>ijom</w:t>
      </w:r>
      <w:r w:rsidR="000F7ECC" w:rsidRPr="00930FF2">
        <w:t xml:space="preserve"> </w:t>
      </w:r>
      <w:r w:rsidRPr="00930FF2">
        <w:t xml:space="preserve">ovih preduzeća se stvaraju prepostavke za njihovo transaparentnije poslovanje, obzirom da se u ovim sektorima nalazi veliki potencijal za rast </w:t>
      </w:r>
      <w:r w:rsidR="009D7531" w:rsidRPr="00930FF2">
        <w:t>i</w:t>
      </w:r>
      <w:r w:rsidRPr="00930FF2">
        <w:t xml:space="preserve"> za ostvarivanje boljih poslovnih rezultata, koji će ohrabriti domaće </w:t>
      </w:r>
      <w:r w:rsidR="009D7531" w:rsidRPr="00930FF2">
        <w:t>i strane investito</w:t>
      </w:r>
      <w:r w:rsidRPr="00930FF2">
        <w:t>re da ulažu u preduzeća iz ovog sektora.</w:t>
      </w:r>
    </w:p>
    <w:p w:rsidR="00296497" w:rsidRPr="00930FF2" w:rsidRDefault="00510B51" w:rsidP="00A236CC">
      <w:pPr>
        <w:ind w:left="0" w:firstLine="0"/>
        <w:contextualSpacing/>
      </w:pPr>
      <w:r w:rsidRPr="00930FF2">
        <w:t xml:space="preserve">Obzirom da fond u svome portfelju ima značajno učešće u obveznicama koje je izdala </w:t>
      </w:r>
      <w:r w:rsidR="009D7531" w:rsidRPr="00930FF2">
        <w:t>i</w:t>
      </w:r>
      <w:r w:rsidRPr="00930FF2">
        <w:t xml:space="preserve"> za koje </w:t>
      </w:r>
      <w:r w:rsidR="009D7531" w:rsidRPr="00930FF2">
        <w:t xml:space="preserve">je </w:t>
      </w:r>
      <w:r w:rsidRPr="00930FF2">
        <w:t xml:space="preserve">garantovala Republika </w:t>
      </w:r>
      <w:r w:rsidR="009D7531" w:rsidRPr="00930FF2">
        <w:t>Srpska, redovna isplata kamata i</w:t>
      </w:r>
      <w:r w:rsidRPr="00930FF2">
        <w:t xml:space="preserve"> anuiteta od obvezni</w:t>
      </w:r>
      <w:r w:rsidR="009D7531" w:rsidRPr="00930FF2">
        <w:t>ca utiče ili može uticati na vođ</w:t>
      </w:r>
      <w:r w:rsidRPr="00930FF2">
        <w:t xml:space="preserve">enje poslovne politike fonda, kojom se planira rast prinosa fonda od ovih ulaganja, tako da je </w:t>
      </w:r>
      <w:r w:rsidR="00296497" w:rsidRPr="00930FF2">
        <w:t xml:space="preserve">za fond veoma važno da je </w:t>
      </w:r>
      <w:r w:rsidRPr="00930FF2">
        <w:t>bud</w:t>
      </w:r>
      <w:r w:rsidR="009D7531" w:rsidRPr="00930FF2">
        <w:t>ž</w:t>
      </w:r>
      <w:r w:rsidRPr="00930FF2">
        <w:t>et Republike Srpske</w:t>
      </w:r>
      <w:r w:rsidR="00296497" w:rsidRPr="00930FF2">
        <w:t xml:space="preserve"> stabilan</w:t>
      </w:r>
      <w:r w:rsidRPr="00930FF2">
        <w:t xml:space="preserve">, </w:t>
      </w:r>
      <w:r w:rsidR="00296497" w:rsidRPr="00930FF2">
        <w:t>tako da će drušvo za upravljanje koje upravlja fondom periodično analizirati</w:t>
      </w:r>
      <w:r w:rsidR="009D7531" w:rsidRPr="00930FF2">
        <w:t>, procjenjivati stvarne i</w:t>
      </w:r>
      <w:r w:rsidR="00296497" w:rsidRPr="00930FF2">
        <w:t xml:space="preserve"> potencijalne rizike za fond od držanja ovih ulaganja u portfelju fonda.</w:t>
      </w:r>
    </w:p>
    <w:p w:rsidR="00495698" w:rsidRPr="00930FF2" w:rsidRDefault="00296497" w:rsidP="00A236CC">
      <w:pPr>
        <w:ind w:left="0" w:firstLine="0"/>
        <w:contextualSpacing/>
      </w:pPr>
      <w:r w:rsidRPr="00930FF2">
        <w:t xml:space="preserve">Nemogućnost ili odlaganje isplata obaveza po izdatim dužničkim </w:t>
      </w:r>
      <w:r w:rsidR="009D7531" w:rsidRPr="00930FF2">
        <w:t>hartijama od vrijednosti iz budž</w:t>
      </w:r>
      <w:r w:rsidRPr="00930FF2">
        <w:t>eta Republike Srpske može uticati na poslovanje fonda, pošto bi fond privremeno na kraći ili na duži rok mogao ostati bez planiranih novčanih priliva od ovih ulaganja, a što bi nužno dovelo do smanjenja prinosa iz kojih se djelimično finansira poslovanje fonda</w:t>
      </w:r>
      <w:r w:rsidR="00495698" w:rsidRPr="00930FF2">
        <w:t xml:space="preserve">. </w:t>
      </w:r>
    </w:p>
    <w:p w:rsidR="00495698" w:rsidRPr="00930FF2" w:rsidRDefault="00495698" w:rsidP="00A236CC">
      <w:pPr>
        <w:ind w:left="0" w:firstLine="0"/>
        <w:contextualSpacing/>
      </w:pPr>
      <w:r w:rsidRPr="00930FF2">
        <w:t xml:space="preserve">Na poslovanje fonda može značajno uticati stanje u poslovnim bankama u kojima fond ima oročene novčane depozite </w:t>
      </w:r>
      <w:r w:rsidR="009D7531" w:rsidRPr="00930FF2">
        <w:t>i</w:t>
      </w:r>
      <w:r w:rsidRPr="00930FF2">
        <w:t xml:space="preserve"> gotovinu na svojim računima, a naročito sposobnost domaćih poslovnih banaka da se same izbore sa lošim kreditima, čiji procenat iz godine u godinu raste </w:t>
      </w:r>
      <w:r w:rsidR="009D7531" w:rsidRPr="00930FF2">
        <w:t>i</w:t>
      </w:r>
      <w:r w:rsidRPr="00930FF2">
        <w:t xml:space="preserve"> prijeti da banke dovede do potpune likvidnosti, naročito imajući iskustvo sa dvije poslovne banke sa sjedištem u Republici Srpskoj nad </w:t>
      </w:r>
      <w:r w:rsidR="009D7531" w:rsidRPr="00930FF2">
        <w:t>kojim se vode postupci stečaja i</w:t>
      </w:r>
      <w:r w:rsidRPr="00930FF2">
        <w:t xml:space="preserve"> likvidacije, </w:t>
      </w:r>
      <w:r w:rsidR="009D7531" w:rsidRPr="00930FF2">
        <w:t>i</w:t>
      </w:r>
      <w:r w:rsidRPr="00930FF2">
        <w:t xml:space="preserve"> u kojima će investitori najvećim dijelom izgubiti novac koji su investir</w:t>
      </w:r>
      <w:r w:rsidR="009D7531" w:rsidRPr="00930FF2">
        <w:t>ali kao akcionari ovih banaka, i</w:t>
      </w:r>
      <w:r w:rsidRPr="00930FF2">
        <w:t xml:space="preserve"> deponenti kojima su u ovim bankama ostala značajna finansijsk</w:t>
      </w:r>
      <w:r w:rsidR="009D7531" w:rsidRPr="00930FF2">
        <w:t>a</w:t>
      </w:r>
      <w:r w:rsidRPr="00930FF2">
        <w:t xml:space="preserve"> sredstva u vidu oročenih depo</w:t>
      </w:r>
      <w:r w:rsidR="009D7531" w:rsidRPr="00930FF2">
        <w:t>zita, ili depozita po viđ</w:t>
      </w:r>
      <w:r w:rsidRPr="00930FF2">
        <w:t>enju.</w:t>
      </w:r>
    </w:p>
    <w:p w:rsidR="006E4D8A" w:rsidRPr="00930FF2" w:rsidRDefault="00495698" w:rsidP="00A236CC">
      <w:pPr>
        <w:ind w:left="0" w:firstLine="0"/>
        <w:contextualSpacing/>
      </w:pPr>
      <w:r w:rsidRPr="00930FF2">
        <w:t xml:space="preserve">Stabilnost bankarskog sektora je veoma važna za poslovanje fonda, obzirom da se na računima fonda u poslovnim bankama u Republici Srpskoj nalaze značajna novčana sredstva, tako da će društvo povremeno analizirati bilanse poslovnih banaka sa kojima posluje fond, kako bi na vrijeme </w:t>
      </w:r>
      <w:r w:rsidR="006E4D8A" w:rsidRPr="00930FF2">
        <w:t xml:space="preserve">otklonio rizik gubitka novčanih sredstva u banci koja loše posluje </w:t>
      </w:r>
      <w:r w:rsidR="009D7531" w:rsidRPr="00930FF2">
        <w:t>i</w:t>
      </w:r>
      <w:r w:rsidR="006E4D8A" w:rsidRPr="00930FF2">
        <w:t xml:space="preserve"> ko</w:t>
      </w:r>
      <w:r w:rsidR="009D7531" w:rsidRPr="00930FF2">
        <w:t>joj prijeti nelikvidnost  i uvođ</w:t>
      </w:r>
      <w:r w:rsidR="006E4D8A" w:rsidRPr="00930FF2">
        <w:t>enje mjera nadzora od strane Agencije za bankarstvo Republike Srpske.</w:t>
      </w:r>
    </w:p>
    <w:p w:rsidR="000E73E8" w:rsidRPr="00930FF2" w:rsidRDefault="006E4D8A" w:rsidP="00A236CC">
      <w:pPr>
        <w:ind w:left="0" w:firstLine="0"/>
        <w:contextualSpacing/>
      </w:pPr>
      <w:r w:rsidRPr="00930FF2">
        <w:t xml:space="preserve">Loše poslovanje banaka u </w:t>
      </w:r>
      <w:r w:rsidR="009D7531" w:rsidRPr="00930FF2">
        <w:t>kojima fond ima depozite i</w:t>
      </w:r>
      <w:r w:rsidRPr="00930FF2">
        <w:t xml:space="preserve"> gotovinu će uticati na smanjenje profita fonda od dividendi </w:t>
      </w:r>
      <w:r w:rsidR="009D7531" w:rsidRPr="00930FF2">
        <w:t>i</w:t>
      </w:r>
      <w:r w:rsidRPr="00930FF2">
        <w:t xml:space="preserve"> smanj</w:t>
      </w:r>
      <w:r w:rsidR="009D7531" w:rsidRPr="00930FF2">
        <w:t>e</w:t>
      </w:r>
      <w:r w:rsidRPr="00930FF2">
        <w:t>nje prinosa od kamata na oročene depoz</w:t>
      </w:r>
      <w:r w:rsidR="009D7531" w:rsidRPr="00930FF2">
        <w:t>iite i na depozite po viđ</w:t>
      </w:r>
      <w:r w:rsidRPr="00930FF2">
        <w:t>enju, a što će se nužno o</w:t>
      </w:r>
      <w:r w:rsidR="00C721D3" w:rsidRPr="00930FF2">
        <w:t>draziti na poslovanje fonda.</w:t>
      </w:r>
    </w:p>
    <w:p w:rsidR="00C721D3" w:rsidRPr="00930FF2" w:rsidRDefault="00C721D3" w:rsidP="00A236CC">
      <w:pPr>
        <w:ind w:left="0" w:firstLine="0"/>
        <w:contextualSpacing/>
      </w:pPr>
      <w:r w:rsidRPr="00930FF2">
        <w:lastRenderedPageBreak/>
        <w:t xml:space="preserve">Promjena poreskih propisa u Republici Srpskoj </w:t>
      </w:r>
      <w:r w:rsidR="009D7531" w:rsidRPr="00930FF2">
        <w:t>i</w:t>
      </w:r>
      <w:r w:rsidRPr="00930FF2">
        <w:t xml:space="preserve"> u Fedraciji BiH može negativno uticati na</w:t>
      </w:r>
      <w:r w:rsidR="009D7531" w:rsidRPr="00930FF2">
        <w:t xml:space="preserve"> poslovanje fonda za slučaj uvođ</w:t>
      </w:r>
      <w:r w:rsidRPr="00930FF2">
        <w:t xml:space="preserve">enja poreza na bankarske </w:t>
      </w:r>
      <w:r w:rsidR="009D7531" w:rsidRPr="00930FF2">
        <w:t>i</w:t>
      </w:r>
      <w:r w:rsidRPr="00930FF2">
        <w:t xml:space="preserve"> na berzanske transakcije</w:t>
      </w:r>
      <w:r w:rsidR="00F51B91" w:rsidRPr="00930FF2">
        <w:t>, pošto bi ovi porezi nužno doveli do smanjenja poslovnih prihoda fonda.</w:t>
      </w:r>
    </w:p>
    <w:p w:rsidR="00E37B80" w:rsidRPr="00930FF2" w:rsidRDefault="006E4D8A" w:rsidP="00677EFF">
      <w:pPr>
        <w:ind w:left="0" w:firstLine="0"/>
        <w:contextualSpacing/>
      </w:pPr>
      <w:r w:rsidRPr="00930FF2">
        <w:t>Portfelj fonda može biti ugrožen zbog navedenih činjenica koje utiču</w:t>
      </w:r>
      <w:r w:rsidR="0061312F" w:rsidRPr="00930FF2">
        <w:t>,</w:t>
      </w:r>
      <w:r w:rsidRPr="00930FF2">
        <w:t xml:space="preserve"> ili koje u budućnosti mogu uticati na poslovanje</w:t>
      </w:r>
      <w:r w:rsidR="0061312F" w:rsidRPr="00930FF2">
        <w:t xml:space="preserve"> fonda, imajući u vidu ocjenu</w:t>
      </w:r>
      <w:r w:rsidRPr="00930FF2">
        <w:t xml:space="preserve"> da na poslovanje </w:t>
      </w:r>
      <w:r w:rsidR="0061312F" w:rsidRPr="00930FF2">
        <w:t xml:space="preserve">neprivatizovanih ili djelimično privatizovanih preduzeća, u kojima Republika Srpska još uvijek ima većinske pakete  akcija, a koje akcije fond ima u svome portfelju, i dalje postoji značajan politički uticaj. </w:t>
      </w:r>
    </w:p>
    <w:p w:rsidR="00A236CC" w:rsidRPr="00930FF2" w:rsidRDefault="00A236CC" w:rsidP="00A236CC">
      <w:pPr>
        <w:pStyle w:val="ListParagraph"/>
        <w:ind w:firstLine="0"/>
        <w:rPr>
          <w:b/>
          <w:bCs/>
          <w:sz w:val="26"/>
          <w:szCs w:val="26"/>
        </w:rPr>
      </w:pPr>
    </w:p>
    <w:p w:rsidR="009D7531" w:rsidRPr="00930FF2" w:rsidRDefault="00F94DFD" w:rsidP="00F553CF">
      <w:pPr>
        <w:pStyle w:val="ListParagraph"/>
        <w:numPr>
          <w:ilvl w:val="0"/>
          <w:numId w:val="8"/>
        </w:numPr>
        <w:rPr>
          <w:b/>
          <w:bCs/>
          <w:sz w:val="26"/>
          <w:szCs w:val="26"/>
        </w:rPr>
      </w:pPr>
      <w:r w:rsidRPr="00930FF2">
        <w:rPr>
          <w:b/>
          <w:bCs/>
          <w:sz w:val="26"/>
          <w:szCs w:val="26"/>
        </w:rPr>
        <w:t>INFORMACIJE U VEZI SVIH VLADINIH, EKONOMSKIH, FISKALNIH, MONETARNIH ILI POLITIČKIH MJERA ILI FAKTORA KOJI SU ZNAČAJNO UTICALI, ILI BI MOGLI ZNAČAJNO DA UTIČU, DIREKTNO ILI INDIREKTNO, NA POSLOVANJE FONDA</w:t>
      </w:r>
    </w:p>
    <w:p w:rsidR="00F94DFD" w:rsidRPr="00930FF2" w:rsidRDefault="00F94DFD" w:rsidP="00F94DFD">
      <w:pPr>
        <w:ind w:left="0" w:firstLine="0"/>
        <w:rPr>
          <w:bCs/>
        </w:rPr>
      </w:pPr>
      <w:r w:rsidRPr="00930FF2">
        <w:rPr>
          <w:bCs/>
        </w:rPr>
        <w:t>Ne postoje informacije u vezi svih vladinih, ekonomskih, fisklanih, monetarnih ili političkih mjera ili faktora koje su značajno uticale, ili bi mogle značajno da utiču, direktno ili indirektno, na poslovanje Fonda.</w:t>
      </w:r>
    </w:p>
    <w:p w:rsidR="009D7531" w:rsidRPr="00930FF2" w:rsidRDefault="009D7531" w:rsidP="00A236CC">
      <w:pPr>
        <w:pStyle w:val="ListParagraph"/>
        <w:ind w:firstLine="0"/>
        <w:rPr>
          <w:b/>
          <w:bCs/>
          <w:sz w:val="26"/>
          <w:szCs w:val="26"/>
        </w:rPr>
      </w:pPr>
    </w:p>
    <w:p w:rsidR="00F94DFD" w:rsidRPr="00930FF2" w:rsidRDefault="00F94DFD" w:rsidP="00F553CF">
      <w:pPr>
        <w:pStyle w:val="ListParagraph"/>
        <w:numPr>
          <w:ilvl w:val="0"/>
          <w:numId w:val="8"/>
        </w:numPr>
        <w:rPr>
          <w:b/>
          <w:bCs/>
          <w:sz w:val="26"/>
          <w:szCs w:val="26"/>
        </w:rPr>
      </w:pPr>
      <w:r w:rsidRPr="00930FF2">
        <w:rPr>
          <w:b/>
          <w:bCs/>
          <w:sz w:val="26"/>
          <w:szCs w:val="26"/>
        </w:rPr>
        <w:t xml:space="preserve"> INFORMACIJE O SVIM OGRANIČENJIMA KORIŠĆENJA KAPITALNIH SREDSTAVA KOJA SU ZNAČAJNO UTICALA, ILI BI MOGLA ZNAČAJNO DA UTIČU, DIREKTNO ILI INDIREKTNO, NA POSLOVANJE FONDA</w:t>
      </w:r>
    </w:p>
    <w:p w:rsidR="00F94DFD" w:rsidRPr="00930FF2" w:rsidRDefault="00F94DFD" w:rsidP="00F94DFD">
      <w:pPr>
        <w:ind w:left="0" w:firstLine="0"/>
        <w:rPr>
          <w:bCs/>
        </w:rPr>
      </w:pPr>
      <w:r w:rsidRPr="00930FF2">
        <w:rPr>
          <w:bCs/>
        </w:rPr>
        <w:t>Ne postoje informacije o svim ograničenjima korišćenja kapitalnih sredstava koja su značajno uticala, ili bi mogla značajno da utiču, direktno ili indirektno, na poslovanje Fonda.</w:t>
      </w:r>
    </w:p>
    <w:p w:rsidR="00F94DFD" w:rsidRPr="00930FF2" w:rsidRDefault="00F94DFD" w:rsidP="00F94DFD">
      <w:pPr>
        <w:pStyle w:val="ListParagraph"/>
        <w:ind w:firstLine="0"/>
        <w:rPr>
          <w:b/>
          <w:bCs/>
          <w:sz w:val="26"/>
          <w:szCs w:val="26"/>
        </w:rPr>
      </w:pPr>
    </w:p>
    <w:p w:rsidR="00F94DFD" w:rsidRPr="00930FF2" w:rsidRDefault="00F94DFD" w:rsidP="00F553CF">
      <w:pPr>
        <w:pStyle w:val="ListParagraph"/>
        <w:numPr>
          <w:ilvl w:val="0"/>
          <w:numId w:val="8"/>
        </w:numPr>
        <w:rPr>
          <w:b/>
          <w:bCs/>
          <w:sz w:val="26"/>
          <w:szCs w:val="26"/>
        </w:rPr>
      </w:pPr>
      <w:r w:rsidRPr="00930FF2">
        <w:rPr>
          <w:b/>
          <w:bCs/>
          <w:sz w:val="26"/>
          <w:szCs w:val="26"/>
        </w:rPr>
        <w:t>PREDVIĐANJA ILI PROCJENE DOBITI</w:t>
      </w:r>
    </w:p>
    <w:p w:rsidR="00F94DFD" w:rsidRPr="00930FF2" w:rsidRDefault="00F94DFD" w:rsidP="00F94DFD">
      <w:pPr>
        <w:ind w:left="0" w:firstLine="0"/>
        <w:rPr>
          <w:bCs/>
        </w:rPr>
      </w:pPr>
      <w:r w:rsidRPr="00930FF2">
        <w:rPr>
          <w:bCs/>
        </w:rPr>
        <w:t>Fond ne uključuje procjenu ili predviđanje dobiti.</w:t>
      </w:r>
    </w:p>
    <w:p w:rsidR="00B86298" w:rsidRPr="00930FF2" w:rsidRDefault="00B86298" w:rsidP="00F94DFD">
      <w:pPr>
        <w:ind w:left="0" w:firstLine="0"/>
        <w:rPr>
          <w:bCs/>
        </w:rPr>
      </w:pPr>
    </w:p>
    <w:p w:rsidR="003D695F" w:rsidRPr="00930FF2" w:rsidRDefault="00C36F62" w:rsidP="00F553CF">
      <w:pPr>
        <w:pStyle w:val="ListParagraph"/>
        <w:numPr>
          <w:ilvl w:val="0"/>
          <w:numId w:val="8"/>
        </w:numPr>
        <w:rPr>
          <w:b/>
          <w:bCs/>
          <w:sz w:val="26"/>
          <w:szCs w:val="26"/>
        </w:rPr>
      </w:pPr>
      <w:r w:rsidRPr="00930FF2">
        <w:rPr>
          <w:b/>
          <w:bCs/>
          <w:sz w:val="26"/>
          <w:szCs w:val="26"/>
        </w:rPr>
        <w:t>UPRAVLJANJE DRUŠTVOM</w:t>
      </w:r>
    </w:p>
    <w:p w:rsidR="004E262B" w:rsidRPr="00930FF2" w:rsidRDefault="00E37B80" w:rsidP="003D695F">
      <w:pPr>
        <w:ind w:left="0" w:firstLine="0"/>
        <w:rPr>
          <w:bCs/>
        </w:rPr>
      </w:pPr>
      <w:r w:rsidRPr="00930FF2">
        <w:rPr>
          <w:bCs/>
        </w:rPr>
        <w:t>U skladu sa odredbama Ugovora o upravljanju koji je Fond zaključio sa Društvom</w:t>
      </w:r>
      <w:r w:rsidR="003D695F" w:rsidRPr="00930FF2">
        <w:rPr>
          <w:bCs/>
        </w:rPr>
        <w:t>,</w:t>
      </w:r>
      <w:r w:rsidRPr="00930FF2">
        <w:rPr>
          <w:bCs/>
        </w:rPr>
        <w:t xml:space="preserve"> Fond je ovlastio Društvo da vodi poslovanje Fonda.</w:t>
      </w:r>
    </w:p>
    <w:p w:rsidR="00104D15" w:rsidRPr="00930FF2" w:rsidRDefault="00104D15" w:rsidP="003D695F">
      <w:pPr>
        <w:ind w:left="0" w:firstLine="0"/>
        <w:rPr>
          <w:b/>
          <w:bCs/>
          <w:sz w:val="26"/>
          <w:szCs w:val="26"/>
        </w:rPr>
      </w:pPr>
    </w:p>
    <w:p w:rsidR="00E37B80" w:rsidRPr="00930FF2" w:rsidRDefault="004E262B" w:rsidP="00F553CF">
      <w:pPr>
        <w:pStyle w:val="ListParagraph"/>
        <w:numPr>
          <w:ilvl w:val="2"/>
          <w:numId w:val="8"/>
        </w:numPr>
        <w:jc w:val="left"/>
        <w:rPr>
          <w:bCs/>
        </w:rPr>
      </w:pPr>
      <w:r w:rsidRPr="00930FF2">
        <w:rPr>
          <w:bCs/>
        </w:rPr>
        <w:t>Izvršni direktori društva:</w:t>
      </w:r>
    </w:p>
    <w:p w:rsidR="00903EE9" w:rsidRPr="00930FF2" w:rsidRDefault="00E37B80" w:rsidP="00903EE9">
      <w:pPr>
        <w:ind w:left="0" w:firstLine="0"/>
        <w:rPr>
          <w:lang w:val="sl-SI"/>
        </w:rPr>
      </w:pPr>
      <w:r w:rsidRPr="00930FF2">
        <w:rPr>
          <w:b/>
          <w:i/>
        </w:rPr>
        <w:t>Stevan Radić</w:t>
      </w:r>
      <w:r w:rsidR="00E624F4" w:rsidRPr="00930FF2">
        <w:t>,</w:t>
      </w:r>
      <w:r w:rsidR="00903EE9" w:rsidRPr="00930FF2">
        <w:t xml:space="preserve"> izvršni direktor Društva, </w:t>
      </w:r>
      <w:r w:rsidR="00903EE9" w:rsidRPr="00930FF2">
        <w:rPr>
          <w:bCs/>
          <w:lang w:val="sr-Latn-BA"/>
        </w:rPr>
        <w:t xml:space="preserve">diplomirani pravnik, trajanje mandata: od 31.03.2015. godine do 31.03.2019. godine, (saglasnost dobijena rješenjem Komisije za hartije od vrijednosti Republike Srpske, broj: 01-UP-52-230-1/15 od 24.04.2015. godine), rođen 29.10.1958. godine u Bijeljini, direktor Društva za upravljanje investicionim fondovima „Invest nova“ a.d. Bijeljina od 2001. godine, stalno nastanjen u Zvorniku, diplomu Pravnog fakulteta Univerziteta u Novom Sadu stekao 1983. godine. Radno iskustvo je sticao obavljajući pripravnički staž u organima uprave Opštine Zvornik, zatim kao sudija u Sudu za prekršaje Zvornik, obavljao je dužnosti Sekretara Opštine Zvornik, direktora preduzeća „Prerada sa hladnjačom“ a.d. Zvornik, dužnost člana Izvršnog odbora Zvornik i dužnost upravnika Carinarnice Zvornik. U posljednjih pet godina bio je član Upravnog odbora Drina Osiguranje a.d. Milići, Promet a.d. Zvornik, Ekonomik a.d. Zvornik, As a.d. Zvornik i Vitinka a.d. Kozluk, kao i član Nadzornog odbora STH Ventures DTK, Ljubljana. </w:t>
      </w:r>
      <w:r w:rsidR="00903EE9" w:rsidRPr="00930FF2">
        <w:rPr>
          <w:lang w:val="sl-SI"/>
        </w:rPr>
        <w:t xml:space="preserve">Ni u jednom od navedenih emitenata nije vođen stečaj ili likvidacija u posljednjih pet godina, izuzevši Žitopromet a.d. Zvornik gdje je postupak stečeja započet u maju mjesecu 2012. godine, i još uvijek nije završen. U posljednjih pet godina </w:t>
      </w:r>
      <w:r w:rsidR="00903EE9" w:rsidRPr="00930FF2">
        <w:rPr>
          <w:lang w:val="sl-SI"/>
        </w:rPr>
        <w:lastRenderedPageBreak/>
        <w:t>imenovani nije pravosnažno osuđen za krivična djela protiv privrede. Od strane pravosudnih ili regulatornih organa nije bilo službenih optužbi ili sankcija, te u posljednjih pet godina sudskom odlukom nije isključen, niti mu je zabranjen rad u takvim organima</w:t>
      </w:r>
      <w:r w:rsidR="00104D15" w:rsidRPr="00930FF2">
        <w:rPr>
          <w:lang w:val="sl-SI"/>
        </w:rPr>
        <w:t>.</w:t>
      </w:r>
    </w:p>
    <w:p w:rsidR="00104D15" w:rsidRPr="00930FF2" w:rsidRDefault="00104D15" w:rsidP="00104D15">
      <w:pPr>
        <w:ind w:left="0" w:firstLine="0"/>
        <w:contextualSpacing/>
        <w:rPr>
          <w:lang w:val="sl-SI"/>
        </w:rPr>
      </w:pPr>
      <w:r w:rsidRPr="00930FF2">
        <w:rPr>
          <w:b/>
          <w:i/>
        </w:rPr>
        <w:t>Petar Mitrović</w:t>
      </w:r>
      <w:r w:rsidR="009E2B99" w:rsidRPr="00930FF2">
        <w:t xml:space="preserve">, </w:t>
      </w:r>
      <w:r w:rsidRPr="00930FF2">
        <w:t xml:space="preserve">izvršni direktor Društva, diplomirani ekonomista, trajanje mandata od 29.07.2016. godine do 29.07.2020. godine, rođen 26.10.1954. godine u Glavičorku, Bijeljina. Visoko stručno obrazovanje diplomiranog ekonomiste stekao na Ekonomskom fakultetu, Sveučilišta u Osijeku, 1978. godine. Radno iskustvo kao šef plana i analize, društveno politički radnik i kao načelnik Opštinskog odjeljenja za prostorno uređenje, stambeno komunalne poslove i urbanizam, sticao je u organima Opštine Bijeljina. Poslove direktora obavljao je u “Bijeljina putevi” d.o.o. Bijeljina, kao i poslove zamjenika Republičkog direktora za puteve Republike Srpske. U periodu od 1999 godine do 2009. godine, u “Novoj banci a.d. Banja Luka, obavljao je poslove direktora filijale Bijeljina, odnosno poslove pomoćnika generalnog direktora. Funkciju direktora UP “Drina” a.d. Bijeljina obavlja je u period od 2009. godine do 2014. godine. Posjeduje sertifikat na temu međunarodnih računovodstvenih standarda, stečen kroz više organizovanih kurseva. </w:t>
      </w:r>
      <w:r w:rsidRPr="00930FF2">
        <w:rPr>
          <w:lang w:val="sr-Latn-BA"/>
        </w:rPr>
        <w:t xml:space="preserve">Nije član Upravnih ili Nadzornih odbora u drugim emitentima i nije učestvovao u radu odbora </w:t>
      </w:r>
      <w:r w:rsidRPr="00930FF2">
        <w:rPr>
          <w:lang w:val="sl-SI"/>
        </w:rPr>
        <w:t>emitenata u kojima je vođen stečaj ili likvidacija</w:t>
      </w:r>
      <w:r w:rsidRPr="00930FF2">
        <w:rPr>
          <w:lang w:val="sr-Latn-BA"/>
        </w:rPr>
        <w:t xml:space="preserve"> u posljednjih pet godina</w:t>
      </w:r>
      <w:r w:rsidRPr="00930FF2">
        <w:rPr>
          <w:lang w:val="sl-SI"/>
        </w:rPr>
        <w:t xml:space="preserve">. U posljednjih pet godina nije pravosnažno osuđen za krivična djela protiv privrede. Od strane pravosudnih ili regulatornih organa nije bilo službenih optužbi ili sankcija, te u posljednjih pet godina sudskom odlukom nije isključen, niti mu je zabranjen rad u takvim organima. </w:t>
      </w:r>
    </w:p>
    <w:p w:rsidR="00104D15" w:rsidRPr="00930FF2" w:rsidRDefault="00104D15" w:rsidP="00903EE9">
      <w:pPr>
        <w:ind w:left="0" w:firstLine="0"/>
        <w:rPr>
          <w:lang w:val="sl-SI"/>
        </w:rPr>
      </w:pPr>
    </w:p>
    <w:p w:rsidR="00104D15" w:rsidRPr="00930FF2" w:rsidRDefault="00E37B80" w:rsidP="00F553CF">
      <w:pPr>
        <w:pStyle w:val="ListParagraph"/>
        <w:numPr>
          <w:ilvl w:val="2"/>
          <w:numId w:val="8"/>
        </w:numPr>
      </w:pPr>
      <w:r w:rsidRPr="00930FF2">
        <w:t>Upravni odbor Društva</w:t>
      </w:r>
      <w:r w:rsidR="0025489E" w:rsidRPr="00930FF2">
        <w:t xml:space="preserve"> je izabran</w:t>
      </w:r>
      <w:r w:rsidRPr="00930FF2">
        <w:t xml:space="preserve"> </w:t>
      </w:r>
      <w:r w:rsidR="00256259" w:rsidRPr="00930FF2">
        <w:t xml:space="preserve">na Skupštini akcionara Društva, </w:t>
      </w:r>
      <w:r w:rsidR="0025489E" w:rsidRPr="00930FF2">
        <w:t xml:space="preserve">dana </w:t>
      </w:r>
      <w:r w:rsidR="0060666E" w:rsidRPr="00930FF2">
        <w:t>23</w:t>
      </w:r>
      <w:r w:rsidRPr="00930FF2">
        <w:t>.0</w:t>
      </w:r>
      <w:r w:rsidR="0060666E" w:rsidRPr="00930FF2">
        <w:t>4</w:t>
      </w:r>
      <w:r w:rsidR="00E624F4" w:rsidRPr="00930FF2">
        <w:t>.2013</w:t>
      </w:r>
      <w:r w:rsidRPr="00930FF2">
        <w:t>.</w:t>
      </w:r>
    </w:p>
    <w:p w:rsidR="00E37B80" w:rsidRPr="00930FF2" w:rsidRDefault="00E37B80" w:rsidP="00104D15">
      <w:pPr>
        <w:ind w:left="0" w:firstLine="0"/>
        <w:contextualSpacing/>
      </w:pPr>
      <w:r w:rsidRPr="00930FF2">
        <w:t>godine</w:t>
      </w:r>
      <w:r w:rsidR="00655E46" w:rsidRPr="00930FF2">
        <w:t>, odnosno na Skupštini akcionara Društva, dana 29.06.2016. godine</w:t>
      </w:r>
      <w:r w:rsidR="00A96AD2" w:rsidRPr="00930FF2">
        <w:t xml:space="preserve"> na period od 4</w:t>
      </w:r>
      <w:r w:rsidRPr="00930FF2">
        <w:t xml:space="preserve"> godine</w:t>
      </w:r>
      <w:r w:rsidR="00A96AD2" w:rsidRPr="00930FF2">
        <w:t xml:space="preserve"> u sljedećem sastavu:</w:t>
      </w:r>
    </w:p>
    <w:p w:rsidR="00E624F4" w:rsidRPr="00930FF2" w:rsidRDefault="00E624F4" w:rsidP="003C2078">
      <w:pPr>
        <w:pStyle w:val="Heading9"/>
        <w:spacing w:before="0" w:after="0"/>
        <w:contextualSpacing/>
        <w:jc w:val="both"/>
        <w:rPr>
          <w:rFonts w:ascii="Times New Roman" w:hAnsi="Times New Roman" w:cs="Times New Roman"/>
          <w:i/>
          <w:sz w:val="24"/>
          <w:szCs w:val="24"/>
        </w:rPr>
      </w:pPr>
      <w:r w:rsidRPr="00930FF2">
        <w:rPr>
          <w:rFonts w:ascii="Times New Roman" w:hAnsi="Times New Roman" w:cs="Times New Roman"/>
          <w:b/>
          <w:i/>
          <w:sz w:val="24"/>
          <w:szCs w:val="24"/>
        </w:rPr>
        <w:t>Dr Aleš Musar</w:t>
      </w:r>
      <w:r w:rsidRPr="00930FF2">
        <w:rPr>
          <w:rFonts w:ascii="Times New Roman" w:hAnsi="Times New Roman" w:cs="Times New Roman"/>
          <w:i/>
          <w:sz w:val="24"/>
          <w:szCs w:val="24"/>
        </w:rPr>
        <w:t xml:space="preserve">, </w:t>
      </w:r>
      <w:r w:rsidRPr="00930FF2">
        <w:rPr>
          <w:rFonts w:ascii="Times New Roman" w:hAnsi="Times New Roman" w:cs="Times New Roman"/>
          <w:bCs/>
          <w:sz w:val="24"/>
          <w:szCs w:val="24"/>
        </w:rPr>
        <w:t>predsjednik Upravnog odbora</w:t>
      </w:r>
      <w:r w:rsidR="00D473AB" w:rsidRPr="00930FF2">
        <w:rPr>
          <w:rFonts w:ascii="Times New Roman" w:hAnsi="Times New Roman" w:cs="Times New Roman"/>
          <w:sz w:val="24"/>
          <w:szCs w:val="24"/>
          <w:lang w:val="sl-SI"/>
        </w:rPr>
        <w:t>, trajanje mandata: od 23</w:t>
      </w:r>
      <w:r w:rsidRPr="00930FF2">
        <w:rPr>
          <w:rFonts w:ascii="Times New Roman" w:hAnsi="Times New Roman" w:cs="Times New Roman"/>
          <w:sz w:val="24"/>
          <w:szCs w:val="24"/>
          <w:lang w:val="sl-SI"/>
        </w:rPr>
        <w:t>.0</w:t>
      </w:r>
      <w:r w:rsidR="00D473AB" w:rsidRPr="00930FF2">
        <w:rPr>
          <w:rFonts w:ascii="Times New Roman" w:hAnsi="Times New Roman" w:cs="Times New Roman"/>
          <w:sz w:val="24"/>
          <w:szCs w:val="24"/>
          <w:lang w:val="sl-SI"/>
        </w:rPr>
        <w:t>4</w:t>
      </w:r>
      <w:r w:rsidRPr="00930FF2">
        <w:rPr>
          <w:rFonts w:ascii="Times New Roman" w:hAnsi="Times New Roman" w:cs="Times New Roman"/>
          <w:sz w:val="24"/>
          <w:szCs w:val="24"/>
          <w:lang w:val="sl-SI"/>
        </w:rPr>
        <w:t>.201</w:t>
      </w:r>
      <w:r w:rsidR="004E262B" w:rsidRPr="00930FF2">
        <w:rPr>
          <w:rFonts w:ascii="Times New Roman" w:hAnsi="Times New Roman" w:cs="Times New Roman"/>
          <w:sz w:val="24"/>
          <w:szCs w:val="24"/>
          <w:lang w:val="sl-SI"/>
        </w:rPr>
        <w:t>3.</w:t>
      </w:r>
      <w:r w:rsidR="003C2078" w:rsidRPr="00930FF2">
        <w:rPr>
          <w:rFonts w:ascii="Times New Roman" w:hAnsi="Times New Roman" w:cs="Times New Roman"/>
          <w:i/>
          <w:sz w:val="24"/>
          <w:szCs w:val="24"/>
        </w:rPr>
        <w:t xml:space="preserve"> </w:t>
      </w:r>
      <w:r w:rsidR="00D473AB" w:rsidRPr="00930FF2">
        <w:rPr>
          <w:rFonts w:ascii="Times New Roman" w:hAnsi="Times New Roman" w:cs="Times New Roman"/>
          <w:sz w:val="24"/>
          <w:szCs w:val="24"/>
          <w:lang w:val="sl-SI"/>
        </w:rPr>
        <w:t>godine do 23</w:t>
      </w:r>
      <w:r w:rsidR="00183BD7" w:rsidRPr="00930FF2">
        <w:rPr>
          <w:rFonts w:ascii="Times New Roman" w:hAnsi="Times New Roman" w:cs="Times New Roman"/>
          <w:sz w:val="24"/>
          <w:szCs w:val="24"/>
          <w:lang w:val="sl-SI"/>
        </w:rPr>
        <w:t>.0</w:t>
      </w:r>
      <w:r w:rsidR="00D473AB" w:rsidRPr="00930FF2">
        <w:rPr>
          <w:rFonts w:ascii="Times New Roman" w:hAnsi="Times New Roman" w:cs="Times New Roman"/>
          <w:sz w:val="24"/>
          <w:szCs w:val="24"/>
          <w:lang w:val="sl-SI"/>
        </w:rPr>
        <w:t>4</w:t>
      </w:r>
      <w:r w:rsidR="00183BD7" w:rsidRPr="00930FF2">
        <w:rPr>
          <w:rFonts w:ascii="Times New Roman" w:hAnsi="Times New Roman" w:cs="Times New Roman"/>
          <w:sz w:val="24"/>
          <w:szCs w:val="24"/>
          <w:lang w:val="sl-SI"/>
        </w:rPr>
        <w:t>.2017. godine,</w:t>
      </w:r>
      <w:r w:rsidRPr="00930FF2">
        <w:rPr>
          <w:rFonts w:ascii="Times New Roman" w:hAnsi="Times New Roman" w:cs="Times New Roman"/>
          <w:sz w:val="24"/>
          <w:szCs w:val="24"/>
          <w:lang w:val="sl-SI"/>
        </w:rPr>
        <w:t xml:space="preserve"> </w:t>
      </w:r>
      <w:r w:rsidR="003D0657" w:rsidRPr="00930FF2">
        <w:rPr>
          <w:rFonts w:ascii="Times New Roman" w:hAnsi="Times New Roman" w:cs="Times New Roman"/>
          <w:bCs/>
          <w:sz w:val="24"/>
          <w:szCs w:val="24"/>
        </w:rPr>
        <w:t>(saglasnost dobijena rješenjem Komisije za hartije od vrijednosti Republike Srpske, broj: 01-UP-051-1321/13 od 03.07.2013. godine)</w:t>
      </w:r>
      <w:r w:rsidR="003D0657" w:rsidRPr="00930FF2">
        <w:rPr>
          <w:rFonts w:ascii="Times New Roman" w:hAnsi="Times New Roman" w:cs="Times New Roman"/>
          <w:sz w:val="24"/>
          <w:szCs w:val="24"/>
          <w:lang w:val="sl-SI"/>
        </w:rPr>
        <w:t xml:space="preserve">. </w:t>
      </w:r>
      <w:r w:rsidRPr="00930FF2">
        <w:rPr>
          <w:rFonts w:ascii="Times New Roman" w:hAnsi="Times New Roman" w:cs="Times New Roman"/>
          <w:sz w:val="24"/>
          <w:szCs w:val="24"/>
          <w:lang w:val="sl-SI"/>
        </w:rPr>
        <w:t>Stalno nastanjen u Lju</w:t>
      </w:r>
      <w:r w:rsidR="003D0657" w:rsidRPr="00930FF2">
        <w:rPr>
          <w:rFonts w:ascii="Times New Roman" w:hAnsi="Times New Roman" w:cs="Times New Roman"/>
          <w:sz w:val="24"/>
          <w:szCs w:val="24"/>
          <w:lang w:val="sl-SI"/>
        </w:rPr>
        <w:t>bljani, rođen 16.07.1965 godine.</w:t>
      </w:r>
      <w:r w:rsidRPr="00930FF2">
        <w:rPr>
          <w:rFonts w:ascii="Times New Roman" w:hAnsi="Times New Roman" w:cs="Times New Roman"/>
          <w:sz w:val="24"/>
          <w:szCs w:val="24"/>
          <w:lang w:val="sl-SI"/>
        </w:rPr>
        <w:t xml:space="preserve"> </w:t>
      </w:r>
      <w:r w:rsidR="003D0657" w:rsidRPr="00930FF2">
        <w:rPr>
          <w:rFonts w:ascii="Times New Roman" w:hAnsi="Times New Roman" w:cs="Times New Roman"/>
          <w:sz w:val="24"/>
          <w:szCs w:val="24"/>
          <w:lang w:val="sl-SI"/>
        </w:rPr>
        <w:t>U</w:t>
      </w:r>
      <w:r w:rsidRPr="00930FF2">
        <w:rPr>
          <w:rFonts w:ascii="Times New Roman" w:hAnsi="Times New Roman" w:cs="Times New Roman"/>
          <w:sz w:val="24"/>
          <w:szCs w:val="24"/>
          <w:lang w:val="sl-SI"/>
        </w:rPr>
        <w:t xml:space="preserve"> periodu od 1985. godine do 1991. godine pohađao studije hemije, smjer biohemija na Univerzitetu u Ljubljani, diplomu stekao 01.02.1991. godine. Zvanje magistra na Univerzitetu u Ljubljani stekao dana 06.10.1994. godine, a 09.08.1999. godine odbranio doktorat na Lancaster University Management School (Velika Britanija), Department of  Management Science (part time/away). Zaposlen u »Net Produkcija« d.o.o. Ljubljana. Član Upravnog odbora HTG d.d. Sežana, i »Plama – pur« d.d. Podgrad, Republika Slovenija, funkciju direktora obavlja u »S.T. Hammer« d.o.o. Ljubljana, »Balkan RE« d.o.o. Ljubljana – Čmuče, »Net Produkcija« d.o.o. Radomlje i »Net Pro Shop« d.o.o. Radomlje, Republika Slovenija. Član je Nadzornog odbora »E-RKG« d.d. Bihać, Republika Bosna i Hercegovina. U DZU »Moneta« a.d. Podgorica se nalazi u odboru direktora. Do 2011. godine bio je član Nadzornog odbora »Strenia« d.d. Ljubljana, do 2009. godine je bio direktor u »Gama Tera d.o.o. Ljubljana, te izvršni direktor u STH Holding d.d. Podgrad, Ljubljana</w:t>
      </w:r>
      <w:r w:rsidRPr="00930FF2">
        <w:rPr>
          <w:rFonts w:ascii="Times New Roman" w:hAnsi="Times New Roman" w:cs="Times New Roman"/>
          <w:sz w:val="24"/>
          <w:szCs w:val="24"/>
        </w:rPr>
        <w:t xml:space="preserve">. </w:t>
      </w:r>
      <w:r w:rsidRPr="00930FF2">
        <w:rPr>
          <w:rFonts w:ascii="Times New Roman" w:hAnsi="Times New Roman" w:cs="Times New Roman"/>
          <w:sz w:val="24"/>
          <w:szCs w:val="24"/>
          <w:lang w:val="sl-SI"/>
        </w:rPr>
        <w:t>U posljednjih pet godina nije pravosnažno osuđen za krivična djela protiv privrede. Ni u jednom od navedenih emitenata nije vođen stečaj ili likvidacija u posljednjih pet godina. Od strane pravosudnih ili regulatornih organa nije bilo službenih optužbi ili sankcija, te u posljednjih pet godina sudskom odlukom nije isključen, niti mu je zabranjen rad u takvim organima.</w:t>
      </w:r>
    </w:p>
    <w:p w:rsidR="00183BD7" w:rsidRPr="00930FF2" w:rsidRDefault="00E624F4" w:rsidP="003C2078">
      <w:pPr>
        <w:ind w:left="0" w:firstLine="0"/>
        <w:rPr>
          <w:lang w:val="sl-SI"/>
        </w:rPr>
      </w:pPr>
      <w:r w:rsidRPr="00930FF2">
        <w:rPr>
          <w:b/>
          <w:i/>
        </w:rPr>
        <w:t>Slavko Paleksić</w:t>
      </w:r>
      <w:r w:rsidRPr="00930FF2">
        <w:rPr>
          <w:i/>
        </w:rPr>
        <w:t xml:space="preserve">, </w:t>
      </w:r>
      <w:r w:rsidRPr="00930FF2">
        <w:rPr>
          <w:bCs/>
          <w:lang w:val="sr-Latn-BA"/>
        </w:rPr>
        <w:t>član Upravno</w:t>
      </w:r>
      <w:r w:rsidR="00D473AB" w:rsidRPr="00930FF2">
        <w:rPr>
          <w:bCs/>
          <w:lang w:val="sr-Latn-BA"/>
        </w:rPr>
        <w:t>g odbora, trajanje mandata: od 23</w:t>
      </w:r>
      <w:r w:rsidRPr="00930FF2">
        <w:rPr>
          <w:bCs/>
          <w:lang w:val="sr-Latn-BA"/>
        </w:rPr>
        <w:t>.0</w:t>
      </w:r>
      <w:r w:rsidR="004E262B" w:rsidRPr="00930FF2">
        <w:rPr>
          <w:bCs/>
          <w:lang w:val="sr-Latn-BA"/>
        </w:rPr>
        <w:t>4.2013. godine do</w:t>
      </w:r>
      <w:r w:rsidR="00346E0B" w:rsidRPr="00930FF2">
        <w:rPr>
          <w:lang w:val="sl-SI"/>
        </w:rPr>
        <w:t xml:space="preserve"> </w:t>
      </w:r>
      <w:r w:rsidR="00D473AB" w:rsidRPr="00930FF2">
        <w:rPr>
          <w:bCs/>
          <w:lang w:val="sr-Latn-BA"/>
        </w:rPr>
        <w:t>2</w:t>
      </w:r>
      <w:r w:rsidRPr="00930FF2">
        <w:rPr>
          <w:bCs/>
          <w:lang w:val="sr-Latn-BA"/>
        </w:rPr>
        <w:t>3.0</w:t>
      </w:r>
      <w:r w:rsidR="00D473AB" w:rsidRPr="00930FF2">
        <w:rPr>
          <w:bCs/>
          <w:lang w:val="sr-Latn-BA"/>
        </w:rPr>
        <w:t>4</w:t>
      </w:r>
      <w:r w:rsidRPr="00930FF2">
        <w:rPr>
          <w:bCs/>
          <w:lang w:val="sr-Latn-BA"/>
        </w:rPr>
        <w:t xml:space="preserve">.2017. godine, </w:t>
      </w:r>
      <w:r w:rsidR="00183BD7" w:rsidRPr="00930FF2">
        <w:rPr>
          <w:bCs/>
          <w:lang w:val="sr-Latn-BA"/>
        </w:rPr>
        <w:t>(saglasnost dobijena rješenjem Komisije za hartije od vrijednosti Republike Srpske, broj: 01-UP-</w:t>
      </w:r>
      <w:r w:rsidR="00183BD7" w:rsidRPr="00930FF2">
        <w:rPr>
          <w:bCs/>
        </w:rPr>
        <w:t>0</w:t>
      </w:r>
      <w:r w:rsidR="00183BD7" w:rsidRPr="00930FF2">
        <w:rPr>
          <w:bCs/>
          <w:lang w:val="sr-Latn-BA"/>
        </w:rPr>
        <w:t>5</w:t>
      </w:r>
      <w:r w:rsidR="00183BD7" w:rsidRPr="00930FF2">
        <w:rPr>
          <w:bCs/>
        </w:rPr>
        <w:t>1</w:t>
      </w:r>
      <w:r w:rsidR="00183BD7" w:rsidRPr="00930FF2">
        <w:rPr>
          <w:bCs/>
          <w:lang w:val="sr-Latn-BA"/>
        </w:rPr>
        <w:t>-</w:t>
      </w:r>
      <w:r w:rsidR="00183BD7" w:rsidRPr="00930FF2">
        <w:rPr>
          <w:bCs/>
        </w:rPr>
        <w:t>1</w:t>
      </w:r>
      <w:r w:rsidR="00183BD7" w:rsidRPr="00930FF2">
        <w:rPr>
          <w:bCs/>
          <w:lang w:val="sr-Latn-BA"/>
        </w:rPr>
        <w:t>3</w:t>
      </w:r>
      <w:r w:rsidR="00183BD7" w:rsidRPr="00930FF2">
        <w:rPr>
          <w:bCs/>
        </w:rPr>
        <w:t>22</w:t>
      </w:r>
      <w:r w:rsidR="00183BD7" w:rsidRPr="00930FF2">
        <w:rPr>
          <w:bCs/>
          <w:lang w:val="sr-Latn-BA"/>
        </w:rPr>
        <w:t>/1</w:t>
      </w:r>
      <w:r w:rsidR="00183BD7" w:rsidRPr="00930FF2">
        <w:rPr>
          <w:bCs/>
        </w:rPr>
        <w:t>3 od 03</w:t>
      </w:r>
      <w:r w:rsidR="00183BD7" w:rsidRPr="00930FF2">
        <w:rPr>
          <w:bCs/>
          <w:lang w:val="sr-Latn-BA"/>
        </w:rPr>
        <w:t>.0</w:t>
      </w:r>
      <w:r w:rsidR="00183BD7" w:rsidRPr="00930FF2">
        <w:rPr>
          <w:bCs/>
        </w:rPr>
        <w:t>7</w:t>
      </w:r>
      <w:r w:rsidR="00183BD7" w:rsidRPr="00930FF2">
        <w:rPr>
          <w:bCs/>
          <w:lang w:val="sr-Latn-BA"/>
        </w:rPr>
        <w:t>.201</w:t>
      </w:r>
      <w:r w:rsidR="00183BD7" w:rsidRPr="00930FF2">
        <w:rPr>
          <w:bCs/>
        </w:rPr>
        <w:t>3</w:t>
      </w:r>
      <w:r w:rsidR="00183BD7" w:rsidRPr="00930FF2">
        <w:rPr>
          <w:bCs/>
          <w:lang w:val="sr-Latn-BA"/>
        </w:rPr>
        <w:t>. godine)</w:t>
      </w:r>
      <w:r w:rsidR="00183BD7" w:rsidRPr="00930FF2">
        <w:rPr>
          <w:lang w:val="sl-SI"/>
        </w:rPr>
        <w:t xml:space="preserve">, </w:t>
      </w:r>
      <w:r w:rsidRPr="00930FF2">
        <w:rPr>
          <w:bCs/>
          <w:lang w:val="sr-Latn-BA"/>
        </w:rPr>
        <w:t>diplomirani pravnik, stalno nastanjen u Bijeljini, rođen 06.06.1953. godine u Gračanici, Bosna i Hercegovina. Pravni fak</w:t>
      </w:r>
      <w:r w:rsidR="00183BD7" w:rsidRPr="00930FF2">
        <w:rPr>
          <w:bCs/>
          <w:lang w:val="sr-Latn-BA"/>
        </w:rPr>
        <w:t xml:space="preserve">ultet završio u Sarajevu </w:t>
      </w:r>
      <w:r w:rsidR="00183BD7" w:rsidRPr="00930FF2">
        <w:rPr>
          <w:bCs/>
          <w:lang w:val="sr-Latn-BA"/>
        </w:rPr>
        <w:lastRenderedPageBreak/>
        <w:t>1977. g</w:t>
      </w:r>
      <w:r w:rsidRPr="00930FF2">
        <w:rPr>
          <w:bCs/>
          <w:lang w:val="sr-Latn-BA"/>
        </w:rPr>
        <w:t xml:space="preserve">odine, posjeduje položen pravosudni ispit. Radio kao sudija Osnovnog suda u Gračanici, zamjenik javnog tužioca, direktor RZ Ro „Fering“ Gračanica, sekretar Opštine Gračanica, bio potpredsjednik SO Gračanica. U MUP RS bio načelnik CJB Doboj, pomoćnik ministra za kadrove MUP RS i ministar MUP RS. Od 1999. godine do 2006. godine radio kao advokat, a od 2006. godine do danas direktor DOO Forever living products-bos Bijeljina (firma iz USA). </w:t>
      </w:r>
      <w:r w:rsidRPr="00930FF2">
        <w:rPr>
          <w:lang w:val="sl-SI"/>
        </w:rPr>
        <w:t xml:space="preserve">U posljednjih pet godina nije pravosnažno osuđen za krivična djela protiv privrede. </w:t>
      </w:r>
      <w:r w:rsidR="00183BD7" w:rsidRPr="00930FF2">
        <w:rPr>
          <w:lang w:val="sr-Latn-BA"/>
        </w:rPr>
        <w:t xml:space="preserve">Nije član Upravnih ili Nadzornih odbora u drugim emitentima, i nije učestvovao u radu odbora </w:t>
      </w:r>
      <w:r w:rsidR="00183BD7" w:rsidRPr="00930FF2">
        <w:rPr>
          <w:lang w:val="sl-SI"/>
        </w:rPr>
        <w:t>emitenata u kojima je vođen stečaj ili likvidacija</w:t>
      </w:r>
      <w:r w:rsidR="00183BD7" w:rsidRPr="00930FF2">
        <w:rPr>
          <w:lang w:val="sr-Latn-BA"/>
        </w:rPr>
        <w:t xml:space="preserve"> u posljednjih pet godina</w:t>
      </w:r>
      <w:r w:rsidR="00183BD7" w:rsidRPr="00930FF2">
        <w:rPr>
          <w:lang w:val="sl-SI"/>
        </w:rPr>
        <w:t>.</w:t>
      </w:r>
      <w:r w:rsidR="00183BD7" w:rsidRPr="00930FF2">
        <w:rPr>
          <w:lang w:val="sr-Latn-BA"/>
        </w:rPr>
        <w:t xml:space="preserve"> </w:t>
      </w:r>
      <w:r w:rsidR="00183BD7" w:rsidRPr="00930FF2">
        <w:rPr>
          <w:lang w:val="sl-SI"/>
        </w:rPr>
        <w:t>Od strane pravosudnih ili regulatornih organa nije bilo službenih optužbi ili sankcija, te u posljednjih pet godina sudskom odlukom nije isključen, niti mu je zabranjen rad u takvim organima.</w:t>
      </w:r>
    </w:p>
    <w:p w:rsidR="00E37B80" w:rsidRPr="00930FF2" w:rsidRDefault="00655E46" w:rsidP="003C2078">
      <w:pPr>
        <w:ind w:left="0" w:firstLine="0"/>
        <w:rPr>
          <w:lang w:val="sl-SI"/>
        </w:rPr>
      </w:pPr>
      <w:r w:rsidRPr="00930FF2">
        <w:rPr>
          <w:b/>
          <w:i/>
        </w:rPr>
        <w:t>Stevan Radić</w:t>
      </w:r>
      <w:r w:rsidRPr="00930FF2">
        <w:t>,</w:t>
      </w:r>
      <w:r w:rsidR="00903EE9" w:rsidRPr="00930FF2">
        <w:t xml:space="preserve"> član Upravnog odbora Društva, </w:t>
      </w:r>
      <w:r w:rsidR="00903EE9" w:rsidRPr="00930FF2">
        <w:rPr>
          <w:bCs/>
          <w:lang w:val="sr-Latn-BA"/>
        </w:rPr>
        <w:t xml:space="preserve">diplomirani pravnik, trajanje mandata od 29.06.2016. godine do </w:t>
      </w:r>
      <w:r w:rsidR="00B62B03" w:rsidRPr="00930FF2">
        <w:rPr>
          <w:bCs/>
          <w:lang w:val="sr-Latn-BA"/>
        </w:rPr>
        <w:t>23.04.2017. godine</w:t>
      </w:r>
      <w:r w:rsidR="00903EE9" w:rsidRPr="00930FF2">
        <w:rPr>
          <w:bCs/>
          <w:lang w:val="sr-Latn-BA"/>
        </w:rPr>
        <w:t xml:space="preserve">, </w:t>
      </w:r>
      <w:r w:rsidR="009E2B99" w:rsidRPr="00930FF2">
        <w:rPr>
          <w:bCs/>
          <w:lang w:val="sr-Latn-BA"/>
        </w:rPr>
        <w:t xml:space="preserve">(saglasnost dobijena rješenjem Komisije za hartije od vrijednosti Republike Srpske, broj: 01-UP-51-325-3/16 od 13.07.2016. godine), </w:t>
      </w:r>
      <w:r w:rsidR="00903EE9" w:rsidRPr="00930FF2">
        <w:rPr>
          <w:bCs/>
          <w:lang w:val="sr-Latn-BA"/>
        </w:rPr>
        <w:t xml:space="preserve">rođen 29.10.1958. godine u Bijeljini, stalno nastanjen u Zvorniku, diplomu Pravnog fakulteta Univerziteta u Novom Sadu stekao 1983. godine. Radno iskustvo je sticao obavljajući pripravnički staž u organima uprave Opštine Zvornik, zatim kao sudija u Sudu za prekršaje Zvornik, obavljao je dužnosti Sekretara Opštine Zvornik, direktora preduzeća „Prerada sa hladnjačom“ a.d. Zvornik, dužnost člana Izvršnog odbora Zvornik i dužnost upravnika Carinarnice Zvornik. Direktor je Društva za upravljanje investicionim fondovima „Invest nova“ a.d. Bijeljina od 2001. godine. U posljednjih pet godina bio je član Upravnog odbora Drina Osiguranje a.d. Milići, Promet a.d. Zvornik, Ekonomik a.d. Zvornik, As a.d. Zvornik i Vitinka a.d. Kozluk, kao i član Nadzornog odbora STH Ventures DTK, Ljubljana. </w:t>
      </w:r>
      <w:r w:rsidR="00903EE9" w:rsidRPr="00930FF2">
        <w:rPr>
          <w:lang w:val="sl-SI"/>
        </w:rPr>
        <w:t>Ni u jednom od navedenih emitenata nije vođen stečaj ili likvidacija u posljednjih pet godina, izuzevši Žitopromet a.d. Zvornik gdje je postupak stečeja započet u maju mjesecu 2012. godine, i isti još uvijek nije završen. U posljednjih pet godina imenovani nije pravosnažno osuđen za krivična djela protiv privrede. Od strane pravosudnih ili regulatornih organa nije bilo službenih optužbi ili sankcija, te u posljednjih pet godina sudskom odlukom nije isključen, niti mu je zabranjen rad u takvim organima</w:t>
      </w:r>
      <w:r w:rsidR="00104D15" w:rsidRPr="00930FF2">
        <w:rPr>
          <w:lang w:val="sl-SI"/>
        </w:rPr>
        <w:t>.</w:t>
      </w:r>
    </w:p>
    <w:p w:rsidR="003C2078" w:rsidRPr="00930FF2" w:rsidRDefault="003C2078" w:rsidP="00687A57">
      <w:pPr>
        <w:ind w:left="0" w:firstLine="0"/>
        <w:rPr>
          <w:lang w:val="sl-SI"/>
        </w:rPr>
      </w:pPr>
    </w:p>
    <w:p w:rsidR="003D695F" w:rsidRPr="00930FF2" w:rsidRDefault="00E37B80" w:rsidP="00C36F62">
      <w:pPr>
        <w:ind w:left="0" w:firstLine="0"/>
        <w:contextualSpacing/>
        <w:rPr>
          <w:bCs/>
        </w:rPr>
      </w:pPr>
      <w:r w:rsidRPr="00930FF2">
        <w:rPr>
          <w:bCs/>
        </w:rPr>
        <w:t>Izjavljujemo da ne postoji sukob interesa upravnih, rukovode</w:t>
      </w:r>
      <w:r w:rsidR="00C36F62" w:rsidRPr="00930FF2">
        <w:rPr>
          <w:bCs/>
        </w:rPr>
        <w:t xml:space="preserve">ćih i nadzornih organa i višeg </w:t>
      </w:r>
      <w:r w:rsidRPr="00930FF2">
        <w:rPr>
          <w:bCs/>
        </w:rPr>
        <w:t>rukovodstva.</w:t>
      </w:r>
      <w:r w:rsidR="003D695F" w:rsidRPr="00930FF2">
        <w:rPr>
          <w:bCs/>
        </w:rPr>
        <w:t xml:space="preserve"> </w:t>
      </w:r>
    </w:p>
    <w:p w:rsidR="00C36F62" w:rsidRPr="00930FF2" w:rsidRDefault="00E37B80" w:rsidP="00C36F62">
      <w:pPr>
        <w:ind w:left="0" w:firstLine="0"/>
        <w:contextualSpacing/>
        <w:rPr>
          <w:bCs/>
        </w:rPr>
      </w:pPr>
      <w:r w:rsidRPr="00930FF2">
        <w:rPr>
          <w:bCs/>
        </w:rPr>
        <w:t>Izjavljujemo da ne postoji potencijalni sukob interesa gore navedenih lica i to u pogledu njihovih ličnih interesa i njihovih obaveza i dužnosti prema Fondu.</w:t>
      </w:r>
    </w:p>
    <w:p w:rsidR="00E37B80" w:rsidRPr="00930FF2" w:rsidRDefault="00E37B80" w:rsidP="00C36F62">
      <w:pPr>
        <w:ind w:left="0" w:firstLine="0"/>
        <w:contextualSpacing/>
        <w:rPr>
          <w:bCs/>
        </w:rPr>
      </w:pPr>
      <w:r w:rsidRPr="00930FF2">
        <w:rPr>
          <w:bCs/>
        </w:rPr>
        <w:t>Ne postoje sporazumi niti dogovori sa najvećim akcionarima, klij</w:t>
      </w:r>
      <w:r w:rsidR="00C36F62" w:rsidRPr="00930FF2">
        <w:rPr>
          <w:bCs/>
        </w:rPr>
        <w:t xml:space="preserve">entima, dobavljačima ili drugim </w:t>
      </w:r>
      <w:r w:rsidRPr="00930FF2">
        <w:rPr>
          <w:bCs/>
        </w:rPr>
        <w:t xml:space="preserve">licima na osnovu kojih je bilo koje gore navedeno lice izabrano za </w:t>
      </w:r>
      <w:r w:rsidR="00C36F62" w:rsidRPr="00930FF2">
        <w:rPr>
          <w:bCs/>
        </w:rPr>
        <w:t xml:space="preserve">člana upravnih, rukovodećih ili </w:t>
      </w:r>
      <w:r w:rsidRPr="00930FF2">
        <w:rPr>
          <w:bCs/>
        </w:rPr>
        <w:t>nadzornih organa ili člana višeg rukovodstva.</w:t>
      </w:r>
    </w:p>
    <w:p w:rsidR="009E2B99" w:rsidRPr="00930FF2" w:rsidRDefault="009E2B99" w:rsidP="009E2B99">
      <w:pPr>
        <w:ind w:left="0" w:firstLine="0"/>
        <w:contextualSpacing/>
        <w:jc w:val="left"/>
      </w:pPr>
      <w:r w:rsidRPr="00930FF2">
        <w:t xml:space="preserve">Između navedenih lica ne postoji rodbinska povezanost. </w:t>
      </w:r>
    </w:p>
    <w:p w:rsidR="00E37B80" w:rsidRPr="00930FF2" w:rsidRDefault="00E37B80" w:rsidP="009E2B99">
      <w:pPr>
        <w:ind w:left="0" w:firstLine="0"/>
        <w:contextualSpacing/>
        <w:rPr>
          <w:b/>
          <w:bCs/>
          <w:sz w:val="26"/>
          <w:szCs w:val="26"/>
        </w:rPr>
      </w:pPr>
    </w:p>
    <w:p w:rsidR="00C36F62" w:rsidRPr="00930FF2" w:rsidRDefault="00C36F62" w:rsidP="00F553CF">
      <w:pPr>
        <w:pStyle w:val="ListParagraph"/>
        <w:numPr>
          <w:ilvl w:val="0"/>
          <w:numId w:val="8"/>
        </w:numPr>
        <w:rPr>
          <w:b/>
          <w:bCs/>
        </w:rPr>
      </w:pPr>
      <w:r w:rsidRPr="00930FF2">
        <w:rPr>
          <w:b/>
          <w:bCs/>
        </w:rPr>
        <w:t>LIČNA PRIMANJA I POGODNOSTI</w:t>
      </w:r>
    </w:p>
    <w:p w:rsidR="00C36F62" w:rsidRPr="00930FF2" w:rsidRDefault="00C36F62" w:rsidP="00C36F62">
      <w:pPr>
        <w:ind w:left="0" w:firstLine="0"/>
        <w:contextualSpacing/>
        <w:jc w:val="left"/>
        <w:rPr>
          <w:bCs/>
        </w:rPr>
      </w:pPr>
      <w:r w:rsidRPr="00930FF2">
        <w:rPr>
          <w:bCs/>
        </w:rPr>
        <w:t>Skupština akcionara je na sjednici održanoj dana 06.04.2016. godine donijela Odluku o visini mjesečne naknade predsjedniku i članovima Nadzornog odbora Fonda u sljedećim iznosima:</w:t>
      </w:r>
    </w:p>
    <w:p w:rsidR="00C36F62" w:rsidRPr="00930FF2" w:rsidRDefault="00C36F62" w:rsidP="003D695F">
      <w:pPr>
        <w:ind w:left="0" w:firstLine="0"/>
        <w:rPr>
          <w:bCs/>
        </w:rPr>
      </w:pPr>
      <w:r w:rsidRPr="00930FF2">
        <w:rPr>
          <w:bCs/>
        </w:rPr>
        <w:t>Predsjednik Nadzornog odbora – 300,00 KM</w:t>
      </w:r>
      <w:r w:rsidR="003D695F" w:rsidRPr="00930FF2">
        <w:rPr>
          <w:bCs/>
        </w:rPr>
        <w:t>,</w:t>
      </w:r>
    </w:p>
    <w:p w:rsidR="00C36F62" w:rsidRPr="00930FF2" w:rsidRDefault="00C36F62" w:rsidP="003D695F">
      <w:pPr>
        <w:ind w:left="0" w:firstLine="0"/>
        <w:rPr>
          <w:bCs/>
        </w:rPr>
      </w:pPr>
      <w:r w:rsidRPr="00930FF2">
        <w:rPr>
          <w:bCs/>
        </w:rPr>
        <w:t>Članovi Nadzornog odbora – 200,00 KM</w:t>
      </w:r>
      <w:r w:rsidR="003D695F" w:rsidRPr="00930FF2">
        <w:rPr>
          <w:bCs/>
        </w:rPr>
        <w:t>.</w:t>
      </w:r>
    </w:p>
    <w:p w:rsidR="00C36F62" w:rsidRPr="00930FF2" w:rsidRDefault="00C36F62" w:rsidP="00C36F62">
      <w:pPr>
        <w:ind w:left="0" w:firstLine="0"/>
        <w:contextualSpacing/>
        <w:rPr>
          <w:b/>
          <w:bCs/>
          <w:sz w:val="26"/>
          <w:szCs w:val="26"/>
        </w:rPr>
      </w:pPr>
    </w:p>
    <w:p w:rsidR="00C36F62" w:rsidRPr="00930FF2" w:rsidRDefault="00C36F62" w:rsidP="00F553CF">
      <w:pPr>
        <w:pStyle w:val="ListParagraph"/>
        <w:numPr>
          <w:ilvl w:val="0"/>
          <w:numId w:val="8"/>
        </w:numPr>
        <w:rPr>
          <w:b/>
          <w:bCs/>
          <w:sz w:val="26"/>
          <w:szCs w:val="26"/>
        </w:rPr>
      </w:pPr>
      <w:r w:rsidRPr="00930FF2">
        <w:rPr>
          <w:b/>
          <w:bCs/>
          <w:sz w:val="26"/>
          <w:szCs w:val="26"/>
        </w:rPr>
        <w:t>PRAKSA UPRAVE</w:t>
      </w:r>
    </w:p>
    <w:p w:rsidR="00C36F62" w:rsidRPr="00930FF2" w:rsidRDefault="003D695F" w:rsidP="00C36F62">
      <w:pPr>
        <w:ind w:left="0" w:firstLine="0"/>
        <w:contextualSpacing/>
      </w:pPr>
      <w:r w:rsidRPr="00930FF2">
        <w:t>Izvršni d</w:t>
      </w:r>
      <w:r w:rsidR="00C36F62" w:rsidRPr="00930FF2">
        <w:t>irektor Društva</w:t>
      </w:r>
      <w:r w:rsidRPr="00930FF2">
        <w:t>,</w:t>
      </w:r>
      <w:r w:rsidR="00C36F62" w:rsidRPr="00930FF2">
        <w:t xml:space="preserve"> </w:t>
      </w:r>
      <w:r w:rsidR="00D473AB" w:rsidRPr="00930FF2">
        <w:t>Stevan Radić, imenovan je 31</w:t>
      </w:r>
      <w:r w:rsidR="00C36F62" w:rsidRPr="00930FF2">
        <w:t>.0</w:t>
      </w:r>
      <w:r w:rsidR="00D473AB" w:rsidRPr="00930FF2">
        <w:t>3</w:t>
      </w:r>
      <w:r w:rsidR="00C36F62" w:rsidRPr="00930FF2">
        <w:t>.20</w:t>
      </w:r>
      <w:r w:rsidR="00D473AB" w:rsidRPr="00930FF2">
        <w:t>15</w:t>
      </w:r>
      <w:r w:rsidR="00C36F62" w:rsidRPr="00930FF2">
        <w:t>. godine - mandat 4 godine</w:t>
      </w:r>
      <w:r w:rsidR="00697984" w:rsidRPr="00930FF2">
        <w:t>.</w:t>
      </w:r>
    </w:p>
    <w:p w:rsidR="00457429" w:rsidRPr="00930FF2" w:rsidRDefault="00457429" w:rsidP="00C36F62">
      <w:pPr>
        <w:ind w:left="0" w:firstLine="0"/>
        <w:contextualSpacing/>
      </w:pPr>
      <w:r w:rsidRPr="00930FF2">
        <w:lastRenderedPageBreak/>
        <w:t>Izvršni direktor Društva, Petar Mitrović, imenovan 29.07.2016. godine – mandat 4 godine.</w:t>
      </w:r>
    </w:p>
    <w:p w:rsidR="00C36F62" w:rsidRPr="00930FF2" w:rsidRDefault="00C36F62" w:rsidP="00C36F62">
      <w:pPr>
        <w:ind w:left="0" w:firstLine="0"/>
        <w:contextualSpacing/>
      </w:pPr>
      <w:r w:rsidRPr="00930FF2">
        <w:t>Upr</w:t>
      </w:r>
      <w:r w:rsidR="00C6689D" w:rsidRPr="00930FF2">
        <w:t>avni odbor Društva izabran</w:t>
      </w:r>
      <w:r w:rsidR="00D473AB" w:rsidRPr="00930FF2">
        <w:t xml:space="preserve"> je 23</w:t>
      </w:r>
      <w:r w:rsidRPr="00930FF2">
        <w:t>.0</w:t>
      </w:r>
      <w:r w:rsidR="00D473AB" w:rsidRPr="00930FF2">
        <w:t>4</w:t>
      </w:r>
      <w:r w:rsidRPr="00930FF2">
        <w:t>.201</w:t>
      </w:r>
      <w:r w:rsidR="00D473AB" w:rsidRPr="00930FF2">
        <w:t>3</w:t>
      </w:r>
      <w:r w:rsidRPr="00930FF2">
        <w:t>. godine i mandat je 4 godine</w:t>
      </w:r>
      <w:r w:rsidR="003D695F" w:rsidRPr="00930FF2">
        <w:t>, odnosno treći član</w:t>
      </w:r>
      <w:r w:rsidR="00397252" w:rsidRPr="00930FF2">
        <w:t xml:space="preserve"> je izabran 29.06.2016. godine</w:t>
      </w:r>
      <w:r w:rsidR="003D695F" w:rsidRPr="00930FF2">
        <w:t xml:space="preserve">.  </w:t>
      </w:r>
    </w:p>
    <w:p w:rsidR="00C36F62" w:rsidRPr="00930FF2" w:rsidRDefault="00C36F62" w:rsidP="00F553CF">
      <w:pPr>
        <w:pStyle w:val="ListParagraph"/>
        <w:numPr>
          <w:ilvl w:val="0"/>
          <w:numId w:val="7"/>
        </w:numPr>
      </w:pPr>
      <w:r w:rsidRPr="00930FF2">
        <w:t xml:space="preserve">Aleš Musar </w:t>
      </w:r>
      <w:r w:rsidR="00697984" w:rsidRPr="00930FF2">
        <w:t>–</w:t>
      </w:r>
      <w:r w:rsidRPr="00930FF2">
        <w:t xml:space="preserve"> predsjednik</w:t>
      </w:r>
      <w:r w:rsidR="00697984" w:rsidRPr="00930FF2">
        <w:t>,</w:t>
      </w:r>
      <w:r w:rsidRPr="00930FF2">
        <w:t xml:space="preserve">          </w:t>
      </w:r>
    </w:p>
    <w:p w:rsidR="00C36F62" w:rsidRPr="00930FF2" w:rsidRDefault="00C36F62" w:rsidP="00F553CF">
      <w:pPr>
        <w:pStyle w:val="ListParagraph"/>
        <w:numPr>
          <w:ilvl w:val="0"/>
          <w:numId w:val="7"/>
        </w:numPr>
      </w:pPr>
      <w:r w:rsidRPr="00930FF2">
        <w:t xml:space="preserve">Slavko Paleksić </w:t>
      </w:r>
      <w:r w:rsidR="003D695F" w:rsidRPr="00930FF2">
        <w:t>–</w:t>
      </w:r>
      <w:r w:rsidRPr="00930FF2">
        <w:t xml:space="preserve"> član</w:t>
      </w:r>
      <w:r w:rsidR="00697984" w:rsidRPr="00930FF2">
        <w:t>,</w:t>
      </w:r>
    </w:p>
    <w:p w:rsidR="003D695F" w:rsidRPr="00930FF2" w:rsidRDefault="003D695F" w:rsidP="00F553CF">
      <w:pPr>
        <w:pStyle w:val="ListParagraph"/>
        <w:numPr>
          <w:ilvl w:val="0"/>
          <w:numId w:val="7"/>
        </w:numPr>
      </w:pPr>
      <w:r w:rsidRPr="00930FF2">
        <w:t xml:space="preserve">Stevan Radić </w:t>
      </w:r>
      <w:r w:rsidR="00697984" w:rsidRPr="00930FF2">
        <w:t>–</w:t>
      </w:r>
      <w:r w:rsidRPr="00930FF2">
        <w:t xml:space="preserve"> član</w:t>
      </w:r>
      <w:r w:rsidR="00697984" w:rsidRPr="00930FF2">
        <w:t>,</w:t>
      </w:r>
    </w:p>
    <w:p w:rsidR="00D473AB" w:rsidRPr="00930FF2" w:rsidRDefault="00E624F4" w:rsidP="00D473AB">
      <w:pPr>
        <w:ind w:left="0" w:firstLine="0"/>
        <w:contextualSpacing/>
        <w:jc w:val="left"/>
      </w:pPr>
      <w:r w:rsidRPr="00930FF2">
        <w:t>Na</w:t>
      </w:r>
      <w:r w:rsidR="00C6689D" w:rsidRPr="00930FF2">
        <w:t>dzorni odbor Fonda izabran</w:t>
      </w:r>
      <w:r w:rsidRPr="00930FF2">
        <w:t xml:space="preserve"> je </w:t>
      </w:r>
      <w:r w:rsidR="003D695F" w:rsidRPr="00930FF2">
        <w:t xml:space="preserve">na Skupštini akcionara Fonda, dana </w:t>
      </w:r>
      <w:r w:rsidRPr="00930FF2">
        <w:t xml:space="preserve">11.05.2015. </w:t>
      </w:r>
      <w:r w:rsidR="004217C0" w:rsidRPr="00930FF2">
        <w:t>godine i mandat je 4 godine</w:t>
      </w:r>
      <w:r w:rsidR="003D695F" w:rsidRPr="00930FF2">
        <w:t>, odnosno 06.04.2016. godine za nova tri člana.</w:t>
      </w:r>
    </w:p>
    <w:p w:rsidR="00E624F4" w:rsidRPr="00930FF2" w:rsidRDefault="00E624F4" w:rsidP="00F553CF">
      <w:pPr>
        <w:pStyle w:val="ListParagraph"/>
        <w:numPr>
          <w:ilvl w:val="0"/>
          <w:numId w:val="7"/>
        </w:numPr>
        <w:jc w:val="left"/>
      </w:pPr>
      <w:r w:rsidRPr="00930FF2">
        <w:t>Darjo Pungartnik – predsjednik</w:t>
      </w:r>
      <w:r w:rsidR="00697984" w:rsidRPr="00930FF2">
        <w:t>,</w:t>
      </w:r>
    </w:p>
    <w:p w:rsidR="00E624F4" w:rsidRPr="00930FF2" w:rsidRDefault="00E624F4" w:rsidP="00F553CF">
      <w:pPr>
        <w:pStyle w:val="ListParagraph"/>
        <w:numPr>
          <w:ilvl w:val="0"/>
          <w:numId w:val="7"/>
        </w:numPr>
        <w:jc w:val="left"/>
      </w:pPr>
      <w:r w:rsidRPr="00930FF2">
        <w:t>Petar Dragičević – član</w:t>
      </w:r>
      <w:r w:rsidR="00697984" w:rsidRPr="00930FF2">
        <w:t>,</w:t>
      </w:r>
    </w:p>
    <w:p w:rsidR="003D695F" w:rsidRPr="00930FF2" w:rsidRDefault="003D695F" w:rsidP="00F553CF">
      <w:pPr>
        <w:pStyle w:val="ListParagraph"/>
        <w:numPr>
          <w:ilvl w:val="0"/>
          <w:numId w:val="7"/>
        </w:numPr>
        <w:jc w:val="left"/>
      </w:pPr>
      <w:r w:rsidRPr="00930FF2">
        <w:t>Miladin Vidić</w:t>
      </w:r>
      <w:r w:rsidR="00697984" w:rsidRPr="00930FF2">
        <w:t xml:space="preserve"> – član,</w:t>
      </w:r>
    </w:p>
    <w:p w:rsidR="003D695F" w:rsidRPr="00930FF2" w:rsidRDefault="003D695F" w:rsidP="00F553CF">
      <w:pPr>
        <w:pStyle w:val="ListParagraph"/>
        <w:numPr>
          <w:ilvl w:val="0"/>
          <w:numId w:val="7"/>
        </w:numPr>
        <w:jc w:val="left"/>
      </w:pPr>
      <w:r w:rsidRPr="00930FF2">
        <w:t>Biljana Čepujnoska Sekulić</w:t>
      </w:r>
      <w:r w:rsidR="00697984" w:rsidRPr="00930FF2">
        <w:t xml:space="preserve"> - član</w:t>
      </w:r>
      <w:r w:rsidRPr="00930FF2">
        <w:t>,</w:t>
      </w:r>
    </w:p>
    <w:p w:rsidR="003D695F" w:rsidRPr="00930FF2" w:rsidRDefault="003D695F" w:rsidP="00F553CF">
      <w:pPr>
        <w:pStyle w:val="ListParagraph"/>
        <w:numPr>
          <w:ilvl w:val="0"/>
          <w:numId w:val="7"/>
        </w:numPr>
        <w:jc w:val="left"/>
      </w:pPr>
      <w:r w:rsidRPr="00930FF2">
        <w:t>Cvijeta Cacanović</w:t>
      </w:r>
      <w:r w:rsidR="00697984" w:rsidRPr="00930FF2">
        <w:t xml:space="preserve"> - član.</w:t>
      </w:r>
    </w:p>
    <w:p w:rsidR="00E37529" w:rsidRPr="00930FF2" w:rsidRDefault="00E37529" w:rsidP="00E37529">
      <w:pPr>
        <w:ind w:left="0" w:firstLine="0"/>
        <w:contextualSpacing/>
        <w:rPr>
          <w:bCs/>
        </w:rPr>
      </w:pPr>
      <w:r w:rsidRPr="00930FF2">
        <w:rPr>
          <w:bCs/>
        </w:rPr>
        <w:t>Izjavljujemo da članovi upravnih, rukovodećih i nadzornih organa nisu zaključili ugovor o djelu ni sa Društvom, ni sa Fondom ili bilo kojim od njegovih povezanih društava koji predviđaju pogodnosti po raskidu radnog odnosa.</w:t>
      </w:r>
    </w:p>
    <w:p w:rsidR="00C36F62" w:rsidRPr="00930FF2" w:rsidRDefault="00C36F62" w:rsidP="00C36F62">
      <w:pPr>
        <w:ind w:left="0" w:firstLine="0"/>
        <w:contextualSpacing/>
        <w:rPr>
          <w:bCs/>
        </w:rPr>
      </w:pPr>
    </w:p>
    <w:p w:rsidR="003C4ADB" w:rsidRPr="00930FF2" w:rsidRDefault="003C4ADB" w:rsidP="003C4ADB">
      <w:pPr>
        <w:ind w:left="0" w:firstLine="0"/>
        <w:contextualSpacing/>
        <w:jc w:val="left"/>
        <w:rPr>
          <w:bCs/>
        </w:rPr>
      </w:pPr>
      <w:r w:rsidRPr="00930FF2">
        <w:rPr>
          <w:bCs/>
        </w:rPr>
        <w:t>Komisija za reviziju i Komisija za naknade emitenta nisu imenovane.</w:t>
      </w:r>
    </w:p>
    <w:p w:rsidR="004E6ECE" w:rsidRPr="00930FF2" w:rsidRDefault="004E6ECE" w:rsidP="003C4ADB">
      <w:pPr>
        <w:ind w:left="0" w:firstLine="0"/>
        <w:contextualSpacing/>
      </w:pPr>
    </w:p>
    <w:p w:rsidR="003C4ADB" w:rsidRPr="00930FF2" w:rsidRDefault="003C4ADB" w:rsidP="003C4ADB">
      <w:pPr>
        <w:ind w:left="0" w:firstLine="0"/>
        <w:contextualSpacing/>
      </w:pPr>
      <w:r w:rsidRPr="00930FF2">
        <w:t xml:space="preserve">Izjavljujemo da Društvo za upravljanje investicionim fondovima „Invest nova“ a.d. Bijeljina u poslovima upravljanja </w:t>
      </w:r>
      <w:r w:rsidR="003D695F" w:rsidRPr="00930FF2">
        <w:t xml:space="preserve">Fondom </w:t>
      </w:r>
      <w:r w:rsidRPr="00930FF2">
        <w:t>primjenjuje Standarde korporativnog upravljanja akcionarskim društvima (u daljem tekstu: Standardi) donesene od strane Komisije za hartije od vrijednosti RS i objavljene na saj</w:t>
      </w:r>
      <w:r w:rsidR="00826C7C" w:rsidRPr="00930FF2">
        <w:t>tu Komisije i sajtu Banjalučke B</w:t>
      </w:r>
      <w:r w:rsidRPr="00930FF2">
        <w:t>erze. U skladu sa Standardima, Društvo objavljuje propisane i značajne informacije o poslovanju Fonda. U primjeni Standarda, Društvo se rukovodi principima poštovanja prava i ravnopravnog tretmana akcionara Fonda, objavljivanja informacija od značaja za poslovanje Fonda, stručnosti i odgovornosti u procesu upravljanja Fondom, a u najboljem interesu akcionara Fonda, sa izuzetkom onih odredbi čija primjena u datom trenutku nije objektivno moguća. Izjava o usklađenosti organizacije i djelovanja sa Standardima korporativnog upravljanja akcionarskim društvima sastavni je dio Izvještaja o poslovanju Fonda i dostupna je svim akcionarima u poslovnim prostorijama Društva, kao i na internet stranicama Fonda i Banjalučke Berze.</w:t>
      </w:r>
    </w:p>
    <w:p w:rsidR="003C4ADB" w:rsidRPr="00930FF2" w:rsidRDefault="003C4ADB" w:rsidP="003C4ADB">
      <w:pPr>
        <w:ind w:left="0"/>
        <w:contextualSpacing/>
        <w:jc w:val="left"/>
      </w:pPr>
    </w:p>
    <w:p w:rsidR="003C4ADB" w:rsidRPr="00930FF2" w:rsidRDefault="004E6ECE" w:rsidP="00F553CF">
      <w:pPr>
        <w:pStyle w:val="ListParagraph"/>
        <w:numPr>
          <w:ilvl w:val="0"/>
          <w:numId w:val="8"/>
        </w:numPr>
        <w:jc w:val="left"/>
        <w:rPr>
          <w:b/>
          <w:sz w:val="26"/>
          <w:szCs w:val="26"/>
        </w:rPr>
      </w:pPr>
      <w:r w:rsidRPr="00930FF2">
        <w:rPr>
          <w:b/>
          <w:sz w:val="26"/>
          <w:szCs w:val="26"/>
        </w:rPr>
        <w:t>INFORMACIJE O VLASNIŠTVU NAD AKCIJAMA FONDA ZA SLJEDEĆA LICA NA DAN 31.03.2016. GODINE</w:t>
      </w:r>
    </w:p>
    <w:p w:rsidR="003C4ADB" w:rsidRPr="00930FF2" w:rsidRDefault="00D41F31" w:rsidP="0035167D">
      <w:pPr>
        <w:ind w:left="0" w:firstLine="0"/>
        <w:contextualSpacing/>
        <w:jc w:val="left"/>
      </w:pPr>
      <w:r w:rsidRPr="00930FF2">
        <w:t>Stevan Radić – 3.084.384</w:t>
      </w:r>
      <w:r w:rsidR="004E6ECE" w:rsidRPr="00930FF2">
        <w:t xml:space="preserve"> akcij</w:t>
      </w:r>
      <w:r w:rsidR="001A26D2" w:rsidRPr="00930FF2">
        <w:t>e</w:t>
      </w:r>
    </w:p>
    <w:p w:rsidR="00457429" w:rsidRPr="00930FF2" w:rsidRDefault="00457429" w:rsidP="0035167D">
      <w:pPr>
        <w:ind w:left="0" w:firstLine="0"/>
        <w:contextualSpacing/>
        <w:jc w:val="left"/>
      </w:pPr>
      <w:r w:rsidRPr="00930FF2">
        <w:t xml:space="preserve">Petar Mitrović </w:t>
      </w:r>
      <w:r w:rsidR="006B1F84" w:rsidRPr="00930FF2">
        <w:t>–</w:t>
      </w:r>
      <w:r w:rsidRPr="00930FF2">
        <w:t xml:space="preserve"> </w:t>
      </w:r>
      <w:r w:rsidR="006B1F84" w:rsidRPr="00930FF2">
        <w:t>1.159.432</w:t>
      </w:r>
      <w:r w:rsidRPr="00930FF2">
        <w:t xml:space="preserve"> akcij</w:t>
      </w:r>
      <w:r w:rsidR="006B1F84" w:rsidRPr="00930FF2">
        <w:t>e</w:t>
      </w:r>
    </w:p>
    <w:p w:rsidR="004E6ECE" w:rsidRPr="00930FF2" w:rsidRDefault="004E6ECE" w:rsidP="0035167D">
      <w:pPr>
        <w:ind w:left="0" w:firstLine="0"/>
        <w:contextualSpacing/>
        <w:jc w:val="left"/>
      </w:pPr>
      <w:r w:rsidRPr="00930FF2">
        <w:t>Aleš Musar - /// akcija</w:t>
      </w:r>
    </w:p>
    <w:p w:rsidR="004E6ECE" w:rsidRPr="00930FF2" w:rsidRDefault="004E6ECE" w:rsidP="0035167D">
      <w:pPr>
        <w:ind w:left="0" w:firstLine="0"/>
        <w:contextualSpacing/>
        <w:jc w:val="left"/>
      </w:pPr>
      <w:r w:rsidRPr="00930FF2">
        <w:t>Slavko Paleksić - /// akcija</w:t>
      </w:r>
    </w:p>
    <w:p w:rsidR="004E6ECE" w:rsidRPr="00930FF2" w:rsidRDefault="004E6ECE" w:rsidP="0035167D">
      <w:pPr>
        <w:ind w:left="0" w:firstLine="0"/>
        <w:contextualSpacing/>
        <w:jc w:val="left"/>
      </w:pPr>
      <w:r w:rsidRPr="00930FF2">
        <w:t>Darjo Pungartnik - /// akcija</w:t>
      </w:r>
    </w:p>
    <w:p w:rsidR="004E6ECE" w:rsidRPr="00930FF2" w:rsidRDefault="004E6ECE" w:rsidP="0035167D">
      <w:pPr>
        <w:ind w:left="0" w:firstLine="0"/>
        <w:contextualSpacing/>
        <w:jc w:val="left"/>
      </w:pPr>
      <w:r w:rsidRPr="00930FF2">
        <w:t>Petar Dragičević - /// akcija</w:t>
      </w:r>
    </w:p>
    <w:p w:rsidR="004C524B" w:rsidRPr="00930FF2" w:rsidRDefault="004C524B" w:rsidP="0035167D">
      <w:pPr>
        <w:ind w:left="0" w:firstLine="0"/>
        <w:contextualSpacing/>
        <w:jc w:val="left"/>
      </w:pPr>
      <w:r w:rsidRPr="00930FF2">
        <w:t>Miladin Vidić - /// akcija</w:t>
      </w:r>
    </w:p>
    <w:p w:rsidR="004C524B" w:rsidRPr="00930FF2" w:rsidRDefault="004C524B" w:rsidP="0035167D">
      <w:pPr>
        <w:ind w:left="0" w:firstLine="0"/>
        <w:contextualSpacing/>
        <w:jc w:val="left"/>
      </w:pPr>
      <w:r w:rsidRPr="00930FF2">
        <w:t>Biljana Čepujnoska Sekulić - /// akcija</w:t>
      </w:r>
    </w:p>
    <w:p w:rsidR="004C524B" w:rsidRPr="00930FF2" w:rsidRDefault="004C524B" w:rsidP="0035167D">
      <w:pPr>
        <w:ind w:left="0" w:firstLine="0"/>
        <w:contextualSpacing/>
        <w:jc w:val="left"/>
      </w:pPr>
      <w:r w:rsidRPr="00930FF2">
        <w:t>Cvijeta Cacanović - /// akcija</w:t>
      </w:r>
    </w:p>
    <w:p w:rsidR="006E4C76" w:rsidRPr="00930FF2" w:rsidRDefault="006E4C76" w:rsidP="004217C0">
      <w:pPr>
        <w:ind w:left="0" w:firstLine="0"/>
        <w:contextualSpacing/>
        <w:jc w:val="left"/>
        <w:rPr>
          <w:b/>
        </w:rPr>
      </w:pPr>
    </w:p>
    <w:p w:rsidR="003C4ADB" w:rsidRPr="00930FF2" w:rsidRDefault="006E4C76" w:rsidP="00F553CF">
      <w:pPr>
        <w:pStyle w:val="ListParagraph"/>
        <w:numPr>
          <w:ilvl w:val="0"/>
          <w:numId w:val="8"/>
        </w:numPr>
        <w:jc w:val="left"/>
        <w:rPr>
          <w:b/>
        </w:rPr>
      </w:pPr>
      <w:r w:rsidRPr="00930FF2">
        <w:rPr>
          <w:b/>
        </w:rPr>
        <w:t>VEĆINSKI AKCIONARI:</w:t>
      </w:r>
    </w:p>
    <w:p w:rsidR="006E4C76" w:rsidRPr="00930FF2" w:rsidRDefault="006E4C76" w:rsidP="006E4C76">
      <w:pPr>
        <w:ind w:left="0" w:firstLine="0"/>
        <w:rPr>
          <w:sz w:val="18"/>
          <w:szCs w:val="18"/>
        </w:rPr>
      </w:pPr>
      <w:r w:rsidRPr="00930FF2">
        <w:rPr>
          <w:sz w:val="18"/>
          <w:szCs w:val="18"/>
        </w:rPr>
        <w:t>deset najvećih akcionara Fonda na dan 17.03.2016. godine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8"/>
        <w:gridCol w:w="1890"/>
        <w:gridCol w:w="1638"/>
      </w:tblGrid>
      <w:tr w:rsidR="006E4C76" w:rsidRPr="00930FF2" w:rsidTr="006E4C76">
        <w:tc>
          <w:tcPr>
            <w:tcW w:w="6048" w:type="dxa"/>
          </w:tcPr>
          <w:p w:rsidR="006E4C76" w:rsidRPr="00930FF2" w:rsidRDefault="006E4C76" w:rsidP="006E4C76">
            <w:pPr>
              <w:tabs>
                <w:tab w:val="center" w:pos="4320"/>
                <w:tab w:val="right" w:pos="8640"/>
              </w:tabs>
              <w:ind w:left="0" w:firstLine="0"/>
              <w:jc w:val="center"/>
              <w:rPr>
                <w:sz w:val="18"/>
                <w:szCs w:val="18"/>
              </w:rPr>
            </w:pPr>
            <w:r w:rsidRPr="00930FF2">
              <w:rPr>
                <w:sz w:val="18"/>
                <w:szCs w:val="18"/>
              </w:rPr>
              <w:t>Naziv</w:t>
            </w:r>
          </w:p>
        </w:tc>
        <w:tc>
          <w:tcPr>
            <w:tcW w:w="1890" w:type="dxa"/>
          </w:tcPr>
          <w:p w:rsidR="006E4C76" w:rsidRPr="00930FF2" w:rsidRDefault="006E4C76" w:rsidP="006E4C76">
            <w:pPr>
              <w:tabs>
                <w:tab w:val="center" w:pos="4320"/>
                <w:tab w:val="right" w:pos="8640"/>
              </w:tabs>
              <w:ind w:left="0" w:firstLine="0"/>
              <w:jc w:val="center"/>
              <w:rPr>
                <w:sz w:val="18"/>
                <w:szCs w:val="18"/>
              </w:rPr>
            </w:pPr>
            <w:r w:rsidRPr="00930FF2">
              <w:rPr>
                <w:sz w:val="18"/>
                <w:szCs w:val="18"/>
              </w:rPr>
              <w:t>% učešća</w:t>
            </w:r>
          </w:p>
        </w:tc>
        <w:tc>
          <w:tcPr>
            <w:tcW w:w="1638" w:type="dxa"/>
          </w:tcPr>
          <w:p w:rsidR="006E4C76" w:rsidRPr="00930FF2" w:rsidRDefault="006E4C76" w:rsidP="006E4C76">
            <w:pPr>
              <w:tabs>
                <w:tab w:val="center" w:pos="4320"/>
                <w:tab w:val="right" w:pos="8640"/>
              </w:tabs>
              <w:ind w:left="0" w:firstLine="0"/>
              <w:jc w:val="center"/>
              <w:rPr>
                <w:sz w:val="18"/>
                <w:szCs w:val="18"/>
              </w:rPr>
            </w:pPr>
            <w:r w:rsidRPr="00930FF2">
              <w:rPr>
                <w:sz w:val="18"/>
                <w:szCs w:val="18"/>
              </w:rPr>
              <w:t xml:space="preserve">% učešća sa </w:t>
            </w:r>
            <w:r w:rsidRPr="00930FF2">
              <w:rPr>
                <w:sz w:val="18"/>
                <w:szCs w:val="18"/>
              </w:rPr>
              <w:lastRenderedPageBreak/>
              <w:t>pravom glasa</w:t>
            </w:r>
          </w:p>
        </w:tc>
      </w:tr>
      <w:tr w:rsidR="006E4C76" w:rsidRPr="00930FF2" w:rsidTr="006E4C76">
        <w:tc>
          <w:tcPr>
            <w:tcW w:w="6048" w:type="dxa"/>
          </w:tcPr>
          <w:p w:rsidR="006E4C76" w:rsidRPr="00930FF2" w:rsidRDefault="006E4C76" w:rsidP="006E4C76">
            <w:pPr>
              <w:tabs>
                <w:tab w:val="center" w:pos="4320"/>
                <w:tab w:val="right" w:pos="8640"/>
              </w:tabs>
              <w:ind w:left="0" w:firstLine="0"/>
              <w:rPr>
                <w:sz w:val="18"/>
                <w:szCs w:val="18"/>
              </w:rPr>
            </w:pPr>
            <w:r w:rsidRPr="00930FF2">
              <w:rPr>
                <w:sz w:val="18"/>
                <w:szCs w:val="18"/>
              </w:rPr>
              <w:lastRenderedPageBreak/>
              <w:t>ZIF Fortuna fond d.d. Bihać</w:t>
            </w:r>
          </w:p>
        </w:tc>
        <w:tc>
          <w:tcPr>
            <w:tcW w:w="1890"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12,33</w:t>
            </w:r>
          </w:p>
        </w:tc>
        <w:tc>
          <w:tcPr>
            <w:tcW w:w="163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12,33</w:t>
            </w:r>
          </w:p>
        </w:tc>
      </w:tr>
      <w:tr w:rsidR="006E4C76" w:rsidRPr="00930FF2" w:rsidTr="006E4C76">
        <w:tc>
          <w:tcPr>
            <w:tcW w:w="6048" w:type="dxa"/>
          </w:tcPr>
          <w:p w:rsidR="006E4C76" w:rsidRPr="00930FF2" w:rsidRDefault="00C84C24" w:rsidP="006E4C76">
            <w:pPr>
              <w:tabs>
                <w:tab w:val="center" w:pos="4320"/>
                <w:tab w:val="right" w:pos="8640"/>
              </w:tabs>
              <w:ind w:left="0" w:firstLine="0"/>
              <w:rPr>
                <w:sz w:val="18"/>
                <w:szCs w:val="18"/>
              </w:rPr>
            </w:pPr>
            <w:hyperlink r:id="rId9" w:history="1">
              <w:r w:rsidR="006E4C76" w:rsidRPr="00930FF2">
                <w:rPr>
                  <w:sz w:val="18"/>
                  <w:szCs w:val="18"/>
                </w:rPr>
                <w:t xml:space="preserve">OTVORENI INVESTICIONI FOND MONETA Podgorica </w:t>
              </w:r>
            </w:hyperlink>
          </w:p>
        </w:tc>
        <w:tc>
          <w:tcPr>
            <w:tcW w:w="1890"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11,47</w:t>
            </w:r>
          </w:p>
        </w:tc>
        <w:tc>
          <w:tcPr>
            <w:tcW w:w="163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11,47</w:t>
            </w:r>
          </w:p>
        </w:tc>
      </w:tr>
      <w:tr w:rsidR="006E4C76" w:rsidRPr="00930FF2" w:rsidTr="006E4C76">
        <w:tc>
          <w:tcPr>
            <w:tcW w:w="6048" w:type="dxa"/>
            <w:vAlign w:val="center"/>
          </w:tcPr>
          <w:p w:rsidR="006E4C76" w:rsidRPr="00930FF2" w:rsidRDefault="006E4C76" w:rsidP="006E4C76">
            <w:pPr>
              <w:tabs>
                <w:tab w:val="center" w:pos="4320"/>
                <w:tab w:val="right" w:pos="8640"/>
              </w:tabs>
              <w:ind w:left="0" w:firstLine="0"/>
              <w:rPr>
                <w:sz w:val="18"/>
                <w:szCs w:val="18"/>
              </w:rPr>
            </w:pPr>
            <w:r w:rsidRPr="00930FF2">
              <w:rPr>
                <w:sz w:val="18"/>
                <w:szCs w:val="18"/>
              </w:rPr>
              <w:t>Raiffeisen bank d.d. BiH Sarajevo - kastodi</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3,41</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3,41</w:t>
            </w:r>
          </w:p>
        </w:tc>
      </w:tr>
      <w:tr w:rsidR="006E4C76" w:rsidRPr="00930FF2" w:rsidTr="006E4C76">
        <w:tc>
          <w:tcPr>
            <w:tcW w:w="6048" w:type="dxa"/>
          </w:tcPr>
          <w:p w:rsidR="006E4C76" w:rsidRPr="00930FF2" w:rsidRDefault="006E4C76" w:rsidP="006E4C76">
            <w:pPr>
              <w:tabs>
                <w:tab w:val="center" w:pos="4320"/>
                <w:tab w:val="right" w:pos="8640"/>
              </w:tabs>
              <w:ind w:left="0" w:firstLine="0"/>
              <w:rPr>
                <w:sz w:val="18"/>
                <w:szCs w:val="18"/>
              </w:rPr>
            </w:pPr>
            <w:r w:rsidRPr="00930FF2">
              <w:rPr>
                <w:sz w:val="18"/>
                <w:szCs w:val="18"/>
              </w:rPr>
              <w:t>Napredak a.d. Bijeljina</w:t>
            </w:r>
          </w:p>
        </w:tc>
        <w:tc>
          <w:tcPr>
            <w:tcW w:w="1890"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2,86</w:t>
            </w:r>
          </w:p>
        </w:tc>
        <w:tc>
          <w:tcPr>
            <w:tcW w:w="163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2,86</w:t>
            </w:r>
          </w:p>
        </w:tc>
      </w:tr>
      <w:tr w:rsidR="006E4C76" w:rsidRPr="00930FF2" w:rsidTr="006E4C76">
        <w:tc>
          <w:tcPr>
            <w:tcW w:w="6048" w:type="dxa"/>
          </w:tcPr>
          <w:p w:rsidR="006E4C76" w:rsidRPr="00930FF2" w:rsidRDefault="006E4C76" w:rsidP="006E4C76">
            <w:pPr>
              <w:tabs>
                <w:tab w:val="center" w:pos="4320"/>
                <w:tab w:val="right" w:pos="8640"/>
              </w:tabs>
              <w:ind w:left="0" w:firstLine="0"/>
              <w:rPr>
                <w:sz w:val="18"/>
                <w:szCs w:val="18"/>
              </w:rPr>
            </w:pPr>
            <w:r w:rsidRPr="00930FF2">
              <w:rPr>
                <w:sz w:val="18"/>
                <w:szCs w:val="18"/>
              </w:rPr>
              <w:t>ZIF Privrednik invest a.d. Banja Luka</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1,98</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1,98</w:t>
            </w:r>
          </w:p>
        </w:tc>
      </w:tr>
      <w:tr w:rsidR="006E4C76" w:rsidRPr="00930FF2" w:rsidTr="006E4C76">
        <w:tc>
          <w:tcPr>
            <w:tcW w:w="6048" w:type="dxa"/>
          </w:tcPr>
          <w:p w:rsidR="006E4C76" w:rsidRPr="00930FF2" w:rsidRDefault="006E4C76" w:rsidP="006E4C76">
            <w:pPr>
              <w:tabs>
                <w:tab w:val="center" w:pos="4320"/>
                <w:tab w:val="right" w:pos="8640"/>
              </w:tabs>
              <w:ind w:left="0" w:firstLine="0"/>
              <w:rPr>
                <w:sz w:val="18"/>
                <w:szCs w:val="18"/>
              </w:rPr>
            </w:pPr>
            <w:r w:rsidRPr="00930FF2">
              <w:rPr>
                <w:sz w:val="18"/>
                <w:szCs w:val="18"/>
              </w:rPr>
              <w:t>ZIF Kristal invest fond a.d. Bijeljina</w:t>
            </w:r>
          </w:p>
        </w:tc>
        <w:tc>
          <w:tcPr>
            <w:tcW w:w="1890"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1,75</w:t>
            </w:r>
          </w:p>
        </w:tc>
        <w:tc>
          <w:tcPr>
            <w:tcW w:w="163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1,75</w:t>
            </w:r>
          </w:p>
        </w:tc>
      </w:tr>
      <w:tr w:rsidR="006E4C76" w:rsidRPr="00930FF2" w:rsidTr="006E4C76">
        <w:tc>
          <w:tcPr>
            <w:tcW w:w="6048" w:type="dxa"/>
          </w:tcPr>
          <w:p w:rsidR="006E4C76" w:rsidRPr="00930FF2" w:rsidRDefault="00C84C24" w:rsidP="006E4C76">
            <w:pPr>
              <w:tabs>
                <w:tab w:val="center" w:pos="4320"/>
                <w:tab w:val="right" w:pos="8640"/>
              </w:tabs>
              <w:ind w:left="0" w:firstLine="0"/>
              <w:rPr>
                <w:b/>
                <w:i/>
                <w:sz w:val="18"/>
                <w:szCs w:val="18"/>
              </w:rPr>
            </w:pPr>
            <w:hyperlink r:id="rId10" w:history="1">
              <w:r w:rsidR="006E4C76" w:rsidRPr="00930FF2">
                <w:rPr>
                  <w:sz w:val="18"/>
                  <w:szCs w:val="18"/>
                </w:rPr>
                <w:t>ZIF</w:t>
              </w:r>
            </w:hyperlink>
            <w:r w:rsidR="006E4C76" w:rsidRPr="00930FF2">
              <w:rPr>
                <w:sz w:val="18"/>
                <w:szCs w:val="18"/>
              </w:rPr>
              <w:t xml:space="preserve"> Polara invest fond a.d. Bijeljina</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1,71</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1,71</w:t>
            </w:r>
          </w:p>
        </w:tc>
      </w:tr>
      <w:tr w:rsidR="006E4C76" w:rsidRPr="00930FF2" w:rsidTr="006E4C76">
        <w:tc>
          <w:tcPr>
            <w:tcW w:w="6048" w:type="dxa"/>
          </w:tcPr>
          <w:p w:rsidR="006E4C76" w:rsidRPr="00930FF2" w:rsidRDefault="006E4C76" w:rsidP="006E4C76">
            <w:pPr>
              <w:tabs>
                <w:tab w:val="center" w:pos="4320"/>
                <w:tab w:val="right" w:pos="8640"/>
              </w:tabs>
              <w:ind w:left="0" w:firstLine="0"/>
              <w:rPr>
                <w:b/>
                <w:i/>
                <w:sz w:val="18"/>
                <w:szCs w:val="18"/>
              </w:rPr>
            </w:pPr>
            <w:r w:rsidRPr="00930FF2">
              <w:rPr>
                <w:sz w:val="18"/>
                <w:szCs w:val="18"/>
              </w:rPr>
              <w:t>Radić Stevan</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1,64</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1,64</w:t>
            </w:r>
          </w:p>
        </w:tc>
      </w:tr>
      <w:tr w:rsidR="006E4C76" w:rsidRPr="00930FF2" w:rsidTr="006E4C76">
        <w:tc>
          <w:tcPr>
            <w:tcW w:w="6048" w:type="dxa"/>
          </w:tcPr>
          <w:p w:rsidR="006E4C76" w:rsidRPr="00930FF2" w:rsidRDefault="006E4C76" w:rsidP="006E4C76">
            <w:pPr>
              <w:tabs>
                <w:tab w:val="center" w:pos="4320"/>
                <w:tab w:val="right" w:pos="8640"/>
              </w:tabs>
              <w:ind w:left="0" w:firstLine="0"/>
              <w:rPr>
                <w:sz w:val="18"/>
                <w:szCs w:val="18"/>
              </w:rPr>
            </w:pPr>
            <w:r w:rsidRPr="00930FF2">
              <w:rPr>
                <w:sz w:val="18"/>
                <w:szCs w:val="18"/>
              </w:rPr>
              <w:t>“PROGRES AD" d.o.o. Zvornik</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1,56</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1,56</w:t>
            </w:r>
          </w:p>
        </w:tc>
      </w:tr>
      <w:tr w:rsidR="006E4C76" w:rsidRPr="00930FF2" w:rsidTr="006E4C76">
        <w:tc>
          <w:tcPr>
            <w:tcW w:w="6048" w:type="dxa"/>
          </w:tcPr>
          <w:p w:rsidR="006E4C76" w:rsidRPr="00930FF2" w:rsidRDefault="00C84C24" w:rsidP="006E4C76">
            <w:pPr>
              <w:tabs>
                <w:tab w:val="center" w:pos="4320"/>
                <w:tab w:val="right" w:pos="8640"/>
              </w:tabs>
              <w:ind w:left="0" w:firstLine="0"/>
              <w:rPr>
                <w:b/>
                <w:i/>
                <w:sz w:val="18"/>
                <w:szCs w:val="18"/>
              </w:rPr>
            </w:pPr>
            <w:hyperlink r:id="rId11" w:history="1">
              <w:r w:rsidR="006E4C76" w:rsidRPr="00930FF2">
                <w:rPr>
                  <w:sz w:val="18"/>
                  <w:szCs w:val="18"/>
                </w:rPr>
                <w:t>Lazarević</w:t>
              </w:r>
            </w:hyperlink>
            <w:r w:rsidR="006E4C76" w:rsidRPr="00930FF2">
              <w:rPr>
                <w:sz w:val="18"/>
                <w:szCs w:val="18"/>
              </w:rPr>
              <w:t xml:space="preserve"> Dušan</w:t>
            </w:r>
          </w:p>
        </w:tc>
        <w:tc>
          <w:tcPr>
            <w:tcW w:w="1890"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1,22</w:t>
            </w:r>
          </w:p>
        </w:tc>
        <w:tc>
          <w:tcPr>
            <w:tcW w:w="163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1,22</w:t>
            </w:r>
          </w:p>
        </w:tc>
      </w:tr>
    </w:tbl>
    <w:p w:rsidR="006E4C76" w:rsidRPr="00930FF2" w:rsidRDefault="006E4C76" w:rsidP="006E4C76">
      <w:pPr>
        <w:ind w:left="0" w:firstLine="0"/>
        <w:rPr>
          <w:rFonts w:eastAsia="Calibri"/>
          <w:lang w:val="sr-Latn-BA"/>
        </w:rPr>
      </w:pPr>
    </w:p>
    <w:p w:rsidR="006E4C76" w:rsidRPr="00930FF2" w:rsidRDefault="006E4C76" w:rsidP="006E4C76">
      <w:pPr>
        <w:ind w:left="0" w:firstLine="0"/>
        <w:rPr>
          <w:sz w:val="18"/>
          <w:szCs w:val="18"/>
        </w:rPr>
      </w:pPr>
      <w:r w:rsidRPr="00930FF2">
        <w:rPr>
          <w:sz w:val="18"/>
          <w:szCs w:val="18"/>
        </w:rPr>
        <w:t>vlasnička struktura Fonda na dan 17.03.2016. godine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68"/>
        <w:gridCol w:w="1368"/>
        <w:gridCol w:w="1368"/>
        <w:gridCol w:w="1368"/>
        <w:gridCol w:w="1368"/>
        <w:gridCol w:w="1368"/>
      </w:tblGrid>
      <w:tr w:rsidR="006E4C76" w:rsidRPr="00930FF2" w:rsidTr="006E4C76">
        <w:tc>
          <w:tcPr>
            <w:tcW w:w="9576" w:type="dxa"/>
            <w:gridSpan w:val="7"/>
          </w:tcPr>
          <w:p w:rsidR="006E4C76" w:rsidRPr="00930FF2" w:rsidRDefault="006E4C76" w:rsidP="006E4C76">
            <w:pPr>
              <w:tabs>
                <w:tab w:val="center" w:pos="4320"/>
                <w:tab w:val="right" w:pos="8640"/>
              </w:tabs>
              <w:ind w:left="0" w:firstLine="0"/>
              <w:rPr>
                <w:sz w:val="18"/>
                <w:szCs w:val="18"/>
              </w:rPr>
            </w:pPr>
            <w:r w:rsidRPr="00930FF2">
              <w:rPr>
                <w:sz w:val="18"/>
                <w:szCs w:val="18"/>
              </w:rPr>
              <w:t>Udio akcionara                                   Broj akcionara                                              % vlasništva od ukupnog kapitala</w:t>
            </w:r>
          </w:p>
        </w:tc>
      </w:tr>
      <w:tr w:rsidR="006E4C76" w:rsidRPr="00930FF2" w:rsidTr="006E4C76">
        <w:tc>
          <w:tcPr>
            <w:tcW w:w="1368" w:type="dxa"/>
          </w:tcPr>
          <w:p w:rsidR="006E4C76" w:rsidRPr="00930FF2" w:rsidRDefault="006E4C76" w:rsidP="006E4C76">
            <w:pPr>
              <w:tabs>
                <w:tab w:val="center" w:pos="4320"/>
                <w:tab w:val="right" w:pos="8640"/>
              </w:tabs>
              <w:ind w:left="0" w:firstLine="0"/>
              <w:rPr>
                <w:b/>
                <w:i/>
                <w:color w:val="FF0000"/>
                <w:sz w:val="18"/>
                <w:szCs w:val="18"/>
              </w:rPr>
            </w:pP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Domaći</w:t>
            </w: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Strani</w:t>
            </w: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Ukupno</w:t>
            </w: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Domaći</w:t>
            </w: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Strani</w:t>
            </w:r>
          </w:p>
        </w:tc>
        <w:tc>
          <w:tcPr>
            <w:tcW w:w="1368" w:type="dxa"/>
          </w:tcPr>
          <w:p w:rsidR="006E4C76" w:rsidRPr="00930FF2" w:rsidRDefault="006E4C76" w:rsidP="006E4C76">
            <w:pPr>
              <w:tabs>
                <w:tab w:val="center" w:pos="4320"/>
                <w:tab w:val="right" w:pos="8640"/>
              </w:tabs>
              <w:ind w:left="0" w:firstLine="0"/>
              <w:rPr>
                <w:b/>
                <w:i/>
                <w:sz w:val="18"/>
                <w:szCs w:val="18"/>
              </w:rPr>
            </w:pPr>
            <w:r w:rsidRPr="00930FF2">
              <w:rPr>
                <w:b/>
                <w:i/>
                <w:sz w:val="18"/>
                <w:szCs w:val="18"/>
              </w:rPr>
              <w:t>Ukupno</w:t>
            </w:r>
          </w:p>
        </w:tc>
      </w:tr>
      <w:tr w:rsidR="006E4C76" w:rsidRPr="00930FF2" w:rsidTr="006E4C76">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sz w:val="18"/>
                <w:szCs w:val="18"/>
              </w:rPr>
              <w:t>&lt; 5%</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sz w:val="18"/>
                <w:szCs w:val="18"/>
              </w:rPr>
              <w:t>35.183</w:t>
            </w:r>
          </w:p>
        </w:tc>
        <w:tc>
          <w:tcPr>
            <w:tcW w:w="136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245</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sz w:val="18"/>
                <w:szCs w:val="18"/>
              </w:rPr>
              <w:t>35.428</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sz w:val="18"/>
                <w:szCs w:val="18"/>
              </w:rPr>
              <w:t>68,89</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7,30</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b/>
                <w:i/>
                <w:sz w:val="18"/>
                <w:szCs w:val="18"/>
              </w:rPr>
              <w:t>76,19</w:t>
            </w:r>
          </w:p>
        </w:tc>
      </w:tr>
      <w:tr w:rsidR="006E4C76" w:rsidRPr="00930FF2" w:rsidTr="006E4C76">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5%-10%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b/>
                <w:i/>
                <w:sz w:val="18"/>
                <w:szCs w:val="18"/>
              </w:rPr>
              <w:t>0</w:t>
            </w:r>
          </w:p>
        </w:tc>
      </w:tr>
      <w:tr w:rsidR="006E4C76" w:rsidRPr="00930FF2" w:rsidTr="006E4C76">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10%-25%</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w:t>
            </w:r>
          </w:p>
        </w:tc>
        <w:tc>
          <w:tcPr>
            <w:tcW w:w="136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1</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2</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12,33</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11,48</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b/>
                <w:i/>
                <w:sz w:val="18"/>
                <w:szCs w:val="18"/>
              </w:rPr>
              <w:t>23,81</w:t>
            </w:r>
          </w:p>
        </w:tc>
      </w:tr>
      <w:tr w:rsidR="006E4C76" w:rsidRPr="00930FF2" w:rsidTr="006E4C76">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&gt; 25%</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0</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b/>
                <w:i/>
                <w:sz w:val="18"/>
                <w:szCs w:val="18"/>
              </w:rPr>
              <w:t>0,00</w:t>
            </w:r>
          </w:p>
        </w:tc>
      </w:tr>
      <w:tr w:rsidR="006E4C76" w:rsidRPr="00930FF2" w:rsidTr="006E4C76">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Ukupno</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35.184</w:t>
            </w:r>
          </w:p>
        </w:tc>
        <w:tc>
          <w:tcPr>
            <w:tcW w:w="1368" w:type="dxa"/>
            <w:vAlign w:val="center"/>
          </w:tcPr>
          <w:p w:rsidR="006E4C76" w:rsidRPr="00930FF2" w:rsidRDefault="006E4C76" w:rsidP="006E4C76">
            <w:pPr>
              <w:tabs>
                <w:tab w:val="center" w:pos="4320"/>
                <w:tab w:val="right" w:pos="8640"/>
              </w:tabs>
              <w:ind w:left="0" w:firstLine="0"/>
              <w:jc w:val="right"/>
              <w:rPr>
                <w:sz w:val="18"/>
                <w:szCs w:val="18"/>
              </w:rPr>
            </w:pPr>
            <w:r w:rsidRPr="00930FF2">
              <w:rPr>
                <w:sz w:val="18"/>
                <w:szCs w:val="18"/>
              </w:rPr>
              <w:t>246</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35.430</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81,23</w:t>
            </w:r>
          </w:p>
        </w:tc>
        <w:tc>
          <w:tcPr>
            <w:tcW w:w="1368" w:type="dxa"/>
          </w:tcPr>
          <w:p w:rsidR="006E4C76" w:rsidRPr="00930FF2" w:rsidRDefault="006E4C76" w:rsidP="006E4C76">
            <w:pPr>
              <w:tabs>
                <w:tab w:val="center" w:pos="4320"/>
                <w:tab w:val="right" w:pos="8640"/>
              </w:tabs>
              <w:ind w:left="0" w:firstLine="0"/>
              <w:jc w:val="right"/>
              <w:rPr>
                <w:sz w:val="18"/>
                <w:szCs w:val="18"/>
              </w:rPr>
            </w:pPr>
            <w:r w:rsidRPr="00930FF2">
              <w:rPr>
                <w:sz w:val="18"/>
                <w:szCs w:val="18"/>
              </w:rPr>
              <w:t>18,77</w:t>
            </w:r>
          </w:p>
        </w:tc>
        <w:tc>
          <w:tcPr>
            <w:tcW w:w="1368" w:type="dxa"/>
          </w:tcPr>
          <w:p w:rsidR="006E4C76" w:rsidRPr="00930FF2" w:rsidRDefault="006E4C76" w:rsidP="006E4C76">
            <w:pPr>
              <w:tabs>
                <w:tab w:val="center" w:pos="4320"/>
                <w:tab w:val="right" w:pos="8640"/>
              </w:tabs>
              <w:ind w:left="0" w:firstLine="0"/>
              <w:jc w:val="right"/>
              <w:rPr>
                <w:b/>
                <w:i/>
                <w:sz w:val="18"/>
                <w:szCs w:val="18"/>
              </w:rPr>
            </w:pPr>
            <w:r w:rsidRPr="00930FF2">
              <w:rPr>
                <w:b/>
                <w:i/>
                <w:sz w:val="18"/>
                <w:szCs w:val="18"/>
              </w:rPr>
              <w:t>100,00</w:t>
            </w:r>
          </w:p>
        </w:tc>
      </w:tr>
    </w:tbl>
    <w:p w:rsidR="00AA52D1" w:rsidRPr="00930FF2" w:rsidRDefault="00AA52D1" w:rsidP="006E4C76">
      <w:pPr>
        <w:ind w:left="0" w:firstLine="0"/>
        <w:contextualSpacing/>
        <w:jc w:val="left"/>
        <w:rPr>
          <w:sz w:val="18"/>
          <w:szCs w:val="18"/>
        </w:rPr>
      </w:pPr>
    </w:p>
    <w:p w:rsidR="003C4ADB" w:rsidRPr="00930FF2" w:rsidRDefault="003C4ADB" w:rsidP="006E4C76">
      <w:pPr>
        <w:ind w:left="0" w:firstLine="0"/>
        <w:contextualSpacing/>
        <w:jc w:val="left"/>
      </w:pPr>
      <w:r w:rsidRPr="00930FF2">
        <w:t>Izjavljujemo da sve akcije Fonda daju isto pravo glasa.</w:t>
      </w:r>
    </w:p>
    <w:p w:rsidR="006E4C76" w:rsidRPr="00930FF2" w:rsidRDefault="003C4ADB" w:rsidP="006E4C76">
      <w:pPr>
        <w:ind w:left="0" w:firstLine="0"/>
        <w:contextualSpacing/>
        <w:jc w:val="left"/>
      </w:pPr>
      <w:r w:rsidRPr="00930FF2">
        <w:t xml:space="preserve">Emitent nema saznanje o postojanju kontrolnog akcionara Fonda, kao ni saznanje o izazivanju, </w:t>
      </w:r>
    </w:p>
    <w:p w:rsidR="003C4ADB" w:rsidRPr="00930FF2" w:rsidRDefault="003C4ADB" w:rsidP="006E4C76">
      <w:pPr>
        <w:ind w:left="0" w:firstLine="0"/>
        <w:contextualSpacing/>
        <w:jc w:val="left"/>
      </w:pPr>
      <w:r w:rsidRPr="00930FF2">
        <w:t>odnosno prouzrokovanju eventualne štete za emitenta.</w:t>
      </w:r>
    </w:p>
    <w:p w:rsidR="006E4C76" w:rsidRPr="00930FF2" w:rsidRDefault="003C4ADB" w:rsidP="006E4C76">
      <w:pPr>
        <w:ind w:left="0" w:firstLine="0"/>
        <w:contextualSpacing/>
        <w:jc w:val="left"/>
      </w:pPr>
      <w:r w:rsidRPr="00930FF2">
        <w:t xml:space="preserve">Emitent nema saznanja o postojanju kontrolnog akcionara, pa shodno navedenom ni eventualnih </w:t>
      </w:r>
    </w:p>
    <w:p w:rsidR="003C4ADB" w:rsidRPr="00930FF2" w:rsidRDefault="003C4ADB" w:rsidP="006E4C76">
      <w:pPr>
        <w:ind w:left="0" w:firstLine="0"/>
        <w:contextualSpacing/>
        <w:jc w:val="left"/>
      </w:pPr>
      <w:r w:rsidRPr="00930FF2">
        <w:t xml:space="preserve">sporazuma sa akcionarima. </w:t>
      </w:r>
    </w:p>
    <w:p w:rsidR="003C4ADB" w:rsidRPr="00930FF2" w:rsidRDefault="003C4ADB" w:rsidP="003C4ADB">
      <w:pPr>
        <w:ind w:left="0"/>
        <w:contextualSpacing/>
        <w:jc w:val="left"/>
      </w:pPr>
    </w:p>
    <w:p w:rsidR="003C4ADB" w:rsidRPr="00930FF2" w:rsidRDefault="003C4ADB" w:rsidP="00F553CF">
      <w:pPr>
        <w:pStyle w:val="ListParagraph"/>
        <w:numPr>
          <w:ilvl w:val="0"/>
          <w:numId w:val="8"/>
        </w:numPr>
        <w:jc w:val="left"/>
        <w:rPr>
          <w:b/>
          <w:sz w:val="26"/>
          <w:szCs w:val="26"/>
        </w:rPr>
      </w:pPr>
      <w:r w:rsidRPr="00930FF2">
        <w:rPr>
          <w:b/>
          <w:sz w:val="26"/>
          <w:szCs w:val="26"/>
        </w:rPr>
        <w:t>T</w:t>
      </w:r>
      <w:r w:rsidR="006E4C76" w:rsidRPr="00930FF2">
        <w:rPr>
          <w:b/>
          <w:sz w:val="26"/>
          <w:szCs w:val="26"/>
        </w:rPr>
        <w:t>RANSAKCIJE POVEZANIH LICA</w:t>
      </w:r>
    </w:p>
    <w:tbl>
      <w:tblPr>
        <w:tblStyle w:val="TableGrid"/>
        <w:tblW w:w="0" w:type="auto"/>
        <w:tblLook w:val="04A0"/>
      </w:tblPr>
      <w:tblGrid>
        <w:gridCol w:w="3439"/>
        <w:gridCol w:w="1356"/>
        <w:gridCol w:w="1356"/>
        <w:gridCol w:w="3425"/>
      </w:tblGrid>
      <w:tr w:rsidR="00E564BA" w:rsidRPr="00930FF2" w:rsidTr="00E564BA">
        <w:tc>
          <w:tcPr>
            <w:tcW w:w="3497" w:type="dxa"/>
            <w:vMerge w:val="restart"/>
          </w:tcPr>
          <w:p w:rsidR="00E564BA" w:rsidRPr="00930FF2" w:rsidRDefault="00E564BA" w:rsidP="00E564BA">
            <w:pPr>
              <w:ind w:left="0" w:firstLine="0"/>
              <w:contextualSpacing/>
              <w:jc w:val="center"/>
            </w:pPr>
            <w:r w:rsidRPr="00930FF2">
              <w:t>Povezano lice</w:t>
            </w:r>
          </w:p>
        </w:tc>
        <w:tc>
          <w:tcPr>
            <w:tcW w:w="2592" w:type="dxa"/>
            <w:gridSpan w:val="2"/>
          </w:tcPr>
          <w:p w:rsidR="00E564BA" w:rsidRPr="00930FF2" w:rsidRDefault="00E564BA" w:rsidP="00E564BA">
            <w:pPr>
              <w:ind w:left="0" w:firstLine="0"/>
              <w:contextualSpacing/>
              <w:jc w:val="center"/>
            </w:pPr>
            <w:r w:rsidRPr="00930FF2">
              <w:t>Iznos isplate</w:t>
            </w:r>
          </w:p>
        </w:tc>
        <w:tc>
          <w:tcPr>
            <w:tcW w:w="3487" w:type="dxa"/>
            <w:vMerge w:val="restart"/>
          </w:tcPr>
          <w:p w:rsidR="00E564BA" w:rsidRPr="00930FF2" w:rsidRDefault="00E564BA" w:rsidP="00E564BA">
            <w:pPr>
              <w:ind w:left="0" w:firstLine="0"/>
              <w:contextualSpacing/>
              <w:jc w:val="center"/>
            </w:pPr>
            <w:r w:rsidRPr="00930FF2">
              <w:t>Svrha isplate</w:t>
            </w:r>
          </w:p>
        </w:tc>
      </w:tr>
      <w:tr w:rsidR="00E564BA" w:rsidRPr="00930FF2" w:rsidTr="00E564BA">
        <w:tc>
          <w:tcPr>
            <w:tcW w:w="3497" w:type="dxa"/>
            <w:vMerge/>
          </w:tcPr>
          <w:p w:rsidR="00E564BA" w:rsidRPr="00930FF2" w:rsidRDefault="00E564BA" w:rsidP="00E564BA">
            <w:pPr>
              <w:ind w:left="0" w:firstLine="0"/>
              <w:contextualSpacing/>
              <w:jc w:val="center"/>
            </w:pPr>
          </w:p>
        </w:tc>
        <w:tc>
          <w:tcPr>
            <w:tcW w:w="1296" w:type="dxa"/>
          </w:tcPr>
          <w:p w:rsidR="00E564BA" w:rsidRPr="00930FF2" w:rsidRDefault="00355316" w:rsidP="00E564BA">
            <w:pPr>
              <w:ind w:left="0" w:firstLine="0"/>
              <w:contextualSpacing/>
              <w:jc w:val="center"/>
            </w:pPr>
            <w:r w:rsidRPr="00930FF2">
              <w:t>31.12.</w:t>
            </w:r>
            <w:r w:rsidR="00E564BA" w:rsidRPr="00930FF2">
              <w:t>2015.</w:t>
            </w:r>
          </w:p>
        </w:tc>
        <w:tc>
          <w:tcPr>
            <w:tcW w:w="1296" w:type="dxa"/>
          </w:tcPr>
          <w:p w:rsidR="00E564BA" w:rsidRPr="00930FF2" w:rsidRDefault="00355316" w:rsidP="00E564BA">
            <w:pPr>
              <w:ind w:left="0" w:firstLine="0"/>
              <w:contextualSpacing/>
              <w:jc w:val="center"/>
            </w:pPr>
            <w:r w:rsidRPr="00930FF2">
              <w:t>31.12.</w:t>
            </w:r>
            <w:r w:rsidR="00E564BA" w:rsidRPr="00930FF2">
              <w:t>2014.</w:t>
            </w:r>
          </w:p>
        </w:tc>
        <w:tc>
          <w:tcPr>
            <w:tcW w:w="3487" w:type="dxa"/>
            <w:vMerge/>
          </w:tcPr>
          <w:p w:rsidR="00E564BA" w:rsidRPr="00930FF2" w:rsidRDefault="00E564BA" w:rsidP="00E564BA">
            <w:pPr>
              <w:ind w:left="0" w:firstLine="0"/>
              <w:contextualSpacing/>
              <w:jc w:val="center"/>
            </w:pPr>
          </w:p>
        </w:tc>
      </w:tr>
      <w:tr w:rsidR="00E564BA" w:rsidRPr="00930FF2" w:rsidTr="00E564BA">
        <w:tc>
          <w:tcPr>
            <w:tcW w:w="3497" w:type="dxa"/>
          </w:tcPr>
          <w:p w:rsidR="00E564BA" w:rsidRPr="00930FF2" w:rsidRDefault="00E564BA" w:rsidP="00E564BA">
            <w:pPr>
              <w:ind w:left="0" w:firstLine="0"/>
              <w:contextualSpacing/>
              <w:jc w:val="left"/>
            </w:pPr>
            <w:r w:rsidRPr="00930FF2">
              <w:t>Društvo za upravljanje investicionim fondovima “Invest nova” a.d. Bijeljina</w:t>
            </w:r>
          </w:p>
        </w:tc>
        <w:tc>
          <w:tcPr>
            <w:tcW w:w="1296" w:type="dxa"/>
          </w:tcPr>
          <w:p w:rsidR="00E564BA" w:rsidRPr="00930FF2" w:rsidRDefault="00E564BA" w:rsidP="00E564BA">
            <w:pPr>
              <w:ind w:left="0" w:firstLine="0"/>
              <w:contextualSpacing/>
              <w:jc w:val="center"/>
            </w:pPr>
            <w:r w:rsidRPr="00930FF2">
              <w:t>520.238,46</w:t>
            </w:r>
          </w:p>
        </w:tc>
        <w:tc>
          <w:tcPr>
            <w:tcW w:w="1296" w:type="dxa"/>
          </w:tcPr>
          <w:p w:rsidR="00E564BA" w:rsidRPr="00930FF2" w:rsidRDefault="00E564BA" w:rsidP="00E564BA">
            <w:pPr>
              <w:ind w:left="0" w:firstLine="0"/>
              <w:contextualSpacing/>
              <w:jc w:val="center"/>
            </w:pPr>
            <w:r w:rsidRPr="00930FF2">
              <w:t>496.000,00</w:t>
            </w:r>
          </w:p>
        </w:tc>
        <w:tc>
          <w:tcPr>
            <w:tcW w:w="3487" w:type="dxa"/>
          </w:tcPr>
          <w:p w:rsidR="00E564BA" w:rsidRPr="00930FF2" w:rsidRDefault="00E564BA" w:rsidP="00E564BA">
            <w:pPr>
              <w:ind w:left="0" w:firstLine="0"/>
              <w:contextualSpacing/>
              <w:jc w:val="center"/>
            </w:pPr>
            <w:r w:rsidRPr="00930FF2">
              <w:t>Upravljanje Fondom</w:t>
            </w:r>
          </w:p>
        </w:tc>
      </w:tr>
      <w:tr w:rsidR="00E564BA" w:rsidRPr="00930FF2" w:rsidTr="00E564BA">
        <w:tc>
          <w:tcPr>
            <w:tcW w:w="3497" w:type="dxa"/>
          </w:tcPr>
          <w:p w:rsidR="00E564BA" w:rsidRPr="00930FF2" w:rsidRDefault="00E564BA" w:rsidP="00E564BA">
            <w:pPr>
              <w:ind w:left="0" w:firstLine="0"/>
              <w:contextualSpacing/>
              <w:jc w:val="left"/>
            </w:pPr>
            <w:r w:rsidRPr="00930FF2">
              <w:t>Centralni registar HOV a.d. Banja Luka</w:t>
            </w:r>
          </w:p>
        </w:tc>
        <w:tc>
          <w:tcPr>
            <w:tcW w:w="1296" w:type="dxa"/>
          </w:tcPr>
          <w:p w:rsidR="00E564BA" w:rsidRPr="00930FF2" w:rsidRDefault="00E564BA" w:rsidP="00E564BA">
            <w:pPr>
              <w:ind w:left="0" w:firstLine="0"/>
              <w:contextualSpacing/>
              <w:jc w:val="center"/>
            </w:pPr>
            <w:r w:rsidRPr="00930FF2">
              <w:t>26.092,00</w:t>
            </w:r>
          </w:p>
        </w:tc>
        <w:tc>
          <w:tcPr>
            <w:tcW w:w="1296" w:type="dxa"/>
          </w:tcPr>
          <w:p w:rsidR="00E564BA" w:rsidRPr="00930FF2" w:rsidRDefault="00E564BA" w:rsidP="00E564BA">
            <w:pPr>
              <w:ind w:left="0" w:firstLine="0"/>
              <w:contextualSpacing/>
              <w:jc w:val="center"/>
            </w:pPr>
            <w:r w:rsidRPr="00930FF2">
              <w:t>33.338,00</w:t>
            </w:r>
          </w:p>
        </w:tc>
        <w:tc>
          <w:tcPr>
            <w:tcW w:w="3487" w:type="dxa"/>
          </w:tcPr>
          <w:p w:rsidR="00E564BA" w:rsidRPr="00930FF2" w:rsidRDefault="00E564BA" w:rsidP="00E564BA">
            <w:pPr>
              <w:ind w:left="0" w:firstLine="0"/>
              <w:contextualSpacing/>
              <w:jc w:val="center"/>
            </w:pPr>
            <w:r w:rsidRPr="00930FF2">
              <w:t>Depozitar Fonda</w:t>
            </w:r>
          </w:p>
        </w:tc>
      </w:tr>
      <w:tr w:rsidR="00E564BA" w:rsidRPr="00930FF2" w:rsidTr="00E564BA">
        <w:tc>
          <w:tcPr>
            <w:tcW w:w="3497" w:type="dxa"/>
          </w:tcPr>
          <w:p w:rsidR="00E564BA" w:rsidRPr="00930FF2" w:rsidRDefault="00E564BA" w:rsidP="00E564BA">
            <w:pPr>
              <w:ind w:left="0" w:firstLine="0"/>
              <w:contextualSpacing/>
              <w:jc w:val="left"/>
            </w:pPr>
            <w:r w:rsidRPr="00930FF2">
              <w:t>Nadzorni odbor Fonda</w:t>
            </w:r>
          </w:p>
        </w:tc>
        <w:tc>
          <w:tcPr>
            <w:tcW w:w="1296" w:type="dxa"/>
          </w:tcPr>
          <w:p w:rsidR="00E564BA" w:rsidRPr="00930FF2" w:rsidRDefault="00E564BA" w:rsidP="00E564BA">
            <w:pPr>
              <w:ind w:left="0" w:firstLine="0"/>
              <w:contextualSpacing/>
              <w:jc w:val="center"/>
            </w:pPr>
            <w:r w:rsidRPr="00930FF2">
              <w:t>31.841,00</w:t>
            </w:r>
          </w:p>
        </w:tc>
        <w:tc>
          <w:tcPr>
            <w:tcW w:w="1296" w:type="dxa"/>
          </w:tcPr>
          <w:p w:rsidR="00E564BA" w:rsidRPr="00930FF2" w:rsidRDefault="00E564BA" w:rsidP="00E564BA">
            <w:pPr>
              <w:ind w:left="0" w:firstLine="0"/>
              <w:contextualSpacing/>
              <w:jc w:val="center"/>
            </w:pPr>
            <w:r w:rsidRPr="00930FF2">
              <w:t>31.841,00</w:t>
            </w:r>
          </w:p>
        </w:tc>
        <w:tc>
          <w:tcPr>
            <w:tcW w:w="3487" w:type="dxa"/>
          </w:tcPr>
          <w:p w:rsidR="00E564BA" w:rsidRPr="00930FF2" w:rsidRDefault="00E564BA" w:rsidP="00E564BA">
            <w:pPr>
              <w:ind w:left="0" w:firstLine="0"/>
              <w:contextualSpacing/>
              <w:jc w:val="center"/>
            </w:pPr>
            <w:r w:rsidRPr="00930FF2">
              <w:t>Naknade NO Fonda</w:t>
            </w:r>
          </w:p>
        </w:tc>
      </w:tr>
      <w:tr w:rsidR="00E564BA" w:rsidRPr="00930FF2" w:rsidTr="00E564BA">
        <w:tc>
          <w:tcPr>
            <w:tcW w:w="3497" w:type="dxa"/>
          </w:tcPr>
          <w:p w:rsidR="00E564BA" w:rsidRPr="00930FF2" w:rsidRDefault="00E564BA" w:rsidP="00E564BA">
            <w:pPr>
              <w:ind w:left="0" w:firstLine="0"/>
              <w:contextualSpacing/>
              <w:jc w:val="left"/>
            </w:pPr>
            <w:r w:rsidRPr="00930FF2">
              <w:t>Revidere d.o.o. Bijeljina</w:t>
            </w:r>
          </w:p>
        </w:tc>
        <w:tc>
          <w:tcPr>
            <w:tcW w:w="1296" w:type="dxa"/>
          </w:tcPr>
          <w:p w:rsidR="00E564BA" w:rsidRPr="00930FF2" w:rsidRDefault="00E564BA" w:rsidP="00E564BA">
            <w:pPr>
              <w:ind w:left="0" w:firstLine="0"/>
              <w:contextualSpacing/>
              <w:jc w:val="center"/>
            </w:pPr>
            <w:r w:rsidRPr="00930FF2">
              <w:t>1.755,00</w:t>
            </w:r>
          </w:p>
        </w:tc>
        <w:tc>
          <w:tcPr>
            <w:tcW w:w="1296" w:type="dxa"/>
          </w:tcPr>
          <w:p w:rsidR="00E564BA" w:rsidRPr="00930FF2" w:rsidRDefault="00E564BA" w:rsidP="00E564BA">
            <w:pPr>
              <w:ind w:left="0" w:firstLine="0"/>
              <w:contextualSpacing/>
              <w:jc w:val="center"/>
            </w:pPr>
            <w:r w:rsidRPr="00930FF2">
              <w:t>iznos plaćen sa Društva</w:t>
            </w:r>
          </w:p>
        </w:tc>
        <w:tc>
          <w:tcPr>
            <w:tcW w:w="3487" w:type="dxa"/>
          </w:tcPr>
          <w:p w:rsidR="00E564BA" w:rsidRPr="00930FF2" w:rsidRDefault="00E564BA" w:rsidP="00E564BA">
            <w:pPr>
              <w:ind w:left="0" w:firstLine="0"/>
              <w:contextualSpacing/>
              <w:jc w:val="center"/>
            </w:pPr>
            <w:r w:rsidRPr="00930FF2">
              <w:t>Usluga eksterne revizije</w:t>
            </w:r>
          </w:p>
        </w:tc>
      </w:tr>
      <w:tr w:rsidR="00E564BA" w:rsidRPr="00930FF2" w:rsidTr="00E564BA">
        <w:tc>
          <w:tcPr>
            <w:tcW w:w="3497" w:type="dxa"/>
          </w:tcPr>
          <w:p w:rsidR="00E564BA" w:rsidRPr="00930FF2" w:rsidRDefault="00E564BA" w:rsidP="00E564BA">
            <w:pPr>
              <w:ind w:left="0" w:firstLine="0"/>
              <w:contextualSpacing/>
              <w:jc w:val="left"/>
            </w:pPr>
            <w:r w:rsidRPr="00930FF2">
              <w:t>Banjalučka berza a.d. Banja Luka</w:t>
            </w:r>
          </w:p>
        </w:tc>
        <w:tc>
          <w:tcPr>
            <w:tcW w:w="1296" w:type="dxa"/>
          </w:tcPr>
          <w:p w:rsidR="00E564BA" w:rsidRPr="00930FF2" w:rsidRDefault="00E564BA" w:rsidP="00E564BA">
            <w:pPr>
              <w:ind w:left="0" w:firstLine="0"/>
              <w:contextualSpacing/>
              <w:jc w:val="center"/>
            </w:pPr>
            <w:r w:rsidRPr="00930FF2">
              <w:t>4.000,00</w:t>
            </w:r>
          </w:p>
        </w:tc>
        <w:tc>
          <w:tcPr>
            <w:tcW w:w="1296" w:type="dxa"/>
          </w:tcPr>
          <w:p w:rsidR="00E564BA" w:rsidRPr="00930FF2" w:rsidRDefault="00E564BA" w:rsidP="00E564BA">
            <w:pPr>
              <w:ind w:left="0" w:firstLine="0"/>
              <w:contextualSpacing/>
              <w:jc w:val="center"/>
            </w:pPr>
            <w:r w:rsidRPr="00930FF2">
              <w:t>4.000,00</w:t>
            </w:r>
          </w:p>
        </w:tc>
        <w:tc>
          <w:tcPr>
            <w:tcW w:w="3487" w:type="dxa"/>
          </w:tcPr>
          <w:p w:rsidR="00E564BA" w:rsidRPr="00930FF2" w:rsidRDefault="00E564BA" w:rsidP="00E564BA">
            <w:pPr>
              <w:ind w:left="0" w:firstLine="0"/>
              <w:contextualSpacing/>
              <w:jc w:val="center"/>
            </w:pPr>
            <w:r w:rsidRPr="00930FF2">
              <w:t>Naknada Berze</w:t>
            </w:r>
          </w:p>
        </w:tc>
      </w:tr>
      <w:tr w:rsidR="00E564BA" w:rsidRPr="00930FF2" w:rsidTr="00E564BA">
        <w:tc>
          <w:tcPr>
            <w:tcW w:w="3497" w:type="dxa"/>
          </w:tcPr>
          <w:p w:rsidR="00E564BA" w:rsidRPr="00930FF2" w:rsidRDefault="00E564BA" w:rsidP="00E564BA">
            <w:pPr>
              <w:ind w:left="0" w:firstLine="0"/>
              <w:contextualSpacing/>
              <w:jc w:val="left"/>
            </w:pPr>
            <w:r w:rsidRPr="00930FF2">
              <w:t>Advokat Miljkan Pucar</w:t>
            </w:r>
          </w:p>
        </w:tc>
        <w:tc>
          <w:tcPr>
            <w:tcW w:w="1296" w:type="dxa"/>
          </w:tcPr>
          <w:p w:rsidR="00E564BA" w:rsidRPr="00930FF2" w:rsidRDefault="00E564BA" w:rsidP="00E564BA">
            <w:pPr>
              <w:ind w:left="0" w:firstLine="0"/>
              <w:contextualSpacing/>
              <w:jc w:val="center"/>
            </w:pPr>
            <w:r w:rsidRPr="00930FF2">
              <w:t>1.009,70</w:t>
            </w:r>
          </w:p>
        </w:tc>
        <w:tc>
          <w:tcPr>
            <w:tcW w:w="1296" w:type="dxa"/>
          </w:tcPr>
          <w:p w:rsidR="00E564BA" w:rsidRPr="00930FF2" w:rsidRDefault="00E564BA" w:rsidP="00E564BA">
            <w:pPr>
              <w:ind w:left="0" w:firstLine="0"/>
              <w:contextualSpacing/>
              <w:jc w:val="center"/>
            </w:pPr>
            <w:r w:rsidRPr="00930FF2">
              <w:t>0,00</w:t>
            </w:r>
          </w:p>
        </w:tc>
        <w:tc>
          <w:tcPr>
            <w:tcW w:w="3487" w:type="dxa"/>
          </w:tcPr>
          <w:p w:rsidR="00E564BA" w:rsidRPr="00930FF2" w:rsidRDefault="00E564BA" w:rsidP="00E564BA">
            <w:pPr>
              <w:ind w:left="0" w:firstLine="0"/>
              <w:contextualSpacing/>
              <w:jc w:val="center"/>
            </w:pPr>
            <w:r w:rsidRPr="00930FF2">
              <w:t>Usluge advokata</w:t>
            </w:r>
          </w:p>
        </w:tc>
      </w:tr>
    </w:tbl>
    <w:p w:rsidR="006E4C76" w:rsidRPr="00930FF2" w:rsidRDefault="006E4C76" w:rsidP="006E4C76">
      <w:pPr>
        <w:ind w:left="0"/>
        <w:contextualSpacing/>
        <w:jc w:val="left"/>
        <w:rPr>
          <w:color w:val="FF0000"/>
        </w:rPr>
      </w:pPr>
    </w:p>
    <w:p w:rsidR="006E4C76" w:rsidRPr="00930FF2" w:rsidRDefault="006E4C76" w:rsidP="00F553CF">
      <w:pPr>
        <w:pStyle w:val="ListParagraph"/>
        <w:numPr>
          <w:ilvl w:val="0"/>
          <w:numId w:val="8"/>
        </w:numPr>
        <w:jc w:val="left"/>
        <w:rPr>
          <w:b/>
        </w:rPr>
      </w:pPr>
      <w:r w:rsidRPr="00930FF2">
        <w:rPr>
          <w:b/>
        </w:rPr>
        <w:t>FINANSIJSKI PODACI O IMOVINI, OBAVEZAMA, FINANSIJSKOM POLOŽAJU, KAO I DOBICIMA I GUBICIMA EMITENTA</w:t>
      </w:r>
    </w:p>
    <w:p w:rsidR="00D05C12" w:rsidRPr="00930FF2" w:rsidRDefault="00D05C12" w:rsidP="003C4ADB">
      <w:pPr>
        <w:ind w:left="0"/>
        <w:contextualSpacing/>
        <w:jc w:val="left"/>
      </w:pPr>
      <w:r w:rsidRPr="00930FF2">
        <w:t>(2014)</w:t>
      </w:r>
    </w:p>
    <w:p w:rsidR="00E62AAB" w:rsidRPr="00930FF2" w:rsidRDefault="00D05C12" w:rsidP="003C4ADB">
      <w:pPr>
        <w:ind w:left="0"/>
        <w:contextualSpacing/>
        <w:jc w:val="left"/>
      </w:pPr>
      <w:r w:rsidRPr="00930FF2">
        <w:t>Bilans stanja</w:t>
      </w:r>
      <w:r w:rsidR="00E62AAB" w:rsidRPr="00930FF2">
        <w:t xml:space="preserve"> investicionog fonda – izvještaj o finansijskom položaju fonda </w:t>
      </w:r>
    </w:p>
    <w:p w:rsidR="006E4C76" w:rsidRPr="00930FF2" w:rsidRDefault="00E62AAB" w:rsidP="003C4ADB">
      <w:pPr>
        <w:ind w:left="0"/>
        <w:contextualSpacing/>
        <w:jc w:val="left"/>
      </w:pPr>
      <w:r w:rsidRPr="00930FF2">
        <w:t>na dan 31.12.2014. godine</w:t>
      </w:r>
    </w:p>
    <w:tbl>
      <w:tblPr>
        <w:tblW w:w="10012" w:type="dxa"/>
        <w:tblInd w:w="93" w:type="dxa"/>
        <w:tblLook w:val="04A0"/>
      </w:tblPr>
      <w:tblGrid>
        <w:gridCol w:w="1431"/>
        <w:gridCol w:w="5040"/>
        <w:gridCol w:w="680"/>
        <w:gridCol w:w="1600"/>
        <w:gridCol w:w="1460"/>
      </w:tblGrid>
      <w:tr w:rsidR="00E62AAB" w:rsidRPr="00930FF2" w:rsidTr="00E62AAB">
        <w:trPr>
          <w:trHeight w:val="255"/>
        </w:trPr>
        <w:tc>
          <w:tcPr>
            <w:tcW w:w="1232"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ascii="Arial" w:eastAsia="Times New Roman" w:hAnsi="Arial" w:cs="Arial"/>
                <w:sz w:val="16"/>
                <w:szCs w:val="16"/>
              </w:rPr>
            </w:pPr>
          </w:p>
        </w:tc>
        <w:tc>
          <w:tcPr>
            <w:tcW w:w="50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p>
        </w:tc>
        <w:tc>
          <w:tcPr>
            <w:tcW w:w="680" w:type="dxa"/>
            <w:tcBorders>
              <w:top w:val="nil"/>
              <w:left w:val="nil"/>
              <w:bottom w:val="nil"/>
              <w:right w:val="nil"/>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p>
        </w:tc>
        <w:tc>
          <w:tcPr>
            <w:tcW w:w="1600" w:type="dxa"/>
            <w:tcBorders>
              <w:top w:val="nil"/>
              <w:left w:val="nil"/>
              <w:bottom w:val="nil"/>
              <w:right w:val="nil"/>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p>
        </w:tc>
        <w:tc>
          <w:tcPr>
            <w:tcW w:w="1460" w:type="dxa"/>
            <w:tcBorders>
              <w:top w:val="nil"/>
              <w:left w:val="nil"/>
              <w:bottom w:val="nil"/>
              <w:right w:val="nil"/>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(iznos u KM)</w:t>
            </w:r>
          </w:p>
        </w:tc>
      </w:tr>
      <w:tr w:rsidR="00E62AAB" w:rsidRPr="00930FF2" w:rsidTr="00E62AAB">
        <w:trPr>
          <w:trHeight w:val="45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Grupa računa</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Pozicija</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AOP</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Tekuća godina</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xml:space="preserve">Prethodna godina </w:t>
            </w:r>
            <w:r w:rsidRPr="00930FF2">
              <w:rPr>
                <w:rFonts w:eastAsia="Times New Roman"/>
                <w:sz w:val="18"/>
                <w:szCs w:val="18"/>
              </w:rPr>
              <w:lastRenderedPageBreak/>
              <w:t>korigovana</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ascii="Arial" w:eastAsia="Times New Roman" w:hAnsi="Arial" w:cs="Arial"/>
                <w:sz w:val="16"/>
                <w:szCs w:val="16"/>
              </w:rPr>
            </w:pPr>
            <w:r w:rsidRPr="00930FF2">
              <w:rPr>
                <w:rFonts w:ascii="Arial" w:eastAsia="Times New Roman" w:hAnsi="Arial" w:cs="Arial"/>
                <w:sz w:val="16"/>
                <w:szCs w:val="16"/>
              </w:rPr>
              <w:lastRenderedPageBreak/>
              <w:t>1</w:t>
            </w:r>
          </w:p>
        </w:tc>
        <w:tc>
          <w:tcPr>
            <w:tcW w:w="50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160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w:t>
            </w:r>
          </w:p>
        </w:tc>
        <w:tc>
          <w:tcPr>
            <w:tcW w:w="14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ascii="Arial" w:eastAsia="Times New Roman" w:hAnsi="Arial" w:cs="Arial"/>
                <w:sz w:val="16"/>
                <w:szCs w:val="16"/>
              </w:rPr>
            </w:pPr>
            <w:r w:rsidRPr="00930FF2">
              <w:rPr>
                <w:rFonts w:ascii="Arial" w:eastAsia="Times New Roman" w:hAnsi="Arial" w:cs="Arial"/>
                <w:sz w:val="16"/>
                <w:szCs w:val="16"/>
              </w:rPr>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A. UKUPNA IMOVINA (002+003+010+018+019)</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31.934.924</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33.164.211</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100 do 102</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 Gotovina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002</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329.776</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870.903</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 Ulaganja fonda (004 do 009)</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003</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31.591.536</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31.822.979</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200 do 205</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Ulaganja fonda u finansijska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004</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15.891.795</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15.443.995</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210 do 215</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Ulaganja fonda u finansijska sredstva raspoloživa za prodaju</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005</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15.699.741</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16.378.984</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220 do 225</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Ulaganja fonda u finansijska sredstva koja se drži do roka dospijeća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006</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230 do 235</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Depoziti i plasmani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007</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240 do 249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Ulaganja u nekretnine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008</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Ostala ulaganja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009</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III - Potraživanja (011 do 017)</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010</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Potraživanja po osnovu prodaje HOV</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011</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Potraživanja po osnovu prodaje nekretnina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012</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302</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Potraživanja po osnovu kamata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013</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Potraživanja po osnovu dividendi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014</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304</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Potraživanja po osnovu datih avansa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015</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Ostala potraživanja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016</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310 do 312</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7. Potraživanja od društva za upravljanje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017</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320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IV - Odložena poreska sredstva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018</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AVR</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019</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13.612</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470.329</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B. OBAVEZA (021+025+030+031+034+037+038+039)</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020</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1.884.942</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1.779.898</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 Obaveze iz poslovanja fonda (022 do 024)</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400,401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Obaveze po osnovu ulaganja u HOV</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022</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Obaveze po osnovu ulaganja u nekretnine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023</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404</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Ostale obaveze iz poslovanja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024</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-Obaveze po osnovu troškova poslovanja (026 do 030)</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025</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14.844</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12.700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Obaveze prema banci depozitaru</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026</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2.750</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2.937</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414</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Obaveze za učešće u dobitku</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027</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415</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Obaveze za porez na dobit</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028</w:t>
            </w:r>
          </w:p>
        </w:tc>
        <w:tc>
          <w:tcPr>
            <w:tcW w:w="160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411,412,413,419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Ostale obaveze iz poslovanja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029</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12.094</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9.763</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420 do 429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III- Obaveze prema društvu za upravljanje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030</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1.861.636</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1.758.736</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IV-Kratkoročne finansijske obaveze (032+033)</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Kratkoročni krediti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032</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431,439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Ostale kratkoročne fiinansijske obaveze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033</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44</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Dugoročne obaveze (035+036)</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034</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440,441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Dugoročni krediti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035</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449</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Ostale dugoročne obaveze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036</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450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 - Ostale obaveze fonda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037</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460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VII- Odložene poreske obaveze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038</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47</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VIII- PVR</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039</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8.462</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8.462</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lastRenderedPageBreak/>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NETO IMOVINA FONDA (001-020)</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040</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30.049.982</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31.384.313</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G. KAPITAL (042+045+048+053+054-057</w:t>
            </w:r>
            <w:r w:rsidRPr="00930FF2">
              <w:rPr>
                <w:rFonts w:eastAsia="Times New Roman"/>
                <w:b/>
                <w:bCs/>
                <w:sz w:val="18"/>
                <w:szCs w:val="18"/>
                <w:u w:val="single"/>
              </w:rPr>
              <w:t>+</w:t>
            </w:r>
            <w:r w:rsidRPr="00930FF2">
              <w:rPr>
                <w:rFonts w:eastAsia="Times New Roman"/>
                <w:b/>
                <w:bCs/>
                <w:sz w:val="18"/>
                <w:szCs w:val="18"/>
              </w:rPr>
              <w:t xml:space="preserve"> 060)</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30.049.982</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31.384.313</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 Osnovni kapital (043+044)</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042</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Akcijsi kapital-redovne akcije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043</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512</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Udjeli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044</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52</w:t>
            </w:r>
          </w:p>
        </w:tc>
        <w:tc>
          <w:tcPr>
            <w:tcW w:w="5040" w:type="dxa"/>
            <w:tcBorders>
              <w:top w:val="nil"/>
              <w:left w:val="nil"/>
              <w:bottom w:val="nil"/>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Kapitalne rezerve (046+047)</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045</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2.619.595</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2.619.595</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520</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Emisiona premija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046</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521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Ostale kapitalne rezerve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047</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2.619.595</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2.619.595</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III- Revalorizacione rezerve (049 do 052)</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048</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-42.626.279</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-49.978.384</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530</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Revalorizacione rezerve po osnovu revalorizacije finansijskih sred. raspoloživih za prodaju</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049</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-42.626.279</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-49.978.384</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531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Revalorizacione rezerve po osnovu instrumenata zaštite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050</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533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Revalorizacione rezerve po osnovu revalorizacije nekretnina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533</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xml:space="preserve">4. Ostale revalorizacione rezerve </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052</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54</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IV - Rezerve iz dobiti</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053</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55</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Neraspoređena dobi (055+056)</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054</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550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Neraspoređeni dobitak ranijih godina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055</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551</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Neraspoređeni dobitak tekuće godine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056</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56</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 - Nepokriveni gubitak (058+059)</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057</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103.223.288</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94.999.907</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560</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Nepokriveni gubitak ranijih godina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058</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94.999.907</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74.255.990</w:t>
            </w:r>
          </w:p>
        </w:tc>
      </w:tr>
      <w:tr w:rsidR="00E62AAB" w:rsidRPr="00930FF2" w:rsidTr="00E62AAB">
        <w:trPr>
          <w:trHeight w:val="255"/>
        </w:trPr>
        <w:tc>
          <w:tcPr>
            <w:tcW w:w="1232" w:type="dxa"/>
            <w:tcBorders>
              <w:top w:val="nil"/>
              <w:left w:val="single" w:sz="4" w:space="0" w:color="auto"/>
              <w:bottom w:val="nil"/>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561</w:t>
            </w:r>
          </w:p>
        </w:tc>
        <w:tc>
          <w:tcPr>
            <w:tcW w:w="5040" w:type="dxa"/>
            <w:tcBorders>
              <w:top w:val="nil"/>
              <w:left w:val="nil"/>
              <w:bottom w:val="nil"/>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Nepokriveni gubitak tekuće godine</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059</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8.223.381</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20.743.917</w:t>
            </w:r>
          </w:p>
        </w:tc>
      </w:tr>
      <w:tr w:rsidR="00E62AAB" w:rsidRPr="00930FF2" w:rsidTr="00E62AAB">
        <w:trPr>
          <w:trHeight w:val="255"/>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57</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VII-Nerealizovani dobitak/gubitak (061+062)</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060</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-13.911.333</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-13.448.278</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570</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Nerealizovani dobici po osnovu finansijskih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061</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571</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Nerealizovani gubici  po osnovu finansijskih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062</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-13.911.333</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-13.448.278</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D. BROJ EMITOVANIH AKCIJA/UDJELA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063</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Đ. NETO IMOVINA PO UDJELU/AKCIJI (040/063)</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064</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0,16</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0,17</w:t>
            </w:r>
          </w:p>
        </w:tc>
      </w:tr>
      <w:tr w:rsidR="00E62AAB" w:rsidRPr="00930FF2" w:rsidTr="00E62AAB">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xml:space="preserve">E. VANBILANSNE EVIDENCIJE                                                                                              </w:t>
            </w:r>
            <w:r w:rsidRPr="00930FF2">
              <w:rPr>
                <w:rFonts w:eastAsia="Times New Roman"/>
                <w:sz w:val="18"/>
                <w:szCs w:val="18"/>
              </w:rPr>
              <w:t xml:space="preserve"> 1. Vanbilansna aktiva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065</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ascii="Arial" w:eastAsia="Times New Roman" w:hAnsi="Arial" w:cs="Arial"/>
                <w:sz w:val="20"/>
                <w:szCs w:val="20"/>
              </w:rPr>
            </w:pPr>
            <w:r w:rsidRPr="00930FF2">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Vanbilansna pasiva</w:t>
            </w:r>
          </w:p>
        </w:tc>
        <w:tc>
          <w:tcPr>
            <w:tcW w:w="6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066</w:t>
            </w:r>
          </w:p>
        </w:tc>
        <w:tc>
          <w:tcPr>
            <w:tcW w:w="16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bl>
    <w:p w:rsidR="00E62AAB" w:rsidRPr="00930FF2" w:rsidRDefault="00E62AAB" w:rsidP="003C4ADB">
      <w:pPr>
        <w:ind w:left="0"/>
        <w:contextualSpacing/>
        <w:jc w:val="left"/>
        <w:rPr>
          <w:color w:val="FF0000"/>
        </w:rPr>
      </w:pPr>
    </w:p>
    <w:p w:rsidR="00D05C12" w:rsidRPr="00930FF2" w:rsidRDefault="00D05C12" w:rsidP="003C4ADB">
      <w:pPr>
        <w:ind w:left="0"/>
        <w:contextualSpacing/>
        <w:jc w:val="left"/>
      </w:pPr>
      <w:r w:rsidRPr="00930FF2">
        <w:t>Bilans uspjeha</w:t>
      </w:r>
      <w:r w:rsidR="00E62AAB" w:rsidRPr="00930FF2">
        <w:t xml:space="preserve"> investicionog fonda – izvještaj o ukupnom rezultatu u periodu od </w:t>
      </w:r>
    </w:p>
    <w:p w:rsidR="00E62AAB" w:rsidRPr="00930FF2" w:rsidRDefault="00E62AAB" w:rsidP="003C4ADB">
      <w:pPr>
        <w:ind w:left="0"/>
        <w:contextualSpacing/>
        <w:jc w:val="left"/>
      </w:pPr>
      <w:r w:rsidRPr="00930FF2">
        <w:t>01.01.2014. godine do 31.12.2014. godine</w:t>
      </w:r>
    </w:p>
    <w:tbl>
      <w:tblPr>
        <w:tblW w:w="9020" w:type="dxa"/>
        <w:tblInd w:w="93" w:type="dxa"/>
        <w:tblLook w:val="04A0"/>
      </w:tblPr>
      <w:tblGrid>
        <w:gridCol w:w="846"/>
        <w:gridCol w:w="5200"/>
        <w:gridCol w:w="580"/>
        <w:gridCol w:w="1280"/>
        <w:gridCol w:w="1260"/>
      </w:tblGrid>
      <w:tr w:rsidR="00E62AAB" w:rsidRPr="00930FF2" w:rsidTr="00E62AAB">
        <w:trPr>
          <w:trHeight w:val="255"/>
        </w:trPr>
        <w:tc>
          <w:tcPr>
            <w:tcW w:w="70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520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58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28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26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(iznos u KM)</w:t>
            </w:r>
          </w:p>
        </w:tc>
      </w:tr>
      <w:tr w:rsidR="00E62AAB" w:rsidRPr="00930FF2" w:rsidTr="00E62AAB">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Grupa računa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Naziv pozicije</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AOP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Tekuća godina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Prethodna godina</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20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12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A. REALIZOVANI PRIHODI I RASHODI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201</w:t>
            </w:r>
          </w:p>
        </w:tc>
        <w:tc>
          <w:tcPr>
            <w:tcW w:w="12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 Poslovni prihodi (203 do 206)</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202</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962.781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1.426.938</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700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Prihodi od dividendi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203</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738.090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1.169.528</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701, 702</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Prihodi od kamata i amortizacije premije (diskonta) po osnovu HOV sa fiksnim rokom dospijeća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204</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224.691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248.849</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703</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Prihodi od zakupa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205</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709</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Ostali poslovni prihodi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206</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8.561</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 Realizovani dobitak (208 do 211)</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207</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12.383</w:t>
            </w:r>
          </w:p>
        </w:tc>
        <w:tc>
          <w:tcPr>
            <w:tcW w:w="12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315.906</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710</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Realizovani dobici po osnovu prodaje hartija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208</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12.383</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315.906</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711</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xml:space="preserve">2. Realizovani dobitak po osnovu kursnih razlika </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209</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712</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Realizovani dobici po osnovu prodaje nekretnina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719</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Ostali realizovani dobici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211</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lastRenderedPageBreak/>
              <w:t>73</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III- Poslovni rashodi (213 do 219)</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212</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692.209</w:t>
            </w:r>
          </w:p>
        </w:tc>
        <w:tc>
          <w:tcPr>
            <w:tcW w:w="126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681.273</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Naknada društvu za upravljanje</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213</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598.901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584.860</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601</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Troškovi kupovine i prodaje ulaganja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214</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3.712</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4.493</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602</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Rashodi po osnovu kamata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215</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603</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Naknada članovima Nadzornog odbora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216</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31.841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31.841</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605</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Naknada banci depozitaru</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217</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33.338</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33.312</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607</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Rashodi po osnovu poreza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218</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604,606, 609</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7. Ostali poslovni rashodi fonda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219</w:t>
            </w:r>
          </w:p>
        </w:tc>
        <w:tc>
          <w:tcPr>
            <w:tcW w:w="1280" w:type="dxa"/>
            <w:tcBorders>
              <w:top w:val="nil"/>
              <w:left w:val="nil"/>
              <w:bottom w:val="single" w:sz="4" w:space="0" w:color="auto"/>
              <w:right w:val="single" w:sz="4" w:space="0" w:color="auto"/>
            </w:tcBorders>
            <w:shd w:val="clear" w:color="000000" w:fill="FFFFFF"/>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24.417</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26.767</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IV - Realizovani gubitak (221 do 224)</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8.506.354</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21.806.077</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610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Realizovani gubici na prodaji hartija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221</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8.506.354</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21.806.077</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611</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xml:space="preserve">2. Realizovani gubitak po osnovu kursnih razlika </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222</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612</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Realizovani gubici po osnovu prodaje nekretnina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223</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619</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Ostali realizovani gubici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224</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REALIZOVANI DOBITAK I GUBITAK</w:t>
            </w:r>
            <w:r w:rsidRPr="00930FF2">
              <w:rPr>
                <w:rFonts w:eastAsia="Times New Roman"/>
                <w:sz w:val="18"/>
                <w:szCs w:val="18"/>
              </w:rPr>
              <w:t xml:space="preserve">                                                                        1. Realizovani dobitak (202+207-212-220)</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225</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Realizovani gubitak (212+220-202-207)</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226</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8.223.399</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20.744.506</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 Finansijski prihodi (228+229)</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227</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589</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730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Prihodi od kamata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228</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589</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731</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Ostali finansijski prihodi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229</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VII- Finansijski rashodi (231+232)</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630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Rashodi po osnovu kamata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231</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631</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Ostali finansijski rashodi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232</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xml:space="preserve">B. REALIZOVANI DOBITAK I GUBITAK PRIJE OPOREZIVANJA                                                                      </w:t>
            </w:r>
            <w:r w:rsidRPr="00930FF2">
              <w:rPr>
                <w:rFonts w:eastAsia="Times New Roman"/>
                <w:sz w:val="18"/>
                <w:szCs w:val="18"/>
              </w:rPr>
              <w:t>1. Realizovani dobitak prije oporezivanja (225+227-230)</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233</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Realizovani gubitak prije oporezivanja (226+230-227)</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234</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8.223.381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20.743.917</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TEKUĆI I ODLOŽENI POREZ NA DOBIT</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235</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821</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Poreski rashod perioda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236</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Odloženi poreski rashod perioda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237</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Odloženi poreski prihod perioda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238</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xml:space="preserve">G. REALIZOVANI DOBITAK I GUBITAK POSLIJE OPOREZIVANJA                       </w:t>
            </w:r>
            <w:r w:rsidRPr="00930FF2">
              <w:rPr>
                <w:rFonts w:eastAsia="Times New Roman"/>
                <w:sz w:val="18"/>
                <w:szCs w:val="18"/>
              </w:rPr>
              <w:t xml:space="preserve">                                                   1. Realizovani dobitak poslije oporezivanja (233-234-236-237+238)</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239</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Realizovani gubitak poslije oporezivanja (234-233+236+237-238)</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8.223.381</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20.743.917</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D. NEREALIZOVANI DOBICI I GUBICI                                                         I-Nerealizovani dobici (242 do 247)</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241</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4.553.424</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2.681.143</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720</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Nerealizovani dobici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242</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4.553.424</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2.681.143</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721</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Nerealizovani dobici po osnovu kursnih razlika na monetarnim sredstvima, osim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243</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722</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Nerealizovani dobici po osnovu kursnih razlika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244</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723</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Nerealizovani dobici po osnovu derivatnih instrumenata zaštite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245</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724</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Nerealizovani dobici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246</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729</w:t>
            </w:r>
          </w:p>
        </w:tc>
        <w:tc>
          <w:tcPr>
            <w:tcW w:w="520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Ostali nerealizovani dobici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247</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Nerealizovani gubici (249do 254)</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248</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5.017.537</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1.840.371</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620</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Nerealizovani gubici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249</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5.017.537</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1.840.371</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621</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Nerealizovani gubici po osnovu kursnih razlika na monetarnim sredstvima, osim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622</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Nerealizovani gubcii po osnovu kursnih razlika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251</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lastRenderedPageBreak/>
              <w:t>623</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Nerealizovani gubici po osnovu derivatnih instrumenata zaštite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252</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624</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Nerealizovani gubici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253</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629</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Ostali nerealizovani gubici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254</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Đ. UKUPNI NEREALIZOVANI DOBICI (GUBICI) FONDA</w:t>
            </w:r>
            <w:r w:rsidRPr="00930FF2">
              <w:rPr>
                <w:rFonts w:eastAsia="Times New Roman"/>
                <w:sz w:val="18"/>
                <w:szCs w:val="18"/>
              </w:rPr>
              <w:t xml:space="preserve">                                                                                                                 1. Ukupni nerealizovani dobitak (241-248)</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255</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840.772</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Ukupni nerealizovani gubitak (248-241)</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256</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464.113</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xml:space="preserve">E. POVEĆANJE (SMANJENJE) NETO IMOVINE OD POSLOVANJA FONDA                                                                                                                              </w:t>
            </w:r>
            <w:r w:rsidRPr="00930FF2">
              <w:rPr>
                <w:rFonts w:eastAsia="Times New Roman"/>
                <w:sz w:val="18"/>
                <w:szCs w:val="18"/>
              </w:rPr>
              <w:t>1. Povećanje neto imovine fonda (239-240+255-256)</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257</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Smanjenje neto imovine fonda (240-239+256-255)</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258</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8.687.494</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19.903.145</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Obična zarada po akciji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259</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Razrijeđena zarada po akciji</w:t>
            </w:r>
          </w:p>
        </w:tc>
        <w:tc>
          <w:tcPr>
            <w:tcW w:w="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260</w:t>
            </w:r>
          </w:p>
        </w:tc>
        <w:tc>
          <w:tcPr>
            <w:tcW w:w="12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bl>
    <w:p w:rsidR="00E62AAB" w:rsidRPr="00930FF2" w:rsidRDefault="00E62AAB" w:rsidP="003C4ADB">
      <w:pPr>
        <w:ind w:left="0"/>
        <w:contextualSpacing/>
        <w:jc w:val="left"/>
        <w:rPr>
          <w:color w:val="FF0000"/>
          <w:sz w:val="18"/>
          <w:szCs w:val="18"/>
        </w:rPr>
      </w:pPr>
    </w:p>
    <w:p w:rsidR="00D05C12" w:rsidRPr="00930FF2" w:rsidRDefault="00D05C12" w:rsidP="003C4ADB">
      <w:pPr>
        <w:ind w:left="0"/>
        <w:contextualSpacing/>
        <w:jc w:val="left"/>
      </w:pPr>
      <w:r w:rsidRPr="00930FF2">
        <w:t>Bilans tokova gotovine</w:t>
      </w:r>
      <w:r w:rsidR="00E62AAB" w:rsidRPr="00930FF2">
        <w:t xml:space="preserve"> – izvještaj o tokovima gotovine</w:t>
      </w:r>
    </w:p>
    <w:p w:rsidR="00E62AAB" w:rsidRPr="00930FF2" w:rsidRDefault="00E62AAB" w:rsidP="003C4ADB">
      <w:pPr>
        <w:ind w:left="0"/>
        <w:contextualSpacing/>
        <w:jc w:val="left"/>
      </w:pPr>
      <w:r w:rsidRPr="00930FF2">
        <w:t>za period od 01.01.2014. godine do 31.12.2014. godine</w:t>
      </w:r>
    </w:p>
    <w:tbl>
      <w:tblPr>
        <w:tblW w:w="8180" w:type="dxa"/>
        <w:tblInd w:w="93" w:type="dxa"/>
        <w:tblLook w:val="04A0"/>
      </w:tblPr>
      <w:tblGrid>
        <w:gridCol w:w="4600"/>
        <w:gridCol w:w="760"/>
        <w:gridCol w:w="940"/>
        <w:gridCol w:w="1026"/>
        <w:gridCol w:w="960"/>
      </w:tblGrid>
      <w:tr w:rsidR="00E62AAB" w:rsidRPr="00930FF2" w:rsidTr="00E62AAB">
        <w:trPr>
          <w:trHeight w:val="255"/>
        </w:trPr>
        <w:tc>
          <w:tcPr>
            <w:tcW w:w="4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Opis</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AOP</w:t>
            </w:r>
          </w:p>
        </w:tc>
        <w:tc>
          <w:tcPr>
            <w:tcW w:w="186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Iznos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Indeks</w:t>
            </w:r>
          </w:p>
        </w:tc>
      </w:tr>
      <w:tr w:rsidR="00E62AAB" w:rsidRPr="00930FF2" w:rsidTr="00E62AAB">
        <w:trPr>
          <w:trHeight w:val="450"/>
        </w:trPr>
        <w:tc>
          <w:tcPr>
            <w:tcW w:w="4600" w:type="dxa"/>
            <w:vMerge/>
            <w:tcBorders>
              <w:top w:val="single" w:sz="4" w:space="0" w:color="auto"/>
              <w:left w:val="single" w:sz="4" w:space="0" w:color="auto"/>
              <w:bottom w:val="single" w:sz="4" w:space="0" w:color="auto"/>
              <w:right w:val="single" w:sz="4" w:space="0" w:color="auto"/>
            </w:tcBorders>
            <w:vAlign w:val="center"/>
            <w:hideMark/>
          </w:tcPr>
          <w:p w:rsidR="00E62AAB" w:rsidRPr="00930FF2" w:rsidRDefault="00E62AAB" w:rsidP="00E62AAB">
            <w:pPr>
              <w:ind w:left="0" w:firstLine="0"/>
              <w:jc w:val="left"/>
              <w:rPr>
                <w:rFonts w:eastAsia="Times New Roman"/>
                <w:b/>
                <w:bCs/>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E62AAB" w:rsidRPr="00930FF2" w:rsidRDefault="00E62AAB" w:rsidP="00E62AAB">
            <w:pPr>
              <w:ind w:left="0" w:firstLine="0"/>
              <w:jc w:val="left"/>
              <w:rPr>
                <w:rFonts w:eastAsia="Times New Roman"/>
                <w:b/>
                <w:bCs/>
                <w:sz w:val="18"/>
                <w:szCs w:val="18"/>
              </w:rPr>
            </w:pPr>
          </w:p>
        </w:tc>
        <w:tc>
          <w:tcPr>
            <w:tcW w:w="940" w:type="dxa"/>
            <w:tcBorders>
              <w:top w:val="nil"/>
              <w:left w:val="nil"/>
              <w:bottom w:val="single" w:sz="4" w:space="0" w:color="auto"/>
              <w:right w:val="single" w:sz="4" w:space="0" w:color="auto"/>
            </w:tcBorders>
            <w:shd w:val="clear" w:color="000000" w:fill="C0C0C0"/>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Tekuća godina</w:t>
            </w:r>
          </w:p>
        </w:tc>
        <w:tc>
          <w:tcPr>
            <w:tcW w:w="920" w:type="dxa"/>
            <w:tcBorders>
              <w:top w:val="nil"/>
              <w:left w:val="nil"/>
              <w:bottom w:val="single" w:sz="4" w:space="0" w:color="auto"/>
              <w:right w:val="single" w:sz="4" w:space="0" w:color="auto"/>
            </w:tcBorders>
            <w:shd w:val="clear" w:color="000000" w:fill="C0C0C0"/>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Prethodna godina</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62AAB" w:rsidRPr="00930FF2" w:rsidRDefault="00E62AAB" w:rsidP="00E62AAB">
            <w:pPr>
              <w:ind w:left="0" w:firstLine="0"/>
              <w:jc w:val="left"/>
              <w:rPr>
                <w:rFonts w:eastAsia="Times New Roman"/>
                <w:b/>
                <w:bCs/>
                <w:sz w:val="18"/>
                <w:szCs w:val="18"/>
              </w:rPr>
            </w:pP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9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92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r>
      <w:tr w:rsidR="00E62AAB" w:rsidRPr="00930FF2" w:rsidTr="00E62A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A. Novčani tokovi iz poslovnih aktivnosti</w:t>
            </w:r>
            <w:r w:rsidRPr="00930FF2">
              <w:rPr>
                <w:rFonts w:eastAsia="Times New Roman"/>
                <w:sz w:val="18"/>
                <w:szCs w:val="18"/>
              </w:rPr>
              <w:t xml:space="preserve">                                      I- Prilivi gotovine iz poslovnih aktivnosti (402 do 406)</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401</w:t>
            </w:r>
          </w:p>
        </w:tc>
        <w:tc>
          <w:tcPr>
            <w:tcW w:w="9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1.319.197</w:t>
            </w:r>
          </w:p>
        </w:tc>
        <w:tc>
          <w:tcPr>
            <w:tcW w:w="92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3.633.926</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0,36</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Prilivi po osnovu prodaje ulaganja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402</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190.130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2.169.455</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0,09</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xml:space="preserve">2. Prilivi po osnovu dividende </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403</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724.328</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1.145.790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9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Prilivi po osnovu kamata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404</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224.692</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233.905</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0,96</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Prilivi po osnovu refundiranja rashoda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405</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Ostali prilivi od operativnih aktivnosti</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406</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180.047</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84.776</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61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 Odlivi gotovine iz operativnih aktivnosti (408 do 418)</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407</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1.860.324</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3.196.913</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0,58</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Odlivi po osnovu kupovine ulaganja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408</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Odlivi po osnovu ulaganja u HOV</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409</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1.268.365</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2.261.307</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0,56</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3. Odlivi po osnovu ostalih ulaganja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410</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Odlivi po osnovu naknada društvu za upravljanje</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411</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496.000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840.000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0,59</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5. Odlivi po osnovu rashoda za kamate</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412</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6. Odlivi po osnovu troškova kupovine i prodaje HOV</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413</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4.196</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6.501</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0,65</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7. Odlivi po osnovu naknade eksternom revizoru</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414</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1.989</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8. Odlivi po osnovu troškova banke depozitara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415</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33.555</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33.375</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1,01</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9. Odlivi po osnovu ostalih rashoda iz operativne aktivnosti</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416</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58.208</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53.741</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1,08</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10. Odlivi po osnovu poreza na dobit</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417</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11. Odlivi po osnovu ostalih rashoda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418</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7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III Neto priliv gotovine iz poslovnih aktivnosti (401-407)</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419</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437.013</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0,00</w:t>
            </w:r>
          </w:p>
        </w:tc>
      </w:tr>
      <w:tr w:rsidR="00E62AAB" w:rsidRPr="00930FF2" w:rsidTr="00E62AAB">
        <w:trPr>
          <w:trHeight w:val="28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IV Neto odliv gotovine iz poslovnih aktivnosti (407-401)</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420</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541.127</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0,00</w:t>
            </w:r>
          </w:p>
        </w:tc>
      </w:tr>
      <w:tr w:rsidR="00E62AAB" w:rsidRPr="00930FF2" w:rsidTr="00E62A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B. Tokovi gotovine iz aktivnosti finansiranja                       I Prilivi gotovine iz aktivnosti finansiranja (422+423)</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421</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Priliv od izdavanja udjela/emisije akcija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422</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Prilivi od zaduživanja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423</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II Odlivi gotovine iz aktivnosti finansiranja (425 do 428)</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424</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1. Odlivi po osnovu razduživanja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425</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2. Odlivi po osnovu otkupa sopstvenih akcija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426</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lastRenderedPageBreak/>
              <w:t>3. Odlivi po osnovu isplate dividendi</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427</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4. Odlivi po osnovu isplate učešća u dobiti</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428</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III Neto priliv gotovine iz aktivnosti finansiranja (421-424)</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429</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IV Neto odliv gotovine iz aktivnosti finansiranja (424-421)</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430</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 Ukupni prilivi gotovine (401+421)</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431</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1.319.197</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3.633.926</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0,36</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G. Ukupni odlivi gotovine (407+424)</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432</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1.860.324</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3.196.913</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0,58</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D. Neto  priliv gotovine (431-432)</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433</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437.013</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Đ. Neto odliv gotovine (432-431)</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434</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541.127</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E. Gotovina na početku perioda</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435</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870.903</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b/>
                <w:bCs/>
                <w:sz w:val="18"/>
                <w:szCs w:val="18"/>
              </w:rPr>
            </w:pPr>
            <w:r w:rsidRPr="00930FF2">
              <w:rPr>
                <w:rFonts w:eastAsia="Times New Roman"/>
                <w:b/>
                <w:bCs/>
                <w:sz w:val="18"/>
                <w:szCs w:val="18"/>
              </w:rPr>
              <w:t>433.890</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2,01</w:t>
            </w:r>
          </w:p>
        </w:tc>
      </w:tr>
      <w:tr w:rsidR="00E62AAB" w:rsidRPr="00930FF2" w:rsidTr="00E62AAB">
        <w:trPr>
          <w:trHeight w:val="450"/>
        </w:trPr>
        <w:tc>
          <w:tcPr>
            <w:tcW w:w="4600" w:type="dxa"/>
            <w:tcBorders>
              <w:top w:val="nil"/>
              <w:left w:val="single" w:sz="4" w:space="0" w:color="auto"/>
              <w:bottom w:val="nil"/>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Ž. Pozitivne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436</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Z. Negativne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437</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I. GOTOVINA NA KRAJU OBRAČUNSKOG PERIODA (435+433-434+436-437)</w:t>
            </w:r>
          </w:p>
        </w:tc>
        <w:tc>
          <w:tcPr>
            <w:tcW w:w="76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438</w:t>
            </w:r>
          </w:p>
        </w:tc>
        <w:tc>
          <w:tcPr>
            <w:tcW w:w="9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329.776</w:t>
            </w:r>
          </w:p>
        </w:tc>
        <w:tc>
          <w:tcPr>
            <w:tcW w:w="9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870.903</w:t>
            </w:r>
          </w:p>
        </w:tc>
        <w:tc>
          <w:tcPr>
            <w:tcW w:w="96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0,38</w:t>
            </w:r>
          </w:p>
        </w:tc>
      </w:tr>
    </w:tbl>
    <w:p w:rsidR="00E62AAB" w:rsidRPr="00930FF2" w:rsidRDefault="00E62AAB" w:rsidP="003C4ADB">
      <w:pPr>
        <w:ind w:left="0"/>
        <w:contextualSpacing/>
        <w:jc w:val="left"/>
        <w:rPr>
          <w:color w:val="FF0000"/>
          <w:sz w:val="18"/>
          <w:szCs w:val="18"/>
        </w:rPr>
      </w:pPr>
    </w:p>
    <w:p w:rsidR="00D05C12" w:rsidRPr="00930FF2" w:rsidRDefault="00D05C12" w:rsidP="003C4ADB">
      <w:pPr>
        <w:ind w:left="0"/>
        <w:contextualSpacing/>
        <w:jc w:val="left"/>
      </w:pPr>
      <w:r w:rsidRPr="00930FF2">
        <w:t>Izvještaj o promjenama neto imovine investicionog fonda</w:t>
      </w:r>
    </w:p>
    <w:p w:rsidR="00E62AAB" w:rsidRPr="00930FF2" w:rsidRDefault="00E62AAB" w:rsidP="003C4ADB">
      <w:pPr>
        <w:ind w:left="0"/>
        <w:contextualSpacing/>
        <w:jc w:val="left"/>
      </w:pPr>
      <w:r w:rsidRPr="00930FF2">
        <w:t>za period od 01.01.2014. godine do 31.12.2014. godine</w:t>
      </w:r>
    </w:p>
    <w:tbl>
      <w:tblPr>
        <w:tblW w:w="9100" w:type="dxa"/>
        <w:tblInd w:w="93" w:type="dxa"/>
        <w:tblLook w:val="04A0"/>
      </w:tblPr>
      <w:tblGrid>
        <w:gridCol w:w="646"/>
        <w:gridCol w:w="5740"/>
        <w:gridCol w:w="577"/>
        <w:gridCol w:w="1140"/>
        <w:gridCol w:w="1140"/>
      </w:tblGrid>
      <w:tr w:rsidR="00E62AAB" w:rsidRPr="00930FF2" w:rsidTr="00E62AAB">
        <w:trPr>
          <w:trHeight w:val="255"/>
        </w:trPr>
        <w:tc>
          <w:tcPr>
            <w:tcW w:w="5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57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5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(iznos u KM)</w:t>
            </w:r>
          </w:p>
        </w:tc>
      </w:tr>
      <w:tr w:rsidR="00E62AAB" w:rsidRPr="00930FF2" w:rsidTr="00E62AAB">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Redni broj</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Pozicija</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AOP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Prethodna godina</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7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Povećanje (smanjenje) neto imovine od poslovanja fonda (302 do 306)</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301</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-1.334.331</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-1.149.428</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Realizovani dobitak (gubitak) od ulaganja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302</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-8.223.381</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-6.778.570</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Ukupni narealizovani dobici (gubici) od ulaganja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303</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-463.055</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-1.873.603</w:t>
            </w:r>
          </w:p>
        </w:tc>
      </w:tr>
      <w:tr w:rsidR="00E62AAB" w:rsidRPr="00930FF2" w:rsidTr="00E62AAB">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w:t>
            </w:r>
          </w:p>
        </w:tc>
        <w:tc>
          <w:tcPr>
            <w:tcW w:w="57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Revalorizacione rezerve po osnovu finansijskih ulaganja raspoloživih za prodaju</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304</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7.352.105</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7.502.745</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c>
          <w:tcPr>
            <w:tcW w:w="5740" w:type="dxa"/>
            <w:tcBorders>
              <w:top w:val="nil"/>
              <w:left w:val="nil"/>
              <w:bottom w:val="nil"/>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Revalotizacione rezerve po osnovu derivata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305</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Revalorizacione rezerve po osnovu nekretnina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306</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7</w:t>
            </w:r>
          </w:p>
        </w:tc>
        <w:tc>
          <w:tcPr>
            <w:tcW w:w="5740" w:type="dxa"/>
            <w:tcBorders>
              <w:top w:val="nil"/>
              <w:left w:val="nil"/>
              <w:bottom w:val="nil"/>
              <w:right w:val="single" w:sz="4" w:space="0" w:color="auto"/>
            </w:tcBorders>
            <w:shd w:val="clear" w:color="auto" w:fill="auto"/>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Povećenje neto imovine po osnovu transakcija sa udjelima/akcijama fonda (308-309)</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8</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Povećanje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308</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9</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Smanjenje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309</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10</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Ukupno povećanje (smanjenje) neto imovine fonda (301+308-309)</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-1.334.331</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-1.149.428</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11</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Neto imovina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311</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12</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312</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31.384.313</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31.646.528</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13</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313</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30.049.982</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30.497.029</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14</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Broj udjela/akcija fonda u periodu</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314</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15</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Broj udjela/akcija 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315</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16</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Izdati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316</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17</w:t>
            </w:r>
          </w:p>
        </w:tc>
        <w:tc>
          <w:tcPr>
            <w:tcW w:w="57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Povučeni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18</w:t>
            </w:r>
          </w:p>
        </w:tc>
        <w:tc>
          <w:tcPr>
            <w:tcW w:w="574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Broj udjela/akcija 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318</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bl>
    <w:p w:rsidR="00E62AAB" w:rsidRPr="00930FF2" w:rsidRDefault="00E62AAB" w:rsidP="003C4ADB">
      <w:pPr>
        <w:ind w:left="0"/>
        <w:contextualSpacing/>
        <w:jc w:val="left"/>
        <w:rPr>
          <w:color w:val="FF0000"/>
          <w:sz w:val="18"/>
          <w:szCs w:val="18"/>
        </w:rPr>
      </w:pPr>
    </w:p>
    <w:p w:rsidR="00D05C12" w:rsidRPr="00930FF2" w:rsidRDefault="00D05C12" w:rsidP="003C4ADB">
      <w:pPr>
        <w:ind w:left="0"/>
        <w:contextualSpacing/>
        <w:jc w:val="left"/>
      </w:pPr>
      <w:r w:rsidRPr="00930FF2">
        <w:t>Izvještaj o finansijskim pokazateljima fonda</w:t>
      </w:r>
    </w:p>
    <w:p w:rsidR="00E62AAB" w:rsidRPr="00930FF2" w:rsidRDefault="00E62AAB" w:rsidP="003C4ADB">
      <w:pPr>
        <w:ind w:left="0"/>
        <w:contextualSpacing/>
        <w:jc w:val="left"/>
      </w:pPr>
      <w:r w:rsidRPr="00930FF2">
        <w:t>za period od 01.01.2014. godine do 31.12.2014. godine</w:t>
      </w:r>
    </w:p>
    <w:tbl>
      <w:tblPr>
        <w:tblW w:w="8940" w:type="dxa"/>
        <w:tblInd w:w="93" w:type="dxa"/>
        <w:tblLook w:val="04A0"/>
      </w:tblPr>
      <w:tblGrid>
        <w:gridCol w:w="646"/>
        <w:gridCol w:w="5580"/>
        <w:gridCol w:w="640"/>
        <w:gridCol w:w="1116"/>
        <w:gridCol w:w="1140"/>
      </w:tblGrid>
      <w:tr w:rsidR="00E62AAB" w:rsidRPr="00930FF2" w:rsidTr="00E62AAB">
        <w:trPr>
          <w:trHeight w:val="255"/>
        </w:trPr>
        <w:tc>
          <w:tcPr>
            <w:tcW w:w="56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558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6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02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(iznos u KM)</w:t>
            </w:r>
          </w:p>
        </w:tc>
      </w:tr>
      <w:tr w:rsidR="00E62AAB" w:rsidRPr="00930FF2" w:rsidTr="00E62AAB">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Redni broj</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Pozicija imovine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AOP</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Prethodna godina</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102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6</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lastRenderedPageBreak/>
              <w:t>I</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Vrijednost neto imovine po udjelu/akciji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501</w:t>
            </w:r>
          </w:p>
        </w:tc>
        <w:tc>
          <w:tcPr>
            <w:tcW w:w="102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0,17</w:t>
            </w:r>
          </w:p>
        </w:tc>
        <w:tc>
          <w:tcPr>
            <w:tcW w:w="11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0,19</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Neto imovina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502</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31.384.313</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30.497.029</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Broj udjela/akcija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503</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3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558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Vrijednost udjela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504</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II</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Vrijednost neto imovine fonda po udjelu/akciji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505</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Neto imovina fonda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506</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30.049.982</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31.384.313</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nil"/>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Broj udjela/akcija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507</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187.191.287</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Vrijednost udjela/akcije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508</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0,16</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0,17</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b/>
                <w:bCs/>
                <w:sz w:val="18"/>
                <w:szCs w:val="18"/>
              </w:rPr>
            </w:pPr>
            <w:r w:rsidRPr="00930FF2">
              <w:rPr>
                <w:rFonts w:eastAsia="Times New Roman"/>
                <w:b/>
                <w:bCs/>
                <w:sz w:val="18"/>
                <w:szCs w:val="18"/>
              </w:rPr>
              <w:t>III</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b/>
                <w:bCs/>
                <w:sz w:val="18"/>
                <w:szCs w:val="18"/>
              </w:rPr>
            </w:pPr>
            <w:r w:rsidRPr="00930FF2">
              <w:rPr>
                <w:rFonts w:eastAsia="Times New Roman"/>
                <w:b/>
                <w:bCs/>
                <w:sz w:val="18"/>
                <w:szCs w:val="18"/>
              </w:rPr>
              <w:t>Finansijski pokazatelji</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509</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 </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Odnos rashoda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510</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0,46</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0,78</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Odnos realizovane dobiti od ulaganja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511</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3</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Isplaćeni iznos investitorima u toku godine</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512</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r>
      <w:tr w:rsidR="00E62AAB" w:rsidRPr="00930FF2" w:rsidTr="00E62AAB">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4</w:t>
            </w:r>
          </w:p>
        </w:tc>
        <w:tc>
          <w:tcPr>
            <w:tcW w:w="558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left"/>
              <w:rPr>
                <w:rFonts w:eastAsia="Times New Roman"/>
                <w:sz w:val="18"/>
                <w:szCs w:val="18"/>
              </w:rPr>
            </w:pPr>
            <w:r w:rsidRPr="00930FF2">
              <w:rPr>
                <w:rFonts w:eastAsia="Times New Roman"/>
                <w:sz w:val="18"/>
                <w:szCs w:val="18"/>
              </w:rPr>
              <w:t>Stopa prinosa na neto imovinu fonda</w:t>
            </w:r>
          </w:p>
        </w:tc>
        <w:tc>
          <w:tcPr>
            <w:tcW w:w="640" w:type="dxa"/>
            <w:tcBorders>
              <w:top w:val="nil"/>
              <w:left w:val="nil"/>
              <w:bottom w:val="single" w:sz="4" w:space="0" w:color="auto"/>
              <w:right w:val="single" w:sz="4" w:space="0" w:color="auto"/>
            </w:tcBorders>
            <w:shd w:val="clear" w:color="auto" w:fill="auto"/>
            <w:noWrap/>
            <w:vAlign w:val="center"/>
            <w:hideMark/>
          </w:tcPr>
          <w:p w:rsidR="00E62AAB" w:rsidRPr="00930FF2" w:rsidRDefault="00E62AAB" w:rsidP="00E62AAB">
            <w:pPr>
              <w:ind w:left="0" w:firstLine="0"/>
              <w:jc w:val="center"/>
              <w:rPr>
                <w:rFonts w:eastAsia="Times New Roman"/>
                <w:sz w:val="18"/>
                <w:szCs w:val="18"/>
              </w:rPr>
            </w:pPr>
            <w:r w:rsidRPr="00930FF2">
              <w:rPr>
                <w:rFonts w:eastAsia="Times New Roman"/>
                <w:sz w:val="18"/>
                <w:szCs w:val="18"/>
              </w:rPr>
              <w:t>513</w:t>
            </w:r>
          </w:p>
        </w:tc>
        <w:tc>
          <w:tcPr>
            <w:tcW w:w="102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E62AAB" w:rsidRPr="00930FF2" w:rsidRDefault="00E62AAB" w:rsidP="00E62AAB">
            <w:pPr>
              <w:ind w:left="0" w:firstLine="0"/>
              <w:jc w:val="right"/>
              <w:rPr>
                <w:rFonts w:eastAsia="Times New Roman"/>
                <w:sz w:val="18"/>
                <w:szCs w:val="18"/>
              </w:rPr>
            </w:pPr>
            <w:r w:rsidRPr="00930FF2">
              <w:rPr>
                <w:rFonts w:eastAsia="Times New Roman"/>
                <w:sz w:val="18"/>
                <w:szCs w:val="18"/>
              </w:rPr>
              <w:t>0,00</w:t>
            </w:r>
          </w:p>
        </w:tc>
      </w:tr>
    </w:tbl>
    <w:p w:rsidR="00E62AAB" w:rsidRPr="00930FF2" w:rsidRDefault="00E62AAB" w:rsidP="003C4ADB">
      <w:pPr>
        <w:ind w:left="0"/>
        <w:contextualSpacing/>
        <w:jc w:val="left"/>
        <w:rPr>
          <w:color w:val="FF0000"/>
        </w:rPr>
      </w:pPr>
    </w:p>
    <w:p w:rsidR="00D05C12" w:rsidRPr="00930FF2" w:rsidRDefault="00D05C12" w:rsidP="00D05C12">
      <w:pPr>
        <w:ind w:left="0"/>
        <w:contextualSpacing/>
        <w:jc w:val="left"/>
      </w:pPr>
      <w:r w:rsidRPr="00930FF2">
        <w:t>Izvještaj o strukturi ulaganja investicionog fonda po vrstama imovine</w:t>
      </w:r>
    </w:p>
    <w:p w:rsidR="008B2274" w:rsidRPr="00930FF2" w:rsidRDefault="008B2274" w:rsidP="00D05C12">
      <w:pPr>
        <w:ind w:left="0"/>
        <w:contextualSpacing/>
        <w:jc w:val="left"/>
      </w:pPr>
      <w:r w:rsidRPr="00930FF2">
        <w:t>sa stanjem na dan 31.12.2014. godine</w:t>
      </w:r>
    </w:p>
    <w:tbl>
      <w:tblPr>
        <w:tblW w:w="6760" w:type="dxa"/>
        <w:tblInd w:w="93" w:type="dxa"/>
        <w:tblLook w:val="04A0"/>
      </w:tblPr>
      <w:tblGrid>
        <w:gridCol w:w="660"/>
        <w:gridCol w:w="2840"/>
        <w:gridCol w:w="1760"/>
        <w:gridCol w:w="1500"/>
      </w:tblGrid>
      <w:tr w:rsidR="008B2274" w:rsidRPr="00930FF2" w:rsidTr="008B2274">
        <w:trPr>
          <w:trHeight w:val="7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Redni broj</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Opis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Ukupna vrijednost na dan izvještavanja</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Učešće u vrijednosti imovine fonda (%)</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1</w:t>
            </w:r>
          </w:p>
        </w:tc>
        <w:tc>
          <w:tcPr>
            <w:tcW w:w="2840" w:type="dxa"/>
            <w:tcBorders>
              <w:top w:val="nil"/>
              <w:left w:val="nil"/>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2</w:t>
            </w:r>
          </w:p>
        </w:tc>
        <w:tc>
          <w:tcPr>
            <w:tcW w:w="1760" w:type="dxa"/>
            <w:tcBorders>
              <w:top w:val="nil"/>
              <w:left w:val="nil"/>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3</w:t>
            </w:r>
          </w:p>
        </w:tc>
        <w:tc>
          <w:tcPr>
            <w:tcW w:w="1500" w:type="dxa"/>
            <w:tcBorders>
              <w:top w:val="nil"/>
              <w:left w:val="nil"/>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4</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1</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Akcije</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26.270.528,08</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82,2627</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2</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Obveznice</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3.914.306,92</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12,2571</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3</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Ostale hartije od vrijednosti</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1.406.701,22</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4,4049</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4</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Depoziti i plasmani</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0,00</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0,0000</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5</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Gotovina i gotovinski ekvivalenti</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329.776,59</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1,0327</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B2274" w:rsidRPr="00930FF2" w:rsidRDefault="008B2274" w:rsidP="008B2274">
            <w:pPr>
              <w:ind w:left="0" w:firstLine="0"/>
              <w:jc w:val="center"/>
              <w:rPr>
                <w:rFonts w:eastAsia="Times New Roman"/>
                <w:sz w:val="18"/>
                <w:szCs w:val="18"/>
              </w:rPr>
            </w:pPr>
            <w:r w:rsidRPr="00930FF2">
              <w:rPr>
                <w:rFonts w:eastAsia="Times New Roman"/>
                <w:sz w:val="18"/>
                <w:szCs w:val="18"/>
              </w:rPr>
              <w:t>6</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Nekretnine</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0,00</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0,0000</w:t>
            </w:r>
          </w:p>
        </w:tc>
      </w:tr>
      <w:tr w:rsidR="008B2274" w:rsidRPr="00930FF2" w:rsidTr="008B2274">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 </w:t>
            </w:r>
          </w:p>
        </w:tc>
        <w:tc>
          <w:tcPr>
            <w:tcW w:w="284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left"/>
              <w:rPr>
                <w:rFonts w:eastAsia="Times New Roman"/>
                <w:sz w:val="18"/>
                <w:szCs w:val="18"/>
              </w:rPr>
            </w:pPr>
            <w:r w:rsidRPr="00930FF2">
              <w:rPr>
                <w:rFonts w:eastAsia="Times New Roman"/>
                <w:sz w:val="18"/>
                <w:szCs w:val="18"/>
              </w:rPr>
              <w:t>Ukupno</w:t>
            </w:r>
          </w:p>
        </w:tc>
        <w:tc>
          <w:tcPr>
            <w:tcW w:w="176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31.921.312,81</w:t>
            </w:r>
          </w:p>
        </w:tc>
        <w:tc>
          <w:tcPr>
            <w:tcW w:w="1500" w:type="dxa"/>
            <w:tcBorders>
              <w:top w:val="nil"/>
              <w:left w:val="nil"/>
              <w:bottom w:val="single" w:sz="4" w:space="0" w:color="auto"/>
              <w:right w:val="single" w:sz="4" w:space="0" w:color="auto"/>
            </w:tcBorders>
            <w:shd w:val="clear" w:color="auto" w:fill="auto"/>
            <w:noWrap/>
            <w:vAlign w:val="bottom"/>
            <w:hideMark/>
          </w:tcPr>
          <w:p w:rsidR="008B2274" w:rsidRPr="00930FF2" w:rsidRDefault="008B2274" w:rsidP="008B2274">
            <w:pPr>
              <w:ind w:left="0" w:firstLine="0"/>
              <w:jc w:val="right"/>
              <w:rPr>
                <w:rFonts w:eastAsia="Times New Roman"/>
                <w:sz w:val="18"/>
                <w:szCs w:val="18"/>
              </w:rPr>
            </w:pPr>
            <w:r w:rsidRPr="00930FF2">
              <w:rPr>
                <w:rFonts w:eastAsia="Times New Roman"/>
                <w:sz w:val="18"/>
                <w:szCs w:val="18"/>
              </w:rPr>
              <w:t>99,9574</w:t>
            </w:r>
          </w:p>
        </w:tc>
      </w:tr>
    </w:tbl>
    <w:p w:rsidR="008B2274" w:rsidRPr="00930FF2" w:rsidRDefault="008B2274" w:rsidP="00D05C12">
      <w:pPr>
        <w:ind w:left="0"/>
        <w:contextualSpacing/>
        <w:jc w:val="left"/>
        <w:rPr>
          <w:color w:val="FF0000"/>
        </w:rPr>
      </w:pPr>
    </w:p>
    <w:p w:rsidR="008B2274" w:rsidRPr="00930FF2" w:rsidRDefault="006E4C76" w:rsidP="000D7153">
      <w:pPr>
        <w:ind w:left="0"/>
        <w:contextualSpacing/>
        <w:jc w:val="left"/>
      </w:pPr>
      <w:r w:rsidRPr="00930FF2">
        <w:t>mišljenj</w:t>
      </w:r>
      <w:r w:rsidR="008B2274" w:rsidRPr="00930FF2">
        <w:t>e</w:t>
      </w:r>
      <w:r w:rsidR="00D05C12" w:rsidRPr="00930FF2">
        <w:t xml:space="preserve"> revizora za 2014. </w:t>
      </w:r>
      <w:r w:rsidR="006E6C97" w:rsidRPr="00930FF2">
        <w:t>g</w:t>
      </w:r>
      <w:r w:rsidR="000D7153" w:rsidRPr="00930FF2">
        <w:t>odinu</w:t>
      </w:r>
    </w:p>
    <w:p w:rsidR="006E6C97" w:rsidRPr="00930FF2" w:rsidRDefault="006E6C97" w:rsidP="000D7153">
      <w:pPr>
        <w:ind w:left="0"/>
        <w:contextualSpacing/>
        <w:jc w:val="left"/>
        <w:rPr>
          <w:rFonts w:eastAsia="Calibri"/>
          <w:color w:val="FF0000"/>
        </w:rPr>
      </w:pPr>
    </w:p>
    <w:p w:rsidR="008B2274" w:rsidRPr="00930FF2" w:rsidRDefault="008B2274" w:rsidP="008B2274">
      <w:pPr>
        <w:pStyle w:val="BodyText"/>
        <w:jc w:val="center"/>
        <w:rPr>
          <w:b/>
          <w:bCs/>
          <w:i/>
          <w:iCs/>
          <w:szCs w:val="24"/>
        </w:rPr>
      </w:pPr>
      <w:r w:rsidRPr="00930FF2">
        <w:rPr>
          <w:b/>
          <w:bCs/>
          <w:i/>
          <w:iCs/>
          <w:szCs w:val="24"/>
        </w:rPr>
        <w:t>M I Š L J E N J E</w:t>
      </w:r>
    </w:p>
    <w:p w:rsidR="008B2274" w:rsidRPr="00930FF2" w:rsidRDefault="008B2274" w:rsidP="008B2274">
      <w:pPr>
        <w:pStyle w:val="BodyText"/>
        <w:jc w:val="center"/>
        <w:rPr>
          <w:b/>
          <w:bCs/>
          <w:i/>
          <w:iCs/>
          <w:szCs w:val="24"/>
        </w:rPr>
      </w:pPr>
      <w:r w:rsidRPr="00930FF2">
        <w:rPr>
          <w:b/>
          <w:bCs/>
          <w:i/>
          <w:iCs/>
          <w:szCs w:val="24"/>
        </w:rPr>
        <w:t>ovlaštenog revizora</w:t>
      </w:r>
    </w:p>
    <w:p w:rsidR="008B2274" w:rsidRPr="00930FF2" w:rsidRDefault="008B2274" w:rsidP="008B2274">
      <w:pPr>
        <w:pStyle w:val="BodyText"/>
        <w:jc w:val="center"/>
        <w:rPr>
          <w:b/>
          <w:bCs/>
          <w:i/>
          <w:iCs/>
          <w:szCs w:val="24"/>
        </w:rPr>
      </w:pPr>
      <w:r w:rsidRPr="00930FF2">
        <w:rPr>
          <w:b/>
          <w:bCs/>
          <w:i/>
          <w:iCs/>
          <w:szCs w:val="24"/>
        </w:rPr>
        <w:t>o izvršenoj reviziji finansijskih izvještaja Fonda</w:t>
      </w:r>
    </w:p>
    <w:p w:rsidR="008B2274" w:rsidRPr="00930FF2" w:rsidRDefault="008B2274" w:rsidP="008B2274">
      <w:pPr>
        <w:pStyle w:val="BodyText"/>
        <w:jc w:val="center"/>
        <w:rPr>
          <w:b/>
          <w:bCs/>
          <w:i/>
          <w:iCs/>
          <w:szCs w:val="24"/>
          <w:lang w:val="sr-Latn-BA"/>
        </w:rPr>
      </w:pPr>
      <w:r w:rsidRPr="00930FF2">
        <w:rPr>
          <w:b/>
          <w:bCs/>
          <w:i/>
          <w:iCs/>
          <w:szCs w:val="24"/>
        </w:rPr>
        <w:t xml:space="preserve"> za 2014. godinu</w:t>
      </w:r>
    </w:p>
    <w:p w:rsidR="008B2274" w:rsidRPr="00930FF2" w:rsidRDefault="008B2274" w:rsidP="008B2274">
      <w:pPr>
        <w:pStyle w:val="BodyText"/>
        <w:rPr>
          <w:szCs w:val="24"/>
          <w:lang w:val="hr-HR"/>
        </w:rPr>
      </w:pPr>
      <w:r w:rsidRPr="00930FF2">
        <w:rPr>
          <w:b/>
          <w:bCs/>
          <w:szCs w:val="24"/>
        </w:rPr>
        <w:t>1.</w:t>
      </w:r>
      <w:r w:rsidRPr="00930FF2">
        <w:rPr>
          <w:szCs w:val="24"/>
        </w:rPr>
        <w:t xml:space="preserve"> Revizija finansijskih izvještaja </w:t>
      </w:r>
      <w:r w:rsidRPr="00930FF2">
        <w:rPr>
          <w:b/>
          <w:bCs/>
          <w:i/>
          <w:iCs/>
          <w:szCs w:val="24"/>
        </w:rPr>
        <w:t xml:space="preserve">Zatvorenog investicionog fonda sa javnom ponudom "INVEST NOVA FOND" AD Bijeljina </w:t>
      </w:r>
      <w:r w:rsidRPr="00930FF2">
        <w:rPr>
          <w:b/>
          <w:bCs/>
          <w:szCs w:val="24"/>
        </w:rPr>
        <w:t xml:space="preserve"> </w:t>
      </w:r>
      <w:r w:rsidRPr="00930FF2">
        <w:rPr>
          <w:szCs w:val="24"/>
        </w:rPr>
        <w:t xml:space="preserve">za 2014. godinu obuhvatila je reviziju  </w:t>
      </w:r>
      <w:r w:rsidRPr="00930FF2">
        <w:rPr>
          <w:i/>
          <w:iCs/>
          <w:szCs w:val="24"/>
        </w:rPr>
        <w:t>Bilansa uspjeha</w:t>
      </w:r>
      <w:r w:rsidRPr="00930FF2">
        <w:rPr>
          <w:szCs w:val="24"/>
        </w:rPr>
        <w:t xml:space="preserve"> </w:t>
      </w:r>
      <w:r w:rsidRPr="00930FF2">
        <w:rPr>
          <w:i/>
          <w:szCs w:val="24"/>
        </w:rPr>
        <w:t xml:space="preserve">investicionog fonda </w:t>
      </w:r>
      <w:r w:rsidRPr="00930FF2">
        <w:rPr>
          <w:szCs w:val="24"/>
        </w:rPr>
        <w:t xml:space="preserve">(Izvještaja o ukupnom rezultatu u periodu) za period od 01.01. do 31.12.2014. godine, </w:t>
      </w:r>
      <w:r w:rsidRPr="00930FF2">
        <w:rPr>
          <w:i/>
          <w:szCs w:val="24"/>
        </w:rPr>
        <w:t>Bilansa stanja</w:t>
      </w:r>
      <w:r w:rsidRPr="00930FF2">
        <w:rPr>
          <w:szCs w:val="24"/>
        </w:rPr>
        <w:t xml:space="preserve"> </w:t>
      </w:r>
      <w:r w:rsidRPr="00930FF2">
        <w:rPr>
          <w:i/>
          <w:szCs w:val="24"/>
        </w:rPr>
        <w:t xml:space="preserve">investicionog fonda </w:t>
      </w:r>
      <w:r w:rsidRPr="00930FF2">
        <w:rPr>
          <w:szCs w:val="24"/>
        </w:rPr>
        <w:t xml:space="preserve">(Izvještaja o finansijskom položaju) na dan 31.12.2014. godine, Bilansa tokova gotovine (Izvještaja o tokovima gotovine) za period od 01.01. do 31.12.2014. godine, </w:t>
      </w:r>
      <w:r w:rsidRPr="00930FF2">
        <w:rPr>
          <w:i/>
          <w:iCs/>
          <w:szCs w:val="24"/>
          <w:lang w:val="hr-HR"/>
        </w:rPr>
        <w:t xml:space="preserve">Izvještaj o promjenama neto imovine investicionog fonda </w:t>
      </w:r>
      <w:r w:rsidRPr="00930FF2">
        <w:rPr>
          <w:szCs w:val="24"/>
          <w:lang w:val="hr-HR"/>
        </w:rPr>
        <w:t>za period od 01.01. do 31.12.2014. godine</w:t>
      </w:r>
      <w:r w:rsidRPr="00930FF2">
        <w:rPr>
          <w:i/>
          <w:iCs/>
          <w:szCs w:val="24"/>
          <w:lang w:val="hr-HR"/>
        </w:rPr>
        <w:t xml:space="preserve">, </w:t>
      </w:r>
      <w:r w:rsidRPr="00930FF2">
        <w:rPr>
          <w:szCs w:val="24"/>
        </w:rPr>
        <w:t xml:space="preserve"> </w:t>
      </w:r>
      <w:r w:rsidRPr="00930FF2">
        <w:rPr>
          <w:szCs w:val="24"/>
          <w:lang w:val="hr-HR"/>
        </w:rPr>
        <w:t xml:space="preserve">i drugih izvještaja koje Fond sastavlja, </w:t>
      </w:r>
      <w:r w:rsidRPr="00930FF2">
        <w:rPr>
          <w:szCs w:val="24"/>
        </w:rPr>
        <w:t xml:space="preserve"> </w:t>
      </w:r>
      <w:r w:rsidRPr="00930FF2">
        <w:rPr>
          <w:szCs w:val="24"/>
          <w:lang w:val="hr-HR"/>
        </w:rPr>
        <w:t>a na osnovu</w:t>
      </w:r>
      <w:r w:rsidRPr="00930FF2">
        <w:rPr>
          <w:szCs w:val="24"/>
        </w:rPr>
        <w:t xml:space="preserve"> </w:t>
      </w:r>
      <w:r w:rsidRPr="00930FF2">
        <w:rPr>
          <w:szCs w:val="24"/>
          <w:lang w:val="hr-HR"/>
        </w:rPr>
        <w:t xml:space="preserve"> "</w:t>
      </w:r>
      <w:r w:rsidRPr="00930FF2">
        <w:rPr>
          <w:i/>
          <w:iCs/>
          <w:szCs w:val="24"/>
          <w:lang w:val="hr-HR"/>
        </w:rPr>
        <w:t>Zakona o računovodstvu i reviziji Republike Srpske</w:t>
      </w:r>
      <w:r w:rsidRPr="00930FF2">
        <w:rPr>
          <w:szCs w:val="24"/>
          <w:lang w:val="hr-HR"/>
        </w:rPr>
        <w:t>", Međunarodnih standarda revizije i pratećih propisa koji regulišu ovu oblast</w:t>
      </w:r>
      <w:r w:rsidRPr="00930FF2">
        <w:rPr>
          <w:szCs w:val="24"/>
        </w:rPr>
        <w:t xml:space="preserve">. </w:t>
      </w:r>
      <w:r w:rsidRPr="00930FF2">
        <w:rPr>
          <w:szCs w:val="24"/>
          <w:lang w:val="hr-HR"/>
        </w:rPr>
        <w:t>Bilješke</w:t>
      </w:r>
      <w:r w:rsidRPr="00930FF2">
        <w:rPr>
          <w:szCs w:val="24"/>
        </w:rPr>
        <w:t xml:space="preserve"> </w:t>
      </w:r>
      <w:r w:rsidRPr="00930FF2">
        <w:rPr>
          <w:szCs w:val="24"/>
          <w:lang w:val="hr-HR"/>
        </w:rPr>
        <w:t>- note uz finansijske izvještaje, shodno RS RS 1: Predstavljanje – prezentacija finansijskih izvještaja stavljene su na uvid uz finansijske izvještaje.</w:t>
      </w:r>
    </w:p>
    <w:p w:rsidR="008B2274" w:rsidRPr="00930FF2" w:rsidRDefault="008B2274" w:rsidP="008B2274">
      <w:pPr>
        <w:pStyle w:val="BodyText"/>
        <w:tabs>
          <w:tab w:val="num" w:pos="720"/>
        </w:tabs>
        <w:rPr>
          <w:szCs w:val="24"/>
          <w:lang w:val="sr-Latn-BA"/>
        </w:rPr>
      </w:pPr>
      <w:r w:rsidRPr="00930FF2">
        <w:rPr>
          <w:b/>
          <w:bCs/>
          <w:szCs w:val="24"/>
        </w:rPr>
        <w:t>2.</w:t>
      </w:r>
      <w:r w:rsidRPr="00930FF2">
        <w:rPr>
          <w:szCs w:val="24"/>
        </w:rPr>
        <w:t xml:space="preserve"> Odgovornost za računovodstvene izvještaje i podatke prikazane u njima jeste na  Društvu za upravljanje Fondom. Odgovornost revizora je da na osnovu izvršene revizije izrazi mišljenje o </w:t>
      </w:r>
      <w:r w:rsidRPr="00930FF2">
        <w:rPr>
          <w:szCs w:val="24"/>
        </w:rPr>
        <w:lastRenderedPageBreak/>
        <w:t>prikazanim finansijskim izvještajima. Informacije i objašnjenja koja su tražena u postupku revizije bila su na raspolaganju.</w:t>
      </w:r>
    </w:p>
    <w:p w:rsidR="008B2274" w:rsidRPr="00930FF2" w:rsidRDefault="008B2274" w:rsidP="000D7153">
      <w:pPr>
        <w:pStyle w:val="BodyText"/>
        <w:tabs>
          <w:tab w:val="num" w:pos="720"/>
        </w:tabs>
        <w:rPr>
          <w:szCs w:val="24"/>
          <w:lang w:val="sr-Latn-BA"/>
        </w:rPr>
      </w:pPr>
      <w:r w:rsidRPr="00930FF2">
        <w:rPr>
          <w:b/>
          <w:bCs/>
          <w:szCs w:val="24"/>
        </w:rPr>
        <w:t>3.</w:t>
      </w:r>
      <w:r w:rsidRPr="00930FF2">
        <w:rPr>
          <w:szCs w:val="24"/>
        </w:rPr>
        <w:t xml:space="preserve"> Revizija je izvršena u martu  2015. godine, a u skladu sa </w:t>
      </w:r>
      <w:r w:rsidRPr="00930FF2">
        <w:rPr>
          <w:i/>
          <w:iCs/>
          <w:szCs w:val="24"/>
        </w:rPr>
        <w:t>Međunarodnim standardima revizije</w:t>
      </w:r>
      <w:r w:rsidRPr="00930FF2">
        <w:rPr>
          <w:szCs w:val="24"/>
        </w:rPr>
        <w:t xml:space="preserve"> koji zahtjevaju da se revizija planira i izvrši na način koji omogućava da se u razumnoj mjeri može utvrditi da računovodstveni izvještaji ne sadrže pogrešne, materijalno značajne informacije. Revizija uključuje ispitivanje dokaza na bazi provjere uzoraka kojima se potvrđuju iznosi i informacije objelodanjeni u računovodstvenim izvještajima. Revizija, takođe, uključuje ocjenu primjenjenih računovodstvenih načela i vrednovanje značajnih procjena koje je izvršila Uprava i rukovodstvo Fonda, kao i sveukupnu ocjenu prezentacije računovodstvenih izvještaja.</w:t>
      </w:r>
    </w:p>
    <w:p w:rsidR="008B2274" w:rsidRPr="00930FF2" w:rsidRDefault="008B2274" w:rsidP="008B2274">
      <w:pPr>
        <w:pStyle w:val="BodyText"/>
        <w:tabs>
          <w:tab w:val="num" w:pos="720"/>
        </w:tabs>
        <w:rPr>
          <w:szCs w:val="24"/>
          <w:lang w:val="sr-Latn-BA"/>
        </w:rPr>
      </w:pPr>
      <w:r w:rsidRPr="00930FF2">
        <w:rPr>
          <w:b/>
          <w:bCs/>
          <w:szCs w:val="24"/>
        </w:rPr>
        <w:t>4.</w:t>
      </w:r>
      <w:r w:rsidRPr="00930FF2">
        <w:rPr>
          <w:szCs w:val="24"/>
        </w:rPr>
        <w:t xml:space="preserve"> Smatramo da izvršena revizija obezbjeđuje razumnu osnovu za izražavanje revizorskog mišljenja.</w:t>
      </w:r>
    </w:p>
    <w:p w:rsidR="008B2274" w:rsidRPr="00930FF2" w:rsidRDefault="008B2274" w:rsidP="008B2274">
      <w:pPr>
        <w:pStyle w:val="BodyText"/>
        <w:tabs>
          <w:tab w:val="num" w:pos="720"/>
        </w:tabs>
        <w:rPr>
          <w:bCs/>
          <w:iCs/>
          <w:szCs w:val="24"/>
          <w:lang w:val="sr-Latn-BA"/>
        </w:rPr>
      </w:pPr>
      <w:r w:rsidRPr="00930FF2">
        <w:rPr>
          <w:b/>
          <w:bCs/>
          <w:szCs w:val="24"/>
        </w:rPr>
        <w:t>5.</w:t>
      </w:r>
      <w:r w:rsidRPr="00930FF2">
        <w:rPr>
          <w:szCs w:val="24"/>
        </w:rPr>
        <w:t xml:space="preserve"> Naše je mišljenje da prikazani finansijski izvještaji </w:t>
      </w:r>
      <w:r w:rsidRPr="00930FF2">
        <w:rPr>
          <w:b/>
          <w:bCs/>
          <w:i/>
          <w:iCs/>
          <w:szCs w:val="24"/>
        </w:rPr>
        <w:t>Zatvorenog investicionog fonda sa javnom ponudom "INVEST NOVA FOND" AD Bijeljina</w:t>
      </w:r>
      <w:r w:rsidRPr="00930FF2">
        <w:rPr>
          <w:bCs/>
          <w:iCs/>
          <w:szCs w:val="24"/>
        </w:rPr>
        <w:t xml:space="preserve"> </w:t>
      </w:r>
      <w:r w:rsidRPr="00930FF2">
        <w:rPr>
          <w:bCs/>
          <w:szCs w:val="24"/>
        </w:rPr>
        <w:t xml:space="preserve"> </w:t>
      </w:r>
      <w:r w:rsidRPr="00930FF2">
        <w:rPr>
          <w:szCs w:val="24"/>
        </w:rPr>
        <w:t xml:space="preserve">za 2014. godinu u svim materijalno značajnim aspektima </w:t>
      </w:r>
      <w:r w:rsidRPr="00930FF2">
        <w:rPr>
          <w:bCs/>
          <w:iCs/>
          <w:szCs w:val="24"/>
        </w:rPr>
        <w:t>predstavljaju realno i objektivno finansijsko stanje Fonda na dan 31.12.2014. godine i rezultate poslovanja za period koji se završava 31.12.2014. godine, te da su u postupku sačinjavanja finansijskih izvještaja primjenjena propisana rješenja i standardi u mjeri u kojoj se obezbjeđuje da oni  ne sadrže materijalno značajne pogreške.</w:t>
      </w:r>
    </w:p>
    <w:p w:rsidR="008B2274" w:rsidRPr="00930FF2" w:rsidRDefault="008B2274" w:rsidP="008B2274">
      <w:pPr>
        <w:pStyle w:val="BodyText"/>
        <w:rPr>
          <w:b/>
          <w:bCs/>
          <w:szCs w:val="24"/>
        </w:rPr>
      </w:pPr>
      <w:r w:rsidRPr="00930FF2">
        <w:rPr>
          <w:b/>
          <w:bCs/>
          <w:szCs w:val="24"/>
        </w:rPr>
        <w:t>6.</w:t>
      </w:r>
      <w:r w:rsidRPr="00930FF2">
        <w:rPr>
          <w:szCs w:val="24"/>
        </w:rPr>
        <w:t xml:space="preserve"> Informacije koje su na kraju  Izvještaja o reviziji prezentovane kao </w:t>
      </w:r>
      <w:r w:rsidRPr="00930FF2">
        <w:rPr>
          <w:i/>
          <w:iCs/>
          <w:szCs w:val="24"/>
        </w:rPr>
        <w:t>Napomene uz finansijski izvještaj</w:t>
      </w:r>
      <w:r w:rsidRPr="00930FF2">
        <w:rPr>
          <w:szCs w:val="24"/>
        </w:rPr>
        <w:t xml:space="preserve"> date su u svrhu dodatnih analiza i objašnjenja i svaka od njih odnosi se na pojedinačna pitanja. Date informacije bile su predmet pažnje u postupku revizije finansijskih izvještaja i primjenjenih revizorskih procedura i, po našem mišljenju, objektivno prezentuju, u materijalno značajnim aspektima, vezu sa finansijskim izvještajima posmatrano u cjelini.</w:t>
      </w:r>
    </w:p>
    <w:p w:rsidR="008B2274" w:rsidRPr="00930FF2" w:rsidRDefault="008B2274" w:rsidP="008B2274">
      <w:pPr>
        <w:pStyle w:val="BodyText"/>
        <w:rPr>
          <w:b/>
          <w:bCs/>
          <w:szCs w:val="24"/>
          <w:lang w:val="sr-Latn-BA"/>
        </w:rPr>
      </w:pPr>
    </w:p>
    <w:p w:rsidR="008B2274" w:rsidRPr="00930FF2" w:rsidRDefault="008B2274" w:rsidP="008B2274">
      <w:pPr>
        <w:pStyle w:val="BodyText"/>
        <w:rPr>
          <w:szCs w:val="24"/>
        </w:rPr>
      </w:pPr>
      <w:r w:rsidRPr="00930FF2">
        <w:rPr>
          <w:szCs w:val="24"/>
        </w:rPr>
        <w:t>U Bijeljini, 28 mart 2014. godine</w:t>
      </w:r>
    </w:p>
    <w:p w:rsidR="008B2274" w:rsidRPr="00930FF2" w:rsidRDefault="008B2274" w:rsidP="008B2274">
      <w:pPr>
        <w:pStyle w:val="BodyText"/>
        <w:jc w:val="left"/>
        <w:rPr>
          <w:szCs w:val="24"/>
          <w:lang w:val="sr-Latn-BA"/>
        </w:rPr>
      </w:pPr>
      <w:r w:rsidRPr="00930FF2">
        <w:rPr>
          <w:szCs w:val="24"/>
        </w:rPr>
        <w:t>Ovlašteni revizor:</w:t>
      </w:r>
      <w:r w:rsidRPr="00930FF2">
        <w:rPr>
          <w:szCs w:val="24"/>
          <w:lang w:val="sr-Latn-BA"/>
        </w:rPr>
        <w:t xml:space="preserve"> </w:t>
      </w:r>
      <w:r w:rsidRPr="00930FF2">
        <w:rPr>
          <w:szCs w:val="24"/>
        </w:rPr>
        <w:t>Prof. dr Rajko RADOVIĆ</w:t>
      </w:r>
    </w:p>
    <w:p w:rsidR="000D7153" w:rsidRPr="00930FF2" w:rsidRDefault="008B2274" w:rsidP="000D7153">
      <w:pPr>
        <w:pStyle w:val="BodyText"/>
        <w:jc w:val="left"/>
        <w:rPr>
          <w:szCs w:val="24"/>
          <w:lang w:val="sr-Latn-BA"/>
        </w:rPr>
      </w:pPr>
      <w:r w:rsidRPr="00930FF2">
        <w:rPr>
          <w:szCs w:val="24"/>
        </w:rPr>
        <w:t>Redni broj licence: 429/14</w:t>
      </w:r>
    </w:p>
    <w:p w:rsidR="00C17390" w:rsidRPr="00930FF2" w:rsidRDefault="008B2274" w:rsidP="00B5457E">
      <w:pPr>
        <w:pStyle w:val="BodyText"/>
        <w:jc w:val="left"/>
        <w:rPr>
          <w:lang w:val="sr-Latn-BA"/>
        </w:rPr>
      </w:pPr>
      <w:r w:rsidRPr="00930FF2">
        <w:rPr>
          <w:color w:val="0000FF"/>
          <w:szCs w:val="24"/>
        </w:rPr>
        <w:t xml:space="preserve">                                                                                      </w:t>
      </w:r>
      <w:r w:rsidRPr="00930FF2">
        <w:rPr>
          <w:szCs w:val="24"/>
        </w:rPr>
        <w:t xml:space="preserve">                                                            </w:t>
      </w:r>
      <w:r w:rsidR="000D7153" w:rsidRPr="00930FF2">
        <w:rPr>
          <w:szCs w:val="24"/>
        </w:rPr>
        <w:t xml:space="preserve">                           </w:t>
      </w:r>
    </w:p>
    <w:p w:rsidR="00D05C12" w:rsidRPr="00930FF2" w:rsidRDefault="00D05C12" w:rsidP="00D05C12">
      <w:pPr>
        <w:ind w:left="0"/>
        <w:contextualSpacing/>
        <w:jc w:val="left"/>
      </w:pPr>
      <w:r w:rsidRPr="00930FF2">
        <w:t>(2015)</w:t>
      </w:r>
    </w:p>
    <w:p w:rsidR="000D7153" w:rsidRPr="00930FF2" w:rsidRDefault="000D7153" w:rsidP="000D7153">
      <w:pPr>
        <w:ind w:left="0"/>
        <w:contextualSpacing/>
        <w:jc w:val="left"/>
      </w:pPr>
      <w:r w:rsidRPr="00930FF2">
        <w:t xml:space="preserve">Bilans stanja investicionog fonda – izvještaj o finansijskom položaju fonda </w:t>
      </w:r>
    </w:p>
    <w:p w:rsidR="000D7153" w:rsidRPr="00930FF2" w:rsidRDefault="000D7153" w:rsidP="000D7153">
      <w:pPr>
        <w:ind w:left="0"/>
        <w:contextualSpacing/>
        <w:jc w:val="left"/>
        <w:rPr>
          <w:color w:val="FF0000"/>
        </w:rPr>
      </w:pPr>
      <w:r w:rsidRPr="00930FF2">
        <w:t>na dan 31.12.2015. godine</w:t>
      </w:r>
      <w:r w:rsidRPr="00930FF2">
        <w:rPr>
          <w:color w:val="FF0000"/>
        </w:rPr>
        <w:t xml:space="preserve"> </w:t>
      </w:r>
    </w:p>
    <w:tbl>
      <w:tblPr>
        <w:tblW w:w="10012" w:type="dxa"/>
        <w:tblInd w:w="93" w:type="dxa"/>
        <w:tblLook w:val="04A0"/>
      </w:tblPr>
      <w:tblGrid>
        <w:gridCol w:w="1431"/>
        <w:gridCol w:w="5040"/>
        <w:gridCol w:w="680"/>
        <w:gridCol w:w="1600"/>
        <w:gridCol w:w="1460"/>
      </w:tblGrid>
      <w:tr w:rsidR="000D7153" w:rsidRPr="00930FF2" w:rsidTr="000D7153">
        <w:trPr>
          <w:trHeight w:val="255"/>
        </w:trPr>
        <w:tc>
          <w:tcPr>
            <w:tcW w:w="1232"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0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p>
        </w:tc>
        <w:tc>
          <w:tcPr>
            <w:tcW w:w="680" w:type="dxa"/>
            <w:tcBorders>
              <w:top w:val="nil"/>
              <w:left w:val="nil"/>
              <w:bottom w:val="nil"/>
              <w:right w:val="nil"/>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p>
        </w:tc>
        <w:tc>
          <w:tcPr>
            <w:tcW w:w="1600" w:type="dxa"/>
            <w:tcBorders>
              <w:top w:val="nil"/>
              <w:left w:val="nil"/>
              <w:bottom w:val="nil"/>
              <w:right w:val="nil"/>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p>
        </w:tc>
        <w:tc>
          <w:tcPr>
            <w:tcW w:w="1460" w:type="dxa"/>
            <w:tcBorders>
              <w:top w:val="nil"/>
              <w:left w:val="nil"/>
              <w:bottom w:val="nil"/>
              <w:right w:val="nil"/>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(iznos u KM)</w:t>
            </w:r>
          </w:p>
        </w:tc>
      </w:tr>
      <w:tr w:rsidR="000D7153" w:rsidRPr="00930FF2" w:rsidTr="000D7153">
        <w:trPr>
          <w:trHeight w:val="45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Grupa računa</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Pozicija</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AOP</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Tekuća godina</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Prethodna godina korigovana</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0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160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w:t>
            </w:r>
          </w:p>
        </w:tc>
        <w:tc>
          <w:tcPr>
            <w:tcW w:w="14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A. UKUPNA IMOVINA (002+003+010+018+019)</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26.957.243</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31.934.924</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100 do 102</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 Gotovina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002</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510.154</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329.776</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 Ulaganja fonda (004 do 009)</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003</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26.434.612</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31.591.536</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200 do 205</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Ulaganja fonda u finansijska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004</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15.410.131</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15.891.795</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210 do 215</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Ulaganja fonda u finansijska sredstva raspoloživa za prodaju</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005</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11.024.481</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15.699.741</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220 do 225</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Ulaganja fonda u finansijska sredstva koja se drži do roka dospijeća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006</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230 do 235</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Depoziti i plasmani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007</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240 do 249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Ulaganja u nekretnine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008</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lastRenderedPageBreak/>
              <w:t>250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Ostala ulaganja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009</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III - Potraživanja (011 do 017)</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010</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Potraživanja po osnovu prodaje HOV</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011</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Potraživanja po osnovu prodaje nekretnina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012</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302</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Potraživanja po osnovu kamata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013</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Potraživanja po osnovu dividendi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014</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304</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Potraživanja po osnovu datih avansa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015</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Ostala potraživanja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016</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310 do 312</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7. Potraživanja od društva za upravljanje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017</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320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IV - Odložena poreska sredstva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018</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AVR</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019</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12.477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13.612</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B. OBAVEZA (021+025+030+031+034+037+038+039)</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020</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1.945.767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1.884.942</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 Obaveze iz poslovanja fonda (022 do 024)</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1.982</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400,401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Obaveze po osnovu ulaganja u HOV</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022</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1.982</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Obaveze po osnovu ulaganja u nekretnine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023</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404</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Ostale obaveze iz poslovanja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024</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-Obaveze po osnovu troškova poslovanja (026 do 030)</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025</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12.718</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14.844</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Obaveze prema banci depozitaru</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026</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1.000</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2.750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414</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Obaveze za učešće u dobitku</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027</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415</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Obaveze za porez na dobit</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028</w:t>
            </w:r>
          </w:p>
        </w:tc>
        <w:tc>
          <w:tcPr>
            <w:tcW w:w="160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411,412,413,419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Ostale obaveze iz poslovanja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029</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11.718</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12.094</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420 do 429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III- Obaveze prema društvu za upravljanje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030</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1.784.222</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1.861.636</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IV-Kratkoročne finansijske obaveze (032+033)</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Kratkoročni krediti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032</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431,439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Ostale kratkoročne fiinansijske obaveze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033</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44</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Dugoročne obaveze (035+036)</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034</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440,441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Dugoročni krediti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035</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449</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Ostale dugoročne obaveze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036</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450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 - Ostale obaveze fonda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037</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460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VII- Odložene poreske obaveze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038</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47</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VIII- PVR</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039</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146.845</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8.462</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NETO IMOVINA FONDA (001-020)</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040</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25.011.476</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G. KAPITAL (042+045+048+053+054-057</w:t>
            </w:r>
            <w:r w:rsidRPr="00930FF2">
              <w:rPr>
                <w:rFonts w:eastAsia="Times New Roman"/>
                <w:b/>
                <w:bCs/>
                <w:sz w:val="18"/>
                <w:szCs w:val="18"/>
                <w:u w:val="single"/>
              </w:rPr>
              <w:t>+</w:t>
            </w:r>
            <w:r w:rsidRPr="00930FF2">
              <w:rPr>
                <w:rFonts w:eastAsia="Times New Roman"/>
                <w:b/>
                <w:bCs/>
                <w:sz w:val="18"/>
                <w:szCs w:val="18"/>
              </w:rPr>
              <w:t xml:space="preserve"> 060)</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25.011.476</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 Osnovni kapital (043+044)</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042</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Akcijsi kapital-redovne akcije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043</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512</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Udjeli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044</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52</w:t>
            </w:r>
          </w:p>
        </w:tc>
        <w:tc>
          <w:tcPr>
            <w:tcW w:w="5040" w:type="dxa"/>
            <w:tcBorders>
              <w:top w:val="nil"/>
              <w:left w:val="nil"/>
              <w:bottom w:val="nil"/>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Kapitalne rezerve (046+047)</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045</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2.619.595</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2.619.595</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520</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Emisiona premija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046</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521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Ostale kapitalne rezerve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047</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2.619.595</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2.619.595</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III- Revalorizacione rezerve (049 do 052)</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048</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-45.888.357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-42.626.279</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530</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Revalorizacione rezerve po osnovu revalorizacije finansijskih sred. raspoloživih za prodaju</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049</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-45.888.357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-42.626.279</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531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Revalorizacione rezerve po osnovu instrumenata zaštite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050</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533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Revalorizacione rezerve po osnovu revalorizacije nekretnina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533</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xml:space="preserve">4. Ostale revalorizacione rezerve </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052</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54</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IV - Rezerve iz dobiti</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053</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lastRenderedPageBreak/>
              <w:t>55</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Neraspoređena dobi (055+056)</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054</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550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Neraspoređeni dobitak ranijih godina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055</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551</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Neraspoređeni dobitak tekuće godine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056</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56</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 - Nepokriveni gubitak (058+059)</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057</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103.818.590</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103.223.288</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560</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Nepokriveni gubitak ranijih godina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058</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103.223.288</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94.999.907</w:t>
            </w:r>
          </w:p>
        </w:tc>
      </w:tr>
      <w:tr w:rsidR="000D7153" w:rsidRPr="00930FF2" w:rsidTr="000D7153">
        <w:trPr>
          <w:trHeight w:val="255"/>
        </w:trPr>
        <w:tc>
          <w:tcPr>
            <w:tcW w:w="1232" w:type="dxa"/>
            <w:tcBorders>
              <w:top w:val="nil"/>
              <w:left w:val="single" w:sz="4" w:space="0" w:color="auto"/>
              <w:bottom w:val="nil"/>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561</w:t>
            </w:r>
          </w:p>
        </w:tc>
        <w:tc>
          <w:tcPr>
            <w:tcW w:w="5040" w:type="dxa"/>
            <w:tcBorders>
              <w:top w:val="nil"/>
              <w:left w:val="nil"/>
              <w:bottom w:val="nil"/>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Nepokriveni gubitak tekuće godine</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059</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595.302</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8.223.381</w:t>
            </w:r>
          </w:p>
        </w:tc>
      </w:tr>
      <w:tr w:rsidR="000D7153" w:rsidRPr="00930FF2" w:rsidTr="000D7153">
        <w:trPr>
          <w:trHeight w:val="255"/>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57</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VII-Nerealizovani dobitak/gubitak (061+062)</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060</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-15.092.459</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-13.911.333</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570</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Nerealizovani dobici po osnovu finansijskih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061</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571</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Nerealizovani gubici  po osnovu finansijskih sredstva po fer vrijednosti kroz bilans uspjeha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062</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-15.092.459</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-13.911.333</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D. BROJ EMITOVANIH AKCIJA/UDJELA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063</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Đ. NETO IMOVINA PO UDJELU/AKCIJI (040/063)</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064</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0,13</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w:t>
            </w:r>
          </w:p>
        </w:tc>
      </w:tr>
      <w:tr w:rsidR="000D7153" w:rsidRPr="00930FF2" w:rsidTr="000D7153">
        <w:trPr>
          <w:trHeight w:val="45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xml:space="preserve">E. VANBILANSNE EVIDENCIJE                                                                                              </w:t>
            </w:r>
            <w:r w:rsidRPr="00930FF2">
              <w:rPr>
                <w:rFonts w:eastAsia="Times New Roman"/>
                <w:sz w:val="18"/>
                <w:szCs w:val="18"/>
              </w:rPr>
              <w:t xml:space="preserve"> 1. Vanbilansna aktiva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065</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50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Vanbilansna pasiva</w:t>
            </w:r>
          </w:p>
        </w:tc>
        <w:tc>
          <w:tcPr>
            <w:tcW w:w="6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066</w:t>
            </w:r>
          </w:p>
        </w:tc>
        <w:tc>
          <w:tcPr>
            <w:tcW w:w="16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bl>
    <w:p w:rsidR="000D7153" w:rsidRPr="00930FF2" w:rsidRDefault="000D7153" w:rsidP="000D7153">
      <w:pPr>
        <w:ind w:left="0"/>
        <w:contextualSpacing/>
        <w:jc w:val="left"/>
        <w:rPr>
          <w:color w:val="FF0000"/>
          <w:sz w:val="18"/>
          <w:szCs w:val="18"/>
        </w:rPr>
      </w:pPr>
    </w:p>
    <w:p w:rsidR="000D7153" w:rsidRPr="00930FF2" w:rsidRDefault="00D05C12" w:rsidP="000D7153">
      <w:pPr>
        <w:ind w:left="0"/>
        <w:contextualSpacing/>
        <w:jc w:val="left"/>
      </w:pPr>
      <w:r w:rsidRPr="00930FF2">
        <w:t>Bilans uspjeha</w:t>
      </w:r>
      <w:r w:rsidR="000D7153" w:rsidRPr="00930FF2">
        <w:t xml:space="preserve"> – izvještaj o ukupnom rezultatu u periodu </w:t>
      </w:r>
    </w:p>
    <w:p w:rsidR="00D05C12" w:rsidRPr="00930FF2" w:rsidRDefault="000D7153" w:rsidP="000D7153">
      <w:pPr>
        <w:ind w:left="0"/>
        <w:contextualSpacing/>
        <w:jc w:val="left"/>
      </w:pPr>
      <w:r w:rsidRPr="00930FF2">
        <w:t>od 01.01.2015. godine do 31.12.2015. godine</w:t>
      </w:r>
    </w:p>
    <w:tbl>
      <w:tblPr>
        <w:tblW w:w="9020" w:type="dxa"/>
        <w:tblInd w:w="93" w:type="dxa"/>
        <w:tblLook w:val="04A0"/>
      </w:tblPr>
      <w:tblGrid>
        <w:gridCol w:w="846"/>
        <w:gridCol w:w="5200"/>
        <w:gridCol w:w="580"/>
        <w:gridCol w:w="1280"/>
        <w:gridCol w:w="1260"/>
      </w:tblGrid>
      <w:tr w:rsidR="000D7153" w:rsidRPr="00930FF2" w:rsidTr="000D7153">
        <w:trPr>
          <w:trHeight w:val="255"/>
        </w:trPr>
        <w:tc>
          <w:tcPr>
            <w:tcW w:w="70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20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8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28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26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(iznos u KM)</w:t>
            </w:r>
          </w:p>
        </w:tc>
      </w:tr>
      <w:tr w:rsidR="000D7153" w:rsidRPr="00930FF2" w:rsidTr="000D7153">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Grupa računa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Naziv pozicije</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AOP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Tekuća godina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Prethodna godina</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20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12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A. REALIZOVANI PRIHODI I RASHODI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201</w:t>
            </w:r>
          </w:p>
        </w:tc>
        <w:tc>
          <w:tcPr>
            <w:tcW w:w="12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 Poslovni prihodi (203 do 206)</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202</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1.487.647</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962.781</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700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Prihodi od dividendi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203</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1.206.445</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738.090</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701, 702</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Prihodi od kamata i amortizacije premije (diskonta) po osnovu HOV sa fiksnim rokom dospijeća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204</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281.202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224.691</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703</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Prihodi od zakupa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205</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709</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Ostali poslovni prihodi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206</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 Realizovani dobitak (208 do 211)</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207</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9.979</w:t>
            </w:r>
          </w:p>
        </w:tc>
        <w:tc>
          <w:tcPr>
            <w:tcW w:w="12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12.383</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710</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Realizovani dobici po osnovu prodaje hartija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208</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9.979</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12.383</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711</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xml:space="preserve">2. Realizovani dobitak po osnovu kursnih razlika </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209</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712</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Realizovani dobici po osnovu prodaje nekretnina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719</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Ostali realizovani dobici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211</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73</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III- Poslovni rashodi (213 do 219)</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212</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527.591</w:t>
            </w:r>
          </w:p>
        </w:tc>
        <w:tc>
          <w:tcPr>
            <w:tcW w:w="126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692.209</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Naknada društvu za upravljanje</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213</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442.824</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598.901</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601</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Troškovi kupovine i prodaje ulaganja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214</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2.865</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3.712</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602</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Rashodi po osnovu kamata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215</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603</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Naknada članovima Nadzornog odbora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216</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31.841</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31.841</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605</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Naknada banci depozitaru</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217</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26.092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33.338</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607</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Rashodi po osnovu poreza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218</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604,606, 609</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7. Ostali poslovni rashodi fonda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219</w:t>
            </w:r>
          </w:p>
        </w:tc>
        <w:tc>
          <w:tcPr>
            <w:tcW w:w="1280" w:type="dxa"/>
            <w:tcBorders>
              <w:top w:val="nil"/>
              <w:left w:val="nil"/>
              <w:bottom w:val="single" w:sz="4" w:space="0" w:color="auto"/>
              <w:right w:val="single" w:sz="4" w:space="0" w:color="auto"/>
            </w:tcBorders>
            <w:shd w:val="clear" w:color="000000" w:fill="FFFFFF"/>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23.969</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24.417</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IV - Realizovani gubitak (221 do 224)</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1.565.337</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8.506.354</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610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Realizovani gubici na prodaji hartija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221</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1.565.337</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8.506.354</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611</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xml:space="preserve">2. Realizovani gubitak po osnovu kursnih razlika </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222</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612</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Realizovani gubici po osnovu prodaje nekretnina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223</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619</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Ostali realizovani gubici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224</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lastRenderedPageBreak/>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REALIZOVANI DOBITAK I GUBITAK</w:t>
            </w:r>
            <w:r w:rsidRPr="00930FF2">
              <w:rPr>
                <w:rFonts w:eastAsia="Times New Roman"/>
                <w:sz w:val="18"/>
                <w:szCs w:val="18"/>
              </w:rPr>
              <w:t xml:space="preserve">                                                                        1. Realizovani dobitak (202+207-212-220)</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225</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Realizovani gubitak (212+220-202-207)</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226</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595.302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8.223.399</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 Finansijski prihodi (228+229)</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227</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730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Prihodi od kamata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228</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731</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Ostali finansijski prihodi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229</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VII- Finansijski rashodi (231+232)</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630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Rashodi po osnovu kamata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231</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631</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Ostali finansijski rashodi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232</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xml:space="preserve">B. REALIZOVANI DOBITAK I GUBITAK PRIJE OPOREZIVANJA                                                                      </w:t>
            </w:r>
            <w:r w:rsidRPr="00930FF2">
              <w:rPr>
                <w:rFonts w:eastAsia="Times New Roman"/>
                <w:sz w:val="18"/>
                <w:szCs w:val="18"/>
              </w:rPr>
              <w:t>1. Realizovani dobitak prije oporezivanja (225+227-230)</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233</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Realizovani gubitak prije oporezivanja (226+230-227)</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234</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595.302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8.223.381</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TEKUĆI I ODLOŽENI POREZ NA DOBIT</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235</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821</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Poreski rashod perioda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236</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Odloženi poreski rashod perioda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237</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Odloženi poreski prihod perioda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238</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xml:space="preserve">G. REALIZOVANI DOBITAK I GUBITAK POSLIJE OPOREZIVANJA                       </w:t>
            </w:r>
            <w:r w:rsidRPr="00930FF2">
              <w:rPr>
                <w:rFonts w:eastAsia="Times New Roman"/>
                <w:sz w:val="18"/>
                <w:szCs w:val="18"/>
              </w:rPr>
              <w:t xml:space="preserve">                                                   1. Realizovani dobitak poslije oporezivanja (233-234-236-237+238)</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239</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Realizovani gubitak poslije oporezivanja (234-233+236+237-238)</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595.302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8.223.381</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D. NEREALIZOVANI DOBICI I GUBICI                                                         I-Nerealizovani dobici (242 do 247)</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241</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2.627.433</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4.553.424</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720</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Nerealizovani dobici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242</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2.627.433</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4.553.424</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721</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Nerealizovani dobici po osnovu kursnih razlika na monetarnim sredstvima, osim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243</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722</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Nerealizovani dobici po osnovu kursnih razlika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244</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723</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Nerealizovani dobici po osnovu derivatnih instrumenata zaštite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245</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724</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Nerealizovani dobici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246</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729</w:t>
            </w:r>
          </w:p>
        </w:tc>
        <w:tc>
          <w:tcPr>
            <w:tcW w:w="520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Ostali nerealizovani dobici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247</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Nerealizovani gubici (249do 254)</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248</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3.807.605</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5.017.537</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620</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Nerealizovani gubici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249</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3.807.605</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5.017.537</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621</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Nerealizovani gubici po osnovu kursnih razlika na monetarnim sredstvima, osim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622</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Nerealizovani gubcii po osnovu kursnih razlika na hartijama od vrijednosti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251</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623</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Nerealizovani gubici po osnovu derivatnih instrumenata zaštite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252</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624</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Nerealizovani gubici na nekretninama</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253</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629</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Ostali nerealizovani gubici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254</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Đ. UKUPNI NEREALIZOVANI DOBICI (GUBICI) FONDA</w:t>
            </w:r>
            <w:r w:rsidRPr="00930FF2">
              <w:rPr>
                <w:rFonts w:eastAsia="Times New Roman"/>
                <w:sz w:val="18"/>
                <w:szCs w:val="18"/>
              </w:rPr>
              <w:t xml:space="preserve">                                                                                                                 1. Ukupni nerealizovani dobitak (241-248)</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255</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Ukupni nerealizovani gubitak (248-241)</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256</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1.180.172</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464.113</w:t>
            </w:r>
          </w:p>
        </w:tc>
      </w:tr>
      <w:tr w:rsidR="000D7153" w:rsidRPr="00930FF2" w:rsidTr="000D7153">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xml:space="preserve">E. POVEĆANJE (SMANJENJE) NETO IMOVINE OD POSLOVANJA FONDA                                                                                                                              </w:t>
            </w:r>
            <w:r w:rsidRPr="00930FF2">
              <w:rPr>
                <w:rFonts w:eastAsia="Times New Roman"/>
                <w:sz w:val="18"/>
                <w:szCs w:val="18"/>
              </w:rPr>
              <w:t>1. Povećanje neto imovine fonda (239-240+255-256)</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257</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Smanjenje neto imovine fonda (240-239+256-255)</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258</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1.775.474</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8.687.494</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Obična zarada po akciji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259</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 </w:t>
            </w:r>
          </w:p>
        </w:tc>
        <w:tc>
          <w:tcPr>
            <w:tcW w:w="520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Razrijeđena zarada po akciji</w:t>
            </w:r>
          </w:p>
        </w:tc>
        <w:tc>
          <w:tcPr>
            <w:tcW w:w="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260</w:t>
            </w:r>
          </w:p>
        </w:tc>
        <w:tc>
          <w:tcPr>
            <w:tcW w:w="12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bl>
    <w:p w:rsidR="000D7153" w:rsidRPr="00930FF2" w:rsidRDefault="000D7153" w:rsidP="000D7153">
      <w:pPr>
        <w:ind w:left="0"/>
        <w:contextualSpacing/>
        <w:jc w:val="left"/>
        <w:rPr>
          <w:color w:val="FF0000"/>
        </w:rPr>
      </w:pPr>
    </w:p>
    <w:p w:rsidR="00D05C12" w:rsidRPr="00930FF2" w:rsidRDefault="00D05C12" w:rsidP="00D05C12">
      <w:pPr>
        <w:ind w:left="0"/>
        <w:contextualSpacing/>
        <w:jc w:val="left"/>
      </w:pPr>
      <w:r w:rsidRPr="00930FF2">
        <w:lastRenderedPageBreak/>
        <w:t>Bilans tokova gotovine</w:t>
      </w:r>
      <w:r w:rsidR="000D7153" w:rsidRPr="00930FF2">
        <w:t xml:space="preserve"> – izvještaj o tokovima gotovine </w:t>
      </w:r>
    </w:p>
    <w:p w:rsidR="000D7153" w:rsidRPr="00930FF2" w:rsidRDefault="000D7153" w:rsidP="00D05C12">
      <w:pPr>
        <w:ind w:left="0"/>
        <w:contextualSpacing/>
        <w:jc w:val="left"/>
      </w:pPr>
      <w:r w:rsidRPr="00930FF2">
        <w:t>za period od 01.01.2015. godine do 31.12.2015. godine</w:t>
      </w:r>
    </w:p>
    <w:tbl>
      <w:tblPr>
        <w:tblW w:w="8180" w:type="dxa"/>
        <w:tblInd w:w="93" w:type="dxa"/>
        <w:tblLook w:val="04A0"/>
      </w:tblPr>
      <w:tblGrid>
        <w:gridCol w:w="4600"/>
        <w:gridCol w:w="760"/>
        <w:gridCol w:w="940"/>
        <w:gridCol w:w="1026"/>
        <w:gridCol w:w="960"/>
      </w:tblGrid>
      <w:tr w:rsidR="000D7153" w:rsidRPr="00930FF2" w:rsidTr="000D7153">
        <w:trPr>
          <w:trHeight w:val="255"/>
        </w:trPr>
        <w:tc>
          <w:tcPr>
            <w:tcW w:w="4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Opis</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AOP</w:t>
            </w:r>
          </w:p>
        </w:tc>
        <w:tc>
          <w:tcPr>
            <w:tcW w:w="186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Iznos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Indeks</w:t>
            </w:r>
          </w:p>
        </w:tc>
      </w:tr>
      <w:tr w:rsidR="000D7153" w:rsidRPr="00930FF2" w:rsidTr="000D7153">
        <w:trPr>
          <w:trHeight w:val="450"/>
        </w:trPr>
        <w:tc>
          <w:tcPr>
            <w:tcW w:w="4600" w:type="dxa"/>
            <w:vMerge/>
            <w:tcBorders>
              <w:top w:val="single" w:sz="4" w:space="0" w:color="auto"/>
              <w:left w:val="single" w:sz="4" w:space="0" w:color="auto"/>
              <w:bottom w:val="single" w:sz="4" w:space="0" w:color="auto"/>
              <w:right w:val="single" w:sz="4" w:space="0" w:color="auto"/>
            </w:tcBorders>
            <w:vAlign w:val="center"/>
            <w:hideMark/>
          </w:tcPr>
          <w:p w:rsidR="000D7153" w:rsidRPr="00930FF2" w:rsidRDefault="000D7153" w:rsidP="000D7153">
            <w:pPr>
              <w:ind w:left="0" w:firstLine="0"/>
              <w:jc w:val="left"/>
              <w:rPr>
                <w:rFonts w:eastAsia="Times New Roman"/>
                <w:b/>
                <w:bCs/>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D7153" w:rsidRPr="00930FF2" w:rsidRDefault="000D7153" w:rsidP="000D7153">
            <w:pPr>
              <w:ind w:left="0" w:firstLine="0"/>
              <w:jc w:val="left"/>
              <w:rPr>
                <w:rFonts w:eastAsia="Times New Roman"/>
                <w:b/>
                <w:bCs/>
                <w:sz w:val="18"/>
                <w:szCs w:val="18"/>
              </w:rPr>
            </w:pPr>
          </w:p>
        </w:tc>
        <w:tc>
          <w:tcPr>
            <w:tcW w:w="940" w:type="dxa"/>
            <w:tcBorders>
              <w:top w:val="nil"/>
              <w:left w:val="nil"/>
              <w:bottom w:val="single" w:sz="4" w:space="0" w:color="auto"/>
              <w:right w:val="single" w:sz="4" w:space="0" w:color="auto"/>
            </w:tcBorders>
            <w:shd w:val="clear" w:color="000000" w:fill="C0C0C0"/>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Tekuća godina</w:t>
            </w:r>
          </w:p>
        </w:tc>
        <w:tc>
          <w:tcPr>
            <w:tcW w:w="920" w:type="dxa"/>
            <w:tcBorders>
              <w:top w:val="nil"/>
              <w:left w:val="nil"/>
              <w:bottom w:val="single" w:sz="4" w:space="0" w:color="auto"/>
              <w:right w:val="single" w:sz="4" w:space="0" w:color="auto"/>
            </w:tcBorders>
            <w:shd w:val="clear" w:color="000000" w:fill="C0C0C0"/>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Prethodna godina</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D7153" w:rsidRPr="00930FF2" w:rsidRDefault="000D7153" w:rsidP="000D7153">
            <w:pPr>
              <w:ind w:left="0" w:firstLine="0"/>
              <w:jc w:val="left"/>
              <w:rPr>
                <w:rFonts w:eastAsia="Times New Roman"/>
                <w:b/>
                <w:bCs/>
                <w:sz w:val="18"/>
                <w:szCs w:val="18"/>
              </w:rPr>
            </w:pP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9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92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r>
      <w:tr w:rsidR="000D7153" w:rsidRPr="00930FF2" w:rsidTr="000D7153">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A. Novčani tokovi iz poslovnih aktivnosti</w:t>
            </w:r>
            <w:r w:rsidRPr="00930FF2">
              <w:rPr>
                <w:rFonts w:eastAsia="Times New Roman"/>
                <w:sz w:val="18"/>
                <w:szCs w:val="18"/>
              </w:rPr>
              <w:t xml:space="preserve">                                      I- Prilivi gotovine iz poslovnih aktivnosti (402 do 406)</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401</w:t>
            </w:r>
          </w:p>
        </w:tc>
        <w:tc>
          <w:tcPr>
            <w:tcW w:w="9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1.906.914</w:t>
            </w:r>
          </w:p>
        </w:tc>
        <w:tc>
          <w:tcPr>
            <w:tcW w:w="92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1.319.197</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1,45</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Prilivi po osnovu prodaje ulaganja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402</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189.651</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190.130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1,00</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xml:space="preserve">2. Prilivi po osnovu dividende </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403</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1.170.213</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724.328</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9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Prilivi po osnovu kamata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404</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281.202</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224.692</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1,25</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Prilivi po osnovu refundiranja rashoda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405</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Ostali prilivi od operativnih aktivnosti</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406</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265.848</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180.047</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61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 Odlivi gotovine iz operativnih aktivnosti (408 do 418)</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407</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1.726.536</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1.860.324</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0,93</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Odlivi po osnovu kupovine ulaganja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408</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Odlivi po osnovu ulaganja u HOV</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409</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1.119.410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1.268.365</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0,88</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Odlivi po osnovu ostalih ulaganja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410</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Odlivi po osnovu naknada društvu za upravljanje</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411</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520.238</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496.000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1,05</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5. Odlivi po osnovu rashoda za kamate</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412</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6. Odlivi po osnovu troškova kupovine i prodaje HOV</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413</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2.834</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4.196</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0,68</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7. Odlivi po osnovu naknade eksternom revizoru</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414</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1.755</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8. Odlivi po osnovu troškova banke depozitara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415</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27.842</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33.555</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0,83</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9. Odlivi po osnovu ostalih rashoda iz operativne aktivnosti</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416</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54.457</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58.208</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0,94</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10. Odlivi po osnovu poreza na dobit</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417</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11. Odlivi po osnovu ostalih rashoda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418</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7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III Neto priliv gotovine iz poslovnih aktivnosti (401-407)</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419</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180.378</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0,00</w:t>
            </w:r>
          </w:p>
        </w:tc>
      </w:tr>
      <w:tr w:rsidR="000D7153" w:rsidRPr="00930FF2" w:rsidTr="000D7153">
        <w:trPr>
          <w:trHeight w:val="28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IV Neto odliv gotovine iz poslovnih aktivnosti (407-401)</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420</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541.127</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0,00</w:t>
            </w:r>
          </w:p>
        </w:tc>
      </w:tr>
      <w:tr w:rsidR="000D7153" w:rsidRPr="00930FF2" w:rsidTr="000D7153">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B. Tokovi gotovine iz aktivnosti finansiranja                       I Prilivi gotovine iz aktivnosti finansiranja (422+423)</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421</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Priliv od izdavanja udjela/emisije akcija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422</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Prilivi od zaduživanja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423</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II Odlivi gotovine iz aktivnosti finansiranja (425 do 428)</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424</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1. Odlivi po osnovu razduživanja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425</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2. Odlivi po osnovu otkupa sopstvenih akcija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426</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3. Odlivi po osnovu isplate dividendi</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427</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4. Odlivi po osnovu isplate učešća u dobiti</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428</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III Neto priliv gotovine iz aktivnosti finansiranja (421-424)</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429</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IV Neto odliv gotovine iz aktivnosti finansiranja (424-421)</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430</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 Ukupni prilivi gotovine (401+421)</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431</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1.906.914</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1.319.197</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1,45</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G. Ukupni odlivi gotovine (407+424)</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432</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1.726.536</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1.860.324</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0,93</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D. Neto  priliv gotovine (431-432)</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433</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180.378</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Đ. Neto odliv gotovine (432-431)</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434</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541.127</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E. Gotovina na početku perioda</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435</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329.776</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b/>
                <w:bCs/>
                <w:sz w:val="18"/>
                <w:szCs w:val="18"/>
              </w:rPr>
            </w:pPr>
            <w:r w:rsidRPr="00930FF2">
              <w:rPr>
                <w:rFonts w:eastAsia="Times New Roman"/>
                <w:b/>
                <w:bCs/>
                <w:sz w:val="18"/>
                <w:szCs w:val="18"/>
              </w:rPr>
              <w:t>870.903</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0,38</w:t>
            </w:r>
          </w:p>
        </w:tc>
      </w:tr>
      <w:tr w:rsidR="000D7153" w:rsidRPr="00930FF2" w:rsidTr="000D7153">
        <w:trPr>
          <w:trHeight w:val="450"/>
        </w:trPr>
        <w:tc>
          <w:tcPr>
            <w:tcW w:w="4600" w:type="dxa"/>
            <w:tcBorders>
              <w:top w:val="nil"/>
              <w:left w:val="single" w:sz="4" w:space="0" w:color="auto"/>
              <w:bottom w:val="nil"/>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Ž. Pozitivne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436</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Z. Negativne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437</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lastRenderedPageBreak/>
              <w:t>I. GOTOVINA NA KRAJU OBRAČUNSKOG PERIODA (435+433-434+436-437)</w:t>
            </w:r>
          </w:p>
        </w:tc>
        <w:tc>
          <w:tcPr>
            <w:tcW w:w="76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438</w:t>
            </w:r>
          </w:p>
        </w:tc>
        <w:tc>
          <w:tcPr>
            <w:tcW w:w="9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510.154</w:t>
            </w:r>
          </w:p>
        </w:tc>
        <w:tc>
          <w:tcPr>
            <w:tcW w:w="9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329.776</w:t>
            </w:r>
          </w:p>
        </w:tc>
        <w:tc>
          <w:tcPr>
            <w:tcW w:w="96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1,55</w:t>
            </w:r>
          </w:p>
        </w:tc>
      </w:tr>
    </w:tbl>
    <w:p w:rsidR="000D7153" w:rsidRPr="00930FF2" w:rsidRDefault="000D7153" w:rsidP="000D7153">
      <w:pPr>
        <w:ind w:left="0" w:firstLine="0"/>
        <w:contextualSpacing/>
        <w:jc w:val="left"/>
        <w:rPr>
          <w:color w:val="FF0000"/>
          <w:sz w:val="18"/>
          <w:szCs w:val="18"/>
        </w:rPr>
      </w:pPr>
    </w:p>
    <w:p w:rsidR="00D05C12" w:rsidRPr="00930FF2" w:rsidRDefault="00D05C12" w:rsidP="00D05C12">
      <w:pPr>
        <w:ind w:left="0"/>
        <w:contextualSpacing/>
        <w:jc w:val="left"/>
      </w:pPr>
      <w:r w:rsidRPr="00930FF2">
        <w:t>Izvještaj o promjenama neto imovine investicionog fonda</w:t>
      </w:r>
    </w:p>
    <w:p w:rsidR="000D7153" w:rsidRPr="00930FF2" w:rsidRDefault="000D7153" w:rsidP="00D05C12">
      <w:pPr>
        <w:ind w:left="0"/>
        <w:contextualSpacing/>
        <w:jc w:val="left"/>
      </w:pPr>
      <w:r w:rsidRPr="00930FF2">
        <w:t>za period od 01.01.2015. godine do 31.12.2015. godine</w:t>
      </w:r>
    </w:p>
    <w:tbl>
      <w:tblPr>
        <w:tblW w:w="9100" w:type="dxa"/>
        <w:tblInd w:w="93" w:type="dxa"/>
        <w:tblLook w:val="04A0"/>
      </w:tblPr>
      <w:tblGrid>
        <w:gridCol w:w="646"/>
        <w:gridCol w:w="5740"/>
        <w:gridCol w:w="577"/>
        <w:gridCol w:w="1140"/>
        <w:gridCol w:w="1140"/>
      </w:tblGrid>
      <w:tr w:rsidR="000D7153" w:rsidRPr="00930FF2" w:rsidTr="000D7153">
        <w:trPr>
          <w:trHeight w:val="255"/>
        </w:trPr>
        <w:tc>
          <w:tcPr>
            <w:tcW w:w="5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7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(iznos u KM)</w:t>
            </w:r>
          </w:p>
        </w:tc>
      </w:tr>
      <w:tr w:rsidR="000D7153" w:rsidRPr="00930FF2" w:rsidTr="000D7153">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Redni broj</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Pozicija</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AOP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Prethodna godina</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7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Povećanje (smanjenje) neto imovine od poslovanja fonda (302 do 306)</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301</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-5.038.506</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-1.334.331</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Realizovani dobitak (gubitak) od ulaganja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-595.302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-8.223.381</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Ukupni narealizovani dobici (gubici) od ulaganja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303</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-1.180.172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-463.055</w:t>
            </w:r>
          </w:p>
        </w:tc>
      </w:tr>
      <w:tr w:rsidR="000D7153" w:rsidRPr="00930FF2" w:rsidTr="000D7153">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4</w:t>
            </w:r>
          </w:p>
        </w:tc>
        <w:tc>
          <w:tcPr>
            <w:tcW w:w="57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Revalorizacione rezerve po osnovu finansijskih ulaganja raspoloživih za prodaju</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304</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-3.263.032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7.352.105</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c>
          <w:tcPr>
            <w:tcW w:w="5740" w:type="dxa"/>
            <w:tcBorders>
              <w:top w:val="nil"/>
              <w:left w:val="nil"/>
              <w:bottom w:val="nil"/>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Revalotizacione rezerve po osnovu derivata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305</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Revalorizacione rezerve po osnovu nekretnina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306</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7</w:t>
            </w:r>
          </w:p>
        </w:tc>
        <w:tc>
          <w:tcPr>
            <w:tcW w:w="5740" w:type="dxa"/>
            <w:tcBorders>
              <w:top w:val="nil"/>
              <w:left w:val="nil"/>
              <w:bottom w:val="nil"/>
              <w:right w:val="single" w:sz="4" w:space="0" w:color="auto"/>
            </w:tcBorders>
            <w:shd w:val="clear" w:color="auto" w:fill="auto"/>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Povećenje neto imovine po osnovu transakcija sa udjelima/akcijama fonda (308-309)</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8</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Povećanje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308</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9</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Smanjenje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309</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10</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Ukupno povećanje (smanjenje) neto imovine fonda (301+308-309)</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-5.038.506</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-1.334.331</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11</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Neto imovina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311</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12</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31.384.313</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13</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313</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25.011.476</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14</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Broj udjela/akcija fonda u periodu</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314</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15</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Broj udjela/akcija 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315</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16</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Izdati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316</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17</w:t>
            </w:r>
          </w:p>
        </w:tc>
        <w:tc>
          <w:tcPr>
            <w:tcW w:w="57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Povučeni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18</w:t>
            </w:r>
          </w:p>
        </w:tc>
        <w:tc>
          <w:tcPr>
            <w:tcW w:w="574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Broj udjela/akcija 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318</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bl>
    <w:p w:rsidR="000D7153" w:rsidRPr="00930FF2" w:rsidRDefault="000D7153" w:rsidP="00D05C12">
      <w:pPr>
        <w:ind w:left="0"/>
        <w:contextualSpacing/>
        <w:jc w:val="left"/>
        <w:rPr>
          <w:color w:val="FF0000"/>
        </w:rPr>
      </w:pPr>
    </w:p>
    <w:p w:rsidR="00D05C12" w:rsidRPr="00930FF2" w:rsidRDefault="00D05C12" w:rsidP="00D05C12">
      <w:pPr>
        <w:ind w:left="0"/>
        <w:contextualSpacing/>
        <w:jc w:val="left"/>
      </w:pPr>
      <w:r w:rsidRPr="00930FF2">
        <w:t>Izvještaj o finansijskim pokazateljima fonda</w:t>
      </w:r>
    </w:p>
    <w:p w:rsidR="000D7153" w:rsidRPr="00930FF2" w:rsidRDefault="000D7153" w:rsidP="00D05C12">
      <w:pPr>
        <w:ind w:left="0"/>
        <w:contextualSpacing/>
        <w:jc w:val="left"/>
      </w:pPr>
      <w:r w:rsidRPr="00930FF2">
        <w:t>za period od 01.01.2015. godine do 31.12.2015. godine</w:t>
      </w:r>
    </w:p>
    <w:tbl>
      <w:tblPr>
        <w:tblW w:w="8940" w:type="dxa"/>
        <w:tblInd w:w="93" w:type="dxa"/>
        <w:tblLook w:val="04A0"/>
      </w:tblPr>
      <w:tblGrid>
        <w:gridCol w:w="646"/>
        <w:gridCol w:w="5580"/>
        <w:gridCol w:w="640"/>
        <w:gridCol w:w="1116"/>
        <w:gridCol w:w="1140"/>
      </w:tblGrid>
      <w:tr w:rsidR="000D7153" w:rsidRPr="00930FF2" w:rsidTr="000D7153">
        <w:trPr>
          <w:trHeight w:val="255"/>
        </w:trPr>
        <w:tc>
          <w:tcPr>
            <w:tcW w:w="56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558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6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02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p>
        </w:tc>
        <w:tc>
          <w:tcPr>
            <w:tcW w:w="1140" w:type="dxa"/>
            <w:tcBorders>
              <w:top w:val="nil"/>
              <w:left w:val="nil"/>
              <w:bottom w:val="nil"/>
              <w:right w:val="nil"/>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(iznos u KM)</w:t>
            </w:r>
          </w:p>
        </w:tc>
      </w:tr>
      <w:tr w:rsidR="000D7153" w:rsidRPr="00930FF2" w:rsidTr="000D7153">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Redni broj</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Pozicija imovine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AOP</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Prethodna godina</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102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6</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I</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Vrijednost neto imovine po udjelu/akciji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501</w:t>
            </w:r>
          </w:p>
        </w:tc>
        <w:tc>
          <w:tcPr>
            <w:tcW w:w="102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w:t>
            </w:r>
          </w:p>
        </w:tc>
        <w:tc>
          <w:tcPr>
            <w:tcW w:w="11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0,19</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Neto imovina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502</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31.384.313</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Broj udjela/akcija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503</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3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558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Vrijednost udjela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504</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0,16053</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0,16766</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II</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Vrijednost neto imovine fonda po udjelu/akciji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505</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0,13</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w:t>
            </w:r>
          </w:p>
        </w:tc>
      </w:tr>
      <w:tr w:rsidR="000D7153" w:rsidRPr="00930FF2" w:rsidTr="000D7153">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Neto imovina fonda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506</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25.011.476</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30.049.982</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nil"/>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Broj udjela/akcija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507</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187.191.287</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Vrijednost udjela/akcije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508</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0,13</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0,16</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b/>
                <w:bCs/>
                <w:sz w:val="18"/>
                <w:szCs w:val="18"/>
              </w:rPr>
            </w:pPr>
            <w:r w:rsidRPr="00930FF2">
              <w:rPr>
                <w:rFonts w:eastAsia="Times New Roman"/>
                <w:b/>
                <w:bCs/>
                <w:sz w:val="18"/>
                <w:szCs w:val="18"/>
              </w:rPr>
              <w:t>III</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b/>
                <w:bCs/>
                <w:sz w:val="18"/>
                <w:szCs w:val="18"/>
              </w:rPr>
            </w:pPr>
            <w:r w:rsidRPr="00930FF2">
              <w:rPr>
                <w:rFonts w:eastAsia="Times New Roman"/>
                <w:b/>
                <w:bCs/>
                <w:sz w:val="18"/>
                <w:szCs w:val="18"/>
              </w:rPr>
              <w:t>Finansijski pokazatelji</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509</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 </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1</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Odnos rashoda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510</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0,02</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0,02</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2</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Odnos realizovane dobiti od ulaganja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511</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3</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Isplaćeni iznos investitorima u toku godine</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512</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r>
      <w:tr w:rsidR="000D7153" w:rsidRPr="00930FF2" w:rsidTr="000D7153">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lastRenderedPageBreak/>
              <w:t>4</w:t>
            </w:r>
          </w:p>
        </w:tc>
        <w:tc>
          <w:tcPr>
            <w:tcW w:w="558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left"/>
              <w:rPr>
                <w:rFonts w:eastAsia="Times New Roman"/>
                <w:sz w:val="18"/>
                <w:szCs w:val="18"/>
              </w:rPr>
            </w:pPr>
            <w:r w:rsidRPr="00930FF2">
              <w:rPr>
                <w:rFonts w:eastAsia="Times New Roman"/>
                <w:sz w:val="18"/>
                <w:szCs w:val="18"/>
              </w:rPr>
              <w:t>Stopa prinosa na neto imovinu fonda</w:t>
            </w:r>
          </w:p>
        </w:tc>
        <w:tc>
          <w:tcPr>
            <w:tcW w:w="640" w:type="dxa"/>
            <w:tcBorders>
              <w:top w:val="nil"/>
              <w:left w:val="nil"/>
              <w:bottom w:val="single" w:sz="4" w:space="0" w:color="auto"/>
              <w:right w:val="single" w:sz="4" w:space="0" w:color="auto"/>
            </w:tcBorders>
            <w:shd w:val="clear" w:color="auto" w:fill="auto"/>
            <w:noWrap/>
            <w:vAlign w:val="center"/>
            <w:hideMark/>
          </w:tcPr>
          <w:p w:rsidR="000D7153" w:rsidRPr="00930FF2" w:rsidRDefault="000D7153" w:rsidP="000D7153">
            <w:pPr>
              <w:ind w:left="0" w:firstLine="0"/>
              <w:jc w:val="center"/>
              <w:rPr>
                <w:rFonts w:eastAsia="Times New Roman"/>
                <w:sz w:val="18"/>
                <w:szCs w:val="18"/>
              </w:rPr>
            </w:pPr>
            <w:r w:rsidRPr="00930FF2">
              <w:rPr>
                <w:rFonts w:eastAsia="Times New Roman"/>
                <w:sz w:val="18"/>
                <w:szCs w:val="18"/>
              </w:rPr>
              <w:t>513</w:t>
            </w:r>
          </w:p>
        </w:tc>
        <w:tc>
          <w:tcPr>
            <w:tcW w:w="102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rsidR="000D7153" w:rsidRPr="00930FF2" w:rsidRDefault="000D7153" w:rsidP="000D7153">
            <w:pPr>
              <w:ind w:left="0" w:firstLine="0"/>
              <w:jc w:val="right"/>
              <w:rPr>
                <w:rFonts w:eastAsia="Times New Roman"/>
                <w:sz w:val="18"/>
                <w:szCs w:val="18"/>
              </w:rPr>
            </w:pPr>
            <w:r w:rsidRPr="00930FF2">
              <w:rPr>
                <w:rFonts w:eastAsia="Times New Roman"/>
                <w:sz w:val="18"/>
                <w:szCs w:val="18"/>
              </w:rPr>
              <w:t>0,00</w:t>
            </w:r>
          </w:p>
        </w:tc>
      </w:tr>
    </w:tbl>
    <w:p w:rsidR="000D7153" w:rsidRPr="00930FF2" w:rsidRDefault="000D7153" w:rsidP="00D05C12">
      <w:pPr>
        <w:ind w:left="0"/>
        <w:contextualSpacing/>
        <w:jc w:val="left"/>
        <w:rPr>
          <w:color w:val="FF0000"/>
        </w:rPr>
      </w:pPr>
    </w:p>
    <w:p w:rsidR="00D05C12" w:rsidRPr="00930FF2" w:rsidRDefault="00D05C12" w:rsidP="00D05C12">
      <w:pPr>
        <w:ind w:left="0"/>
        <w:contextualSpacing/>
        <w:jc w:val="left"/>
      </w:pPr>
      <w:r w:rsidRPr="00930FF2">
        <w:t>Izvještaj o strukturi ulaganja investicionog fonda po vrstama imovine</w:t>
      </w:r>
    </w:p>
    <w:p w:rsidR="00F226D1" w:rsidRPr="00930FF2" w:rsidRDefault="004A401D" w:rsidP="00D05C12">
      <w:pPr>
        <w:ind w:left="0"/>
        <w:contextualSpacing/>
        <w:jc w:val="left"/>
      </w:pPr>
      <w:r w:rsidRPr="00930FF2">
        <w:t>s</w:t>
      </w:r>
      <w:r w:rsidR="00F226D1" w:rsidRPr="00930FF2">
        <w:t>a stanjem na dan 31.12.2015. godine</w:t>
      </w:r>
    </w:p>
    <w:tbl>
      <w:tblPr>
        <w:tblW w:w="6940" w:type="dxa"/>
        <w:tblInd w:w="93" w:type="dxa"/>
        <w:tblLook w:val="04A0"/>
      </w:tblPr>
      <w:tblGrid>
        <w:gridCol w:w="660"/>
        <w:gridCol w:w="2840"/>
        <w:gridCol w:w="1760"/>
        <w:gridCol w:w="1680"/>
      </w:tblGrid>
      <w:tr w:rsidR="00F226D1" w:rsidRPr="00930FF2" w:rsidTr="00F226D1">
        <w:trPr>
          <w:trHeight w:val="7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Redni broj</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Opis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Ukupna vrijednost na dan izvještavanja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Učešće u vrijednosti imovine fonda (%)</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1</w:t>
            </w:r>
          </w:p>
        </w:tc>
        <w:tc>
          <w:tcPr>
            <w:tcW w:w="2840" w:type="dxa"/>
            <w:tcBorders>
              <w:top w:val="nil"/>
              <w:left w:val="nil"/>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2</w:t>
            </w:r>
          </w:p>
        </w:tc>
        <w:tc>
          <w:tcPr>
            <w:tcW w:w="1760" w:type="dxa"/>
            <w:tcBorders>
              <w:top w:val="nil"/>
              <w:left w:val="nil"/>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3</w:t>
            </w:r>
          </w:p>
        </w:tc>
        <w:tc>
          <w:tcPr>
            <w:tcW w:w="1680" w:type="dxa"/>
            <w:tcBorders>
              <w:top w:val="nil"/>
              <w:left w:val="nil"/>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4</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1</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Akcije</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20.777.178,77</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77,0746</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2</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Obveznice</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4.703.108,87</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17,4465</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3</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Ostale hartije od vrijednosti</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954.324,10</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3,5401</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4</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Depoziti i plasmani</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0,0000</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5</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Gotovina i gotovinski ekvivalenti</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510.153,54</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1,8925</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226D1" w:rsidRPr="00930FF2" w:rsidRDefault="00F226D1" w:rsidP="00F226D1">
            <w:pPr>
              <w:ind w:left="0" w:firstLine="0"/>
              <w:jc w:val="center"/>
              <w:rPr>
                <w:rFonts w:eastAsia="Times New Roman"/>
                <w:sz w:val="18"/>
                <w:szCs w:val="18"/>
              </w:rPr>
            </w:pPr>
            <w:r w:rsidRPr="00930FF2">
              <w:rPr>
                <w:rFonts w:eastAsia="Times New Roman"/>
                <w:sz w:val="18"/>
                <w:szCs w:val="18"/>
              </w:rPr>
              <w:t>6</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Nekretnine</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0,0000</w:t>
            </w:r>
          </w:p>
        </w:tc>
      </w:tr>
      <w:tr w:rsidR="00F226D1" w:rsidRPr="00930FF2" w:rsidTr="00F226D1">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 </w:t>
            </w:r>
          </w:p>
        </w:tc>
        <w:tc>
          <w:tcPr>
            <w:tcW w:w="284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left"/>
              <w:rPr>
                <w:rFonts w:eastAsia="Times New Roman"/>
                <w:sz w:val="18"/>
                <w:szCs w:val="18"/>
              </w:rPr>
            </w:pPr>
            <w:r w:rsidRPr="00930FF2">
              <w:rPr>
                <w:rFonts w:eastAsia="Times New Roman"/>
                <w:sz w:val="18"/>
                <w:szCs w:val="18"/>
              </w:rPr>
              <w:t>Ukupno</w:t>
            </w:r>
          </w:p>
        </w:tc>
        <w:tc>
          <w:tcPr>
            <w:tcW w:w="176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26.944.765,28</w:t>
            </w:r>
          </w:p>
        </w:tc>
        <w:tc>
          <w:tcPr>
            <w:tcW w:w="1680" w:type="dxa"/>
            <w:tcBorders>
              <w:top w:val="nil"/>
              <w:left w:val="nil"/>
              <w:bottom w:val="single" w:sz="4" w:space="0" w:color="auto"/>
              <w:right w:val="single" w:sz="4" w:space="0" w:color="auto"/>
            </w:tcBorders>
            <w:shd w:val="clear" w:color="auto" w:fill="auto"/>
            <w:noWrap/>
            <w:vAlign w:val="bottom"/>
            <w:hideMark/>
          </w:tcPr>
          <w:p w:rsidR="00F226D1" w:rsidRPr="00930FF2" w:rsidRDefault="00F226D1" w:rsidP="00F226D1">
            <w:pPr>
              <w:ind w:left="0" w:firstLine="0"/>
              <w:jc w:val="right"/>
              <w:rPr>
                <w:rFonts w:eastAsia="Times New Roman"/>
                <w:sz w:val="18"/>
                <w:szCs w:val="18"/>
              </w:rPr>
            </w:pPr>
            <w:r w:rsidRPr="00930FF2">
              <w:rPr>
                <w:rFonts w:eastAsia="Times New Roman"/>
                <w:sz w:val="18"/>
                <w:szCs w:val="18"/>
              </w:rPr>
              <w:t>99,9537</w:t>
            </w:r>
          </w:p>
        </w:tc>
      </w:tr>
    </w:tbl>
    <w:p w:rsidR="00B5457E" w:rsidRPr="00930FF2" w:rsidRDefault="00B5457E" w:rsidP="00D05C12">
      <w:pPr>
        <w:ind w:left="0"/>
        <w:contextualSpacing/>
        <w:jc w:val="left"/>
      </w:pPr>
    </w:p>
    <w:p w:rsidR="00D05C12" w:rsidRPr="00930FF2" w:rsidRDefault="00D05C12" w:rsidP="00D05C12">
      <w:pPr>
        <w:ind w:left="0"/>
        <w:contextualSpacing/>
        <w:jc w:val="left"/>
      </w:pPr>
      <w:r w:rsidRPr="00930FF2">
        <w:t>mišljenja revizora za 201</w:t>
      </w:r>
      <w:r w:rsidR="00450CD1" w:rsidRPr="00930FF2">
        <w:t>5</w:t>
      </w:r>
      <w:r w:rsidRPr="00930FF2">
        <w:t xml:space="preserve">. </w:t>
      </w:r>
      <w:r w:rsidR="00F226D1" w:rsidRPr="00930FF2">
        <w:t>g</w:t>
      </w:r>
      <w:r w:rsidRPr="00930FF2">
        <w:t>odinu</w:t>
      </w:r>
    </w:p>
    <w:p w:rsidR="00AC799B" w:rsidRPr="00930FF2" w:rsidRDefault="00AC799B" w:rsidP="00F226D1">
      <w:pPr>
        <w:pStyle w:val="BodyText"/>
        <w:jc w:val="center"/>
        <w:rPr>
          <w:b/>
          <w:bCs/>
          <w:i/>
          <w:iCs/>
          <w:szCs w:val="24"/>
          <w:lang w:val="sr-Latn-BA"/>
        </w:rPr>
      </w:pPr>
    </w:p>
    <w:p w:rsidR="00F226D1" w:rsidRPr="00930FF2" w:rsidRDefault="00F226D1" w:rsidP="00F226D1">
      <w:pPr>
        <w:pStyle w:val="BodyText"/>
        <w:jc w:val="center"/>
        <w:rPr>
          <w:b/>
          <w:bCs/>
          <w:i/>
          <w:iCs/>
          <w:szCs w:val="24"/>
        </w:rPr>
      </w:pPr>
      <w:r w:rsidRPr="00930FF2">
        <w:rPr>
          <w:b/>
          <w:bCs/>
          <w:i/>
          <w:iCs/>
          <w:szCs w:val="24"/>
        </w:rPr>
        <w:t>M I Š L J E N J E</w:t>
      </w:r>
    </w:p>
    <w:p w:rsidR="00F226D1" w:rsidRPr="00930FF2" w:rsidRDefault="00F226D1" w:rsidP="00F226D1">
      <w:pPr>
        <w:pStyle w:val="BodyText"/>
        <w:jc w:val="center"/>
        <w:rPr>
          <w:b/>
          <w:bCs/>
          <w:i/>
          <w:iCs/>
          <w:szCs w:val="24"/>
        </w:rPr>
      </w:pPr>
      <w:r w:rsidRPr="00930FF2">
        <w:rPr>
          <w:b/>
          <w:bCs/>
          <w:i/>
          <w:iCs/>
          <w:szCs w:val="24"/>
        </w:rPr>
        <w:t>ovlaštenog revizora</w:t>
      </w:r>
    </w:p>
    <w:p w:rsidR="00F226D1" w:rsidRPr="00930FF2" w:rsidRDefault="00F226D1" w:rsidP="00F226D1">
      <w:pPr>
        <w:pStyle w:val="BodyText"/>
        <w:jc w:val="center"/>
        <w:rPr>
          <w:b/>
          <w:bCs/>
          <w:i/>
          <w:iCs/>
          <w:szCs w:val="24"/>
        </w:rPr>
      </w:pPr>
      <w:r w:rsidRPr="00930FF2">
        <w:rPr>
          <w:b/>
          <w:bCs/>
          <w:i/>
          <w:iCs/>
          <w:szCs w:val="24"/>
        </w:rPr>
        <w:t>o izvršenoj reviziji finansijskih izvještaja Fonda</w:t>
      </w:r>
    </w:p>
    <w:p w:rsidR="004A401D" w:rsidRPr="00930FF2" w:rsidRDefault="00F226D1" w:rsidP="00B5457E">
      <w:pPr>
        <w:pStyle w:val="BodyText"/>
        <w:jc w:val="center"/>
        <w:rPr>
          <w:b/>
          <w:bCs/>
          <w:i/>
          <w:iCs/>
          <w:szCs w:val="24"/>
          <w:lang w:val="sr-Latn-BA"/>
        </w:rPr>
      </w:pPr>
      <w:r w:rsidRPr="00930FF2">
        <w:rPr>
          <w:b/>
          <w:bCs/>
          <w:i/>
          <w:iCs/>
          <w:szCs w:val="24"/>
        </w:rPr>
        <w:t xml:space="preserve"> za 2015. </w:t>
      </w:r>
      <w:r w:rsidR="004A401D" w:rsidRPr="00930FF2">
        <w:rPr>
          <w:b/>
          <w:bCs/>
          <w:i/>
          <w:iCs/>
          <w:szCs w:val="24"/>
          <w:lang w:val="sr-Latn-BA"/>
        </w:rPr>
        <w:t>g</w:t>
      </w:r>
      <w:r w:rsidRPr="00930FF2">
        <w:rPr>
          <w:b/>
          <w:bCs/>
          <w:i/>
          <w:iCs/>
          <w:szCs w:val="24"/>
        </w:rPr>
        <w:t>odinu</w:t>
      </w:r>
    </w:p>
    <w:p w:rsidR="00F226D1" w:rsidRPr="00930FF2" w:rsidRDefault="00F226D1" w:rsidP="00F226D1">
      <w:pPr>
        <w:pStyle w:val="BodyText"/>
        <w:rPr>
          <w:szCs w:val="24"/>
          <w:lang w:val="hr-HR"/>
        </w:rPr>
      </w:pPr>
      <w:r w:rsidRPr="00930FF2">
        <w:rPr>
          <w:b/>
          <w:bCs/>
          <w:szCs w:val="24"/>
        </w:rPr>
        <w:t>1.</w:t>
      </w:r>
      <w:r w:rsidRPr="00930FF2">
        <w:rPr>
          <w:szCs w:val="24"/>
        </w:rPr>
        <w:t xml:space="preserve"> Revizija finansijskih izvještaja </w:t>
      </w:r>
      <w:r w:rsidRPr="00930FF2">
        <w:rPr>
          <w:b/>
          <w:bCs/>
          <w:i/>
          <w:iCs/>
          <w:szCs w:val="24"/>
        </w:rPr>
        <w:t xml:space="preserve">Zatvorenog investicionog fonda sa javnom ponudom "INVEST NOVA FOND" AD Bijeljina </w:t>
      </w:r>
      <w:r w:rsidRPr="00930FF2">
        <w:rPr>
          <w:b/>
          <w:bCs/>
          <w:szCs w:val="24"/>
        </w:rPr>
        <w:t xml:space="preserve"> </w:t>
      </w:r>
      <w:r w:rsidRPr="00930FF2">
        <w:rPr>
          <w:szCs w:val="24"/>
        </w:rPr>
        <w:t xml:space="preserve">za </w:t>
      </w:r>
      <w:r w:rsidRPr="00930FF2">
        <w:rPr>
          <w:b/>
          <w:i/>
          <w:szCs w:val="24"/>
        </w:rPr>
        <w:t>2015.</w:t>
      </w:r>
      <w:r w:rsidRPr="00930FF2">
        <w:rPr>
          <w:szCs w:val="24"/>
        </w:rPr>
        <w:t xml:space="preserve"> godinu obuhvatila je reviziju  </w:t>
      </w:r>
      <w:r w:rsidRPr="00930FF2">
        <w:rPr>
          <w:i/>
          <w:iCs/>
          <w:szCs w:val="24"/>
        </w:rPr>
        <w:t>Bilansa uspjeha</w:t>
      </w:r>
      <w:r w:rsidRPr="00930FF2">
        <w:rPr>
          <w:szCs w:val="24"/>
        </w:rPr>
        <w:t xml:space="preserve"> </w:t>
      </w:r>
      <w:r w:rsidRPr="00930FF2">
        <w:rPr>
          <w:i/>
          <w:szCs w:val="24"/>
        </w:rPr>
        <w:t xml:space="preserve">investicionog fonda </w:t>
      </w:r>
      <w:r w:rsidRPr="00930FF2">
        <w:rPr>
          <w:szCs w:val="24"/>
        </w:rPr>
        <w:t xml:space="preserve">(Izvještaja o ukupnom rezultatu u periodu) za period od 01.01. do 31.12.2015. godine, </w:t>
      </w:r>
      <w:r w:rsidRPr="00930FF2">
        <w:rPr>
          <w:i/>
          <w:szCs w:val="24"/>
        </w:rPr>
        <w:t>Bilansa stanja</w:t>
      </w:r>
      <w:r w:rsidRPr="00930FF2">
        <w:rPr>
          <w:szCs w:val="24"/>
        </w:rPr>
        <w:t xml:space="preserve"> </w:t>
      </w:r>
      <w:r w:rsidRPr="00930FF2">
        <w:rPr>
          <w:i/>
          <w:szCs w:val="24"/>
        </w:rPr>
        <w:t xml:space="preserve">investicionog fonda </w:t>
      </w:r>
      <w:r w:rsidRPr="00930FF2">
        <w:rPr>
          <w:szCs w:val="24"/>
        </w:rPr>
        <w:t xml:space="preserve">(Izvještaja o finansijskom položaju) na dan 31.12.2015. godine, Bilansa tokova gotovine (Izvještaja o tokovima gotovine) za period od 01.01. do 31.12.2015. godine, </w:t>
      </w:r>
      <w:r w:rsidRPr="00930FF2">
        <w:rPr>
          <w:i/>
          <w:iCs/>
          <w:szCs w:val="24"/>
          <w:lang w:val="hr-HR"/>
        </w:rPr>
        <w:t xml:space="preserve">Izvještaj o promjenama neto imovine investicionog fonda </w:t>
      </w:r>
      <w:r w:rsidRPr="00930FF2">
        <w:rPr>
          <w:szCs w:val="24"/>
          <w:lang w:val="hr-HR"/>
        </w:rPr>
        <w:t>za period od 01.01. do 31.12.2015. godine</w:t>
      </w:r>
      <w:r w:rsidRPr="00930FF2">
        <w:rPr>
          <w:i/>
          <w:iCs/>
          <w:szCs w:val="24"/>
          <w:lang w:val="hr-HR"/>
        </w:rPr>
        <w:t xml:space="preserve">, </w:t>
      </w:r>
      <w:r w:rsidRPr="00930FF2">
        <w:rPr>
          <w:szCs w:val="24"/>
        </w:rPr>
        <w:t xml:space="preserve"> </w:t>
      </w:r>
      <w:r w:rsidRPr="00930FF2">
        <w:rPr>
          <w:szCs w:val="24"/>
          <w:lang w:val="hr-HR"/>
        </w:rPr>
        <w:t xml:space="preserve">i drugih izvještaja koje Fond sastavlja, </w:t>
      </w:r>
      <w:r w:rsidRPr="00930FF2">
        <w:rPr>
          <w:szCs w:val="24"/>
        </w:rPr>
        <w:t xml:space="preserve"> </w:t>
      </w:r>
      <w:r w:rsidRPr="00930FF2">
        <w:rPr>
          <w:szCs w:val="24"/>
          <w:lang w:val="hr-HR"/>
        </w:rPr>
        <w:t>a na osnovu</w:t>
      </w:r>
      <w:r w:rsidRPr="00930FF2">
        <w:rPr>
          <w:szCs w:val="24"/>
        </w:rPr>
        <w:t xml:space="preserve"> </w:t>
      </w:r>
      <w:r w:rsidRPr="00930FF2">
        <w:rPr>
          <w:szCs w:val="24"/>
          <w:lang w:val="hr-HR"/>
        </w:rPr>
        <w:t xml:space="preserve"> "</w:t>
      </w:r>
      <w:r w:rsidRPr="00930FF2">
        <w:rPr>
          <w:i/>
          <w:iCs/>
          <w:szCs w:val="24"/>
          <w:lang w:val="hr-HR"/>
        </w:rPr>
        <w:t>Zakona o računovodstvu i reviziji Republike Srpske</w:t>
      </w:r>
      <w:r w:rsidRPr="00930FF2">
        <w:rPr>
          <w:szCs w:val="24"/>
          <w:lang w:val="hr-HR"/>
        </w:rPr>
        <w:t>", Međunarodnih standarda revizije i pratećih propisa koji regulišu ovu oblast</w:t>
      </w:r>
      <w:r w:rsidRPr="00930FF2">
        <w:rPr>
          <w:szCs w:val="24"/>
        </w:rPr>
        <w:t xml:space="preserve">. </w:t>
      </w:r>
      <w:r w:rsidRPr="00930FF2">
        <w:rPr>
          <w:szCs w:val="24"/>
          <w:lang w:val="hr-HR"/>
        </w:rPr>
        <w:t>Bilješke</w:t>
      </w:r>
      <w:r w:rsidRPr="00930FF2">
        <w:rPr>
          <w:szCs w:val="24"/>
        </w:rPr>
        <w:t xml:space="preserve"> </w:t>
      </w:r>
      <w:r w:rsidRPr="00930FF2">
        <w:rPr>
          <w:szCs w:val="24"/>
          <w:lang w:val="hr-HR"/>
        </w:rPr>
        <w:t>- note uz finansijske izvještaje, shodno RS RS 1: Predstavljanje – prezentacija finansijskih izvještaja stavljene su na uvid uz finansijske izvještaje.</w:t>
      </w:r>
    </w:p>
    <w:p w:rsidR="00F226D1" w:rsidRPr="00930FF2" w:rsidRDefault="00F226D1" w:rsidP="00F226D1">
      <w:pPr>
        <w:pStyle w:val="BodyText"/>
        <w:tabs>
          <w:tab w:val="num" w:pos="720"/>
        </w:tabs>
        <w:rPr>
          <w:szCs w:val="24"/>
          <w:lang w:val="sr-Latn-BA"/>
        </w:rPr>
      </w:pPr>
      <w:r w:rsidRPr="00930FF2">
        <w:rPr>
          <w:b/>
          <w:bCs/>
          <w:szCs w:val="24"/>
        </w:rPr>
        <w:t>2.</w:t>
      </w:r>
      <w:r w:rsidRPr="00930FF2">
        <w:rPr>
          <w:szCs w:val="24"/>
        </w:rPr>
        <w:t xml:space="preserve"> Odgovornost za računovodstvene izvještaje i podatke prikazane u njima jeste na  Društvu za upravljanje Fondom. Odgovornost revizora je da na osnovu izvršene revizije izrazi mišljenje o prikazanim finansijskim izvještajima. Informacije i objašnjenja koja su tražena u postupku revizije bila su na raspolaganju.</w:t>
      </w:r>
    </w:p>
    <w:p w:rsidR="00F226D1" w:rsidRPr="00930FF2" w:rsidRDefault="00F226D1" w:rsidP="00F226D1">
      <w:pPr>
        <w:pStyle w:val="BodyText"/>
        <w:tabs>
          <w:tab w:val="num" w:pos="720"/>
        </w:tabs>
        <w:rPr>
          <w:szCs w:val="24"/>
          <w:lang w:val="sr-Latn-BA"/>
        </w:rPr>
      </w:pPr>
      <w:r w:rsidRPr="00930FF2">
        <w:rPr>
          <w:b/>
          <w:bCs/>
          <w:szCs w:val="24"/>
        </w:rPr>
        <w:t>3.</w:t>
      </w:r>
      <w:r w:rsidRPr="00930FF2">
        <w:rPr>
          <w:szCs w:val="24"/>
        </w:rPr>
        <w:t xml:space="preserve"> Revizija je izvršena u </w:t>
      </w:r>
      <w:r w:rsidRPr="00930FF2">
        <w:rPr>
          <w:b/>
          <w:i/>
          <w:szCs w:val="24"/>
        </w:rPr>
        <w:t>martu  2016.</w:t>
      </w:r>
      <w:r w:rsidRPr="00930FF2">
        <w:rPr>
          <w:szCs w:val="24"/>
        </w:rPr>
        <w:t xml:space="preserve"> godine, a u skladu sa </w:t>
      </w:r>
      <w:r w:rsidRPr="00930FF2">
        <w:rPr>
          <w:i/>
          <w:iCs/>
          <w:szCs w:val="24"/>
        </w:rPr>
        <w:t>Međunarodnim standardima revizije</w:t>
      </w:r>
      <w:r w:rsidRPr="00930FF2">
        <w:rPr>
          <w:szCs w:val="24"/>
        </w:rPr>
        <w:t xml:space="preserve"> koji zahtjevaju da se revizija planira i izvrši na način koji omogućava da se u razumnoj mjeri može utvrditi da računovodstveni izvještaji ne sadrže pogrešne, materijalno značajne informacije. Revizija uključuje ispitivanje dokaza na bazi provjere uzoraka kojima se potvrđuju iznosi i informacije objelodanjeni u računovodstvenim izvještajima. Revizija, takođe, uključuje ocjenu primjenjenih računovodstvenih načela i vrednovanje značajnih procjena koje je izvršila Uprava i rukovodstvo Fonda, kao i sveukupnu ocjenu prezentacije računovodstvenih izvještaja.</w:t>
      </w:r>
    </w:p>
    <w:p w:rsidR="00F226D1" w:rsidRPr="00930FF2" w:rsidRDefault="00F226D1" w:rsidP="00F226D1">
      <w:pPr>
        <w:pStyle w:val="BodyText"/>
        <w:tabs>
          <w:tab w:val="num" w:pos="720"/>
        </w:tabs>
        <w:rPr>
          <w:szCs w:val="24"/>
          <w:lang w:val="sr-Latn-BA"/>
        </w:rPr>
      </w:pPr>
      <w:r w:rsidRPr="00930FF2">
        <w:rPr>
          <w:b/>
          <w:bCs/>
          <w:szCs w:val="24"/>
        </w:rPr>
        <w:t>4.</w:t>
      </w:r>
      <w:r w:rsidRPr="00930FF2">
        <w:rPr>
          <w:szCs w:val="24"/>
        </w:rPr>
        <w:t xml:space="preserve"> Smatramo da izvršena revizija obezbjeđuje razumnu osnovu za izražavanje revizorskog mišljenja.</w:t>
      </w:r>
    </w:p>
    <w:p w:rsidR="00F226D1" w:rsidRPr="00930FF2" w:rsidRDefault="00F226D1" w:rsidP="00F226D1">
      <w:pPr>
        <w:pStyle w:val="BodyText"/>
        <w:tabs>
          <w:tab w:val="num" w:pos="720"/>
        </w:tabs>
        <w:rPr>
          <w:bCs/>
          <w:iCs/>
          <w:szCs w:val="24"/>
          <w:lang w:val="sr-Latn-BA"/>
        </w:rPr>
      </w:pPr>
      <w:r w:rsidRPr="00930FF2">
        <w:rPr>
          <w:b/>
          <w:bCs/>
          <w:szCs w:val="24"/>
        </w:rPr>
        <w:lastRenderedPageBreak/>
        <w:t>5.</w:t>
      </w:r>
      <w:r w:rsidRPr="00930FF2">
        <w:rPr>
          <w:szCs w:val="24"/>
        </w:rPr>
        <w:t xml:space="preserve"> Prema našem mišljenju finansijski izvještaji </w:t>
      </w:r>
      <w:r w:rsidRPr="00930FF2">
        <w:rPr>
          <w:b/>
          <w:bCs/>
          <w:i/>
          <w:iCs/>
          <w:szCs w:val="24"/>
        </w:rPr>
        <w:t>Zatvorenog investicionog fonda sa javnom ponudom "INVEST NOVA FOND" AD Bijeljina</w:t>
      </w:r>
      <w:r w:rsidRPr="00930FF2">
        <w:rPr>
          <w:bCs/>
          <w:iCs/>
          <w:szCs w:val="24"/>
        </w:rPr>
        <w:t xml:space="preserve"> </w:t>
      </w:r>
      <w:r w:rsidRPr="00930FF2">
        <w:rPr>
          <w:bCs/>
          <w:szCs w:val="24"/>
        </w:rPr>
        <w:t xml:space="preserve"> </w:t>
      </w:r>
      <w:r w:rsidRPr="00930FF2">
        <w:rPr>
          <w:szCs w:val="24"/>
        </w:rPr>
        <w:t xml:space="preserve">za 2015. godinu u svim materijalno značajnim aspektima </w:t>
      </w:r>
      <w:r w:rsidRPr="00930FF2">
        <w:rPr>
          <w:bCs/>
          <w:iCs/>
          <w:szCs w:val="24"/>
        </w:rPr>
        <w:t>predstavljaju realno i objektivno finansijsko stanje Fonda na dan 31.12.2015. godine i rezultate poslovanja za period koji se završava 31.12.2015. godine, te da su u postupku sačinjavanja finansijskih izvještaja primjenjena propisana rješenja i standardi u mjeri u kojoj se obezbjeđuje da oni  ne sadrže materijalno značajne pogreške.</w:t>
      </w:r>
    </w:p>
    <w:p w:rsidR="00F226D1" w:rsidRPr="00930FF2" w:rsidRDefault="00F226D1" w:rsidP="00F226D1">
      <w:pPr>
        <w:pStyle w:val="BodyText"/>
        <w:rPr>
          <w:szCs w:val="24"/>
          <w:lang w:val="hr-HR"/>
        </w:rPr>
      </w:pPr>
      <w:r w:rsidRPr="00930FF2">
        <w:rPr>
          <w:szCs w:val="24"/>
          <w:lang w:val="hr-HR"/>
        </w:rPr>
        <w:t>Pojedinačna zapažanja po konkretnim pitanjima data su na odgovarajućim mjestima u ovom Izvještaju.</w:t>
      </w:r>
    </w:p>
    <w:p w:rsidR="00F226D1" w:rsidRPr="00930FF2" w:rsidRDefault="00F226D1" w:rsidP="00F226D1">
      <w:pPr>
        <w:pStyle w:val="BodyText"/>
        <w:rPr>
          <w:b/>
          <w:bCs/>
          <w:szCs w:val="24"/>
        </w:rPr>
      </w:pPr>
      <w:r w:rsidRPr="00930FF2">
        <w:rPr>
          <w:b/>
          <w:bCs/>
          <w:szCs w:val="24"/>
        </w:rPr>
        <w:t>6.</w:t>
      </w:r>
      <w:r w:rsidRPr="00930FF2">
        <w:rPr>
          <w:szCs w:val="24"/>
        </w:rPr>
        <w:t xml:space="preserve"> Informacije koje su na kraju  Izvještaja o reviziji prezentovane kao </w:t>
      </w:r>
      <w:r w:rsidRPr="00930FF2">
        <w:rPr>
          <w:i/>
          <w:iCs/>
          <w:szCs w:val="24"/>
        </w:rPr>
        <w:t>Napomene uz finansijski izvještaj</w:t>
      </w:r>
      <w:r w:rsidRPr="00930FF2">
        <w:rPr>
          <w:szCs w:val="24"/>
        </w:rPr>
        <w:t xml:space="preserve"> date su u svrhu dodatnih analiza i objašnjenja i svaka od njih odnosi se na pojedinačna pitanja. Date informacije bile su predmet pažnje u postupku revizije finansijskih izvještaja i primjenjenih revizorskih procedura i, po našem mišljenju, objektivno prezentuju, u materijalno značajnim aspektima, vezu sa finansijskim izvještajima posmatrano u cjelini.</w:t>
      </w:r>
    </w:p>
    <w:p w:rsidR="00B5457E" w:rsidRPr="00930FF2" w:rsidRDefault="00B5457E" w:rsidP="00F226D1">
      <w:pPr>
        <w:pStyle w:val="BodyText"/>
        <w:rPr>
          <w:b/>
          <w:bCs/>
          <w:szCs w:val="24"/>
          <w:lang w:val="sr-Latn-BA"/>
        </w:rPr>
      </w:pPr>
    </w:p>
    <w:p w:rsidR="00F226D1" w:rsidRPr="00930FF2" w:rsidRDefault="00F226D1" w:rsidP="00F226D1">
      <w:pPr>
        <w:pStyle w:val="BodyText"/>
        <w:rPr>
          <w:szCs w:val="24"/>
        </w:rPr>
      </w:pPr>
      <w:r w:rsidRPr="00930FF2">
        <w:rPr>
          <w:szCs w:val="24"/>
        </w:rPr>
        <w:t>U Bijeljini, 15. mart 2016. godine</w:t>
      </w:r>
    </w:p>
    <w:p w:rsidR="00F226D1" w:rsidRPr="00930FF2" w:rsidRDefault="00F226D1" w:rsidP="00F226D1">
      <w:pPr>
        <w:pStyle w:val="BodyText"/>
        <w:rPr>
          <w:szCs w:val="24"/>
          <w:lang w:val="sr-Latn-BA"/>
        </w:rPr>
      </w:pPr>
      <w:r w:rsidRPr="00930FF2">
        <w:rPr>
          <w:szCs w:val="24"/>
        </w:rPr>
        <w:t>Ovlašteni revizor:</w:t>
      </w:r>
      <w:r w:rsidRPr="00930FF2">
        <w:rPr>
          <w:szCs w:val="24"/>
          <w:lang w:val="sr-Latn-BA"/>
        </w:rPr>
        <w:t xml:space="preserve"> </w:t>
      </w:r>
      <w:r w:rsidRPr="00930FF2">
        <w:rPr>
          <w:szCs w:val="24"/>
        </w:rPr>
        <w:t>Prof. dr Rajko RADOVIĆ</w:t>
      </w:r>
    </w:p>
    <w:p w:rsidR="00B5457E" w:rsidRPr="00930FF2" w:rsidRDefault="00F226D1" w:rsidP="00B5457E">
      <w:pPr>
        <w:pStyle w:val="BodyText"/>
        <w:rPr>
          <w:szCs w:val="24"/>
          <w:lang w:val="sr-Latn-BA"/>
        </w:rPr>
      </w:pPr>
      <w:r w:rsidRPr="00930FF2">
        <w:rPr>
          <w:szCs w:val="24"/>
        </w:rPr>
        <w:t>Redni broj licence: 429/14</w:t>
      </w:r>
    </w:p>
    <w:p w:rsidR="00B5457E" w:rsidRPr="00930FF2" w:rsidRDefault="00B5457E" w:rsidP="00B5457E">
      <w:pPr>
        <w:pStyle w:val="BodyText"/>
        <w:rPr>
          <w:szCs w:val="24"/>
          <w:lang w:val="sr-Latn-BA"/>
        </w:rPr>
      </w:pPr>
    </w:p>
    <w:p w:rsidR="00903EE9" w:rsidRPr="00930FF2" w:rsidRDefault="00903EE9" w:rsidP="0035167D">
      <w:pPr>
        <w:ind w:left="0" w:firstLine="0"/>
        <w:contextualSpacing/>
        <w:jc w:val="left"/>
      </w:pPr>
      <w:r w:rsidRPr="00930FF2">
        <w:t>(2016. godina)</w:t>
      </w:r>
    </w:p>
    <w:p w:rsidR="00903EE9" w:rsidRPr="00930FF2" w:rsidRDefault="00903EE9" w:rsidP="00903EE9">
      <w:pPr>
        <w:ind w:left="0" w:firstLine="0"/>
        <w:contextualSpacing/>
        <w:jc w:val="left"/>
      </w:pPr>
      <w:r w:rsidRPr="00930FF2">
        <w:t xml:space="preserve">Bilans stanja investicionog fonda – izvještaj o finansijskom položaju fonda </w:t>
      </w:r>
    </w:p>
    <w:p w:rsidR="00903EE9" w:rsidRPr="00930FF2" w:rsidRDefault="00903EE9" w:rsidP="00903EE9">
      <w:pPr>
        <w:ind w:left="0" w:firstLine="0"/>
        <w:contextualSpacing/>
        <w:jc w:val="left"/>
      </w:pPr>
      <w:r w:rsidRPr="00930FF2">
        <w:t>na dan 3</w:t>
      </w:r>
      <w:r w:rsidR="008622AB" w:rsidRPr="00930FF2">
        <w:t>0</w:t>
      </w:r>
      <w:r w:rsidRPr="00930FF2">
        <w:t>.0</w:t>
      </w:r>
      <w:r w:rsidR="008622AB" w:rsidRPr="00930FF2">
        <w:t>6</w:t>
      </w:r>
      <w:r w:rsidRPr="00930FF2">
        <w:t>.2016. godine</w:t>
      </w:r>
    </w:p>
    <w:tbl>
      <w:tblPr>
        <w:tblW w:w="9645" w:type="dxa"/>
        <w:tblInd w:w="93" w:type="dxa"/>
        <w:tblLayout w:type="fixed"/>
        <w:tblLook w:val="04A0"/>
      </w:tblPr>
      <w:tblGrid>
        <w:gridCol w:w="1005"/>
        <w:gridCol w:w="5130"/>
        <w:gridCol w:w="990"/>
        <w:gridCol w:w="1260"/>
        <w:gridCol w:w="1260"/>
      </w:tblGrid>
      <w:tr w:rsidR="008622AB" w:rsidRPr="00930FF2" w:rsidTr="008622AB">
        <w:trPr>
          <w:trHeight w:val="255"/>
        </w:trPr>
        <w:tc>
          <w:tcPr>
            <w:tcW w:w="1005"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p>
        </w:tc>
        <w:tc>
          <w:tcPr>
            <w:tcW w:w="5130" w:type="dxa"/>
            <w:tcBorders>
              <w:top w:val="nil"/>
              <w:left w:val="nil"/>
              <w:bottom w:val="nil"/>
              <w:right w:val="nil"/>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p>
        </w:tc>
        <w:tc>
          <w:tcPr>
            <w:tcW w:w="990" w:type="dxa"/>
            <w:tcBorders>
              <w:top w:val="nil"/>
              <w:left w:val="nil"/>
              <w:bottom w:val="nil"/>
              <w:right w:val="nil"/>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p>
        </w:tc>
        <w:tc>
          <w:tcPr>
            <w:tcW w:w="1260" w:type="dxa"/>
            <w:tcBorders>
              <w:top w:val="nil"/>
              <w:left w:val="nil"/>
              <w:bottom w:val="nil"/>
              <w:right w:val="nil"/>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p>
        </w:tc>
        <w:tc>
          <w:tcPr>
            <w:tcW w:w="1260" w:type="dxa"/>
            <w:tcBorders>
              <w:top w:val="nil"/>
              <w:left w:val="nil"/>
              <w:bottom w:val="nil"/>
              <w:right w:val="nil"/>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(iznos u KM)</w:t>
            </w:r>
          </w:p>
        </w:tc>
      </w:tr>
      <w:tr w:rsidR="008622AB" w:rsidRPr="00930FF2" w:rsidTr="008622AB">
        <w:trPr>
          <w:trHeight w:val="675"/>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Grupa računa</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Pozicija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AOP</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Tekuća godina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Prethodna godina korigovana</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13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A. UKUPNA IMOVINA (002+003+010+018+019)</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24.919.078</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26.957.243</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100 do 102</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 Gotovina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977.591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510.154</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 Ulaganja fonda (004 do 009)</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23.920.789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26.434.612</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200 do 205</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Ulaganja fonda u finansijska sredstva po fer vrijednosti kroz bilans uspjeha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004</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12.303.591</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15.410.131</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210 do 215</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Ulaganja fonda u finansijska sredstva raspoloživa za prodaju</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005</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11.617.198</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11.024.481</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220 do 225</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Ulaganja fonda u finansijska sredstva koja se drži do roka dospijeća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006</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230 do 235</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Depoziti i plasmani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240 do 249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Ulaganja u nekretnine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008</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Ostala ulaganja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009</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III - Potraživanja (011 do 017)</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Potraživanja po osnovu prodaje HOV</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011</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Potraživanja po osnovu prodaje nekretnina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012</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302</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Potraživanja po osnovu kamata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013</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Potraživanja po osnovu dividendi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014</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304</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Potraživanja po osnovu datih avansa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015</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Ostala potraživanja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016</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lastRenderedPageBreak/>
              <w:t>310 do 312</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7. Potraživanja od društva za upravljanje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320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IV - Odložena poreska sredstva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018</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AVR</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019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20.698</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12.477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B. OBAVEZA (021+025+030+031+034+037+038+039)</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1.732.201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1.945.767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 Obaveze iz poslovanja fonda (022 do 024)</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1.982</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400,401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Obaveze po osnovu ulaganja u HOV</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022</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1.982</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Obaveze po osnovu ulaganja u nekretnine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023</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404</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Ostale obaveze iz poslovanja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024</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-Obaveze po osnovu troškova poslovanja (026 do 030)</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025</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7.150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12.718</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Obaveze prema banci depozitaru</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026</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1.000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414</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Obaveze za učešće u dobitku</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415</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Obaveze za porez na dobit</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028</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411,412,413,419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Ostale obaveze iz poslovanja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029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7.150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11.718</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420 do 429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III- Obaveze prema društvu za upravljanje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1.604.784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1.784.222</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IV-Kratkoročne finansijske obaveze (032+033)</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Kratkoročni krediti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431,439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Ostale kratkoročne fiinansijske obaveze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44</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Dugoročne obaveze (035+036)</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440,441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Dugoročni krediti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449</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Ostale dugoročne obaveze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450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 - Ostale obaveze fonda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460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VII- Odložene poreske obaveze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038</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47</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VIII- PVR</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039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120.267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146.845</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NETO IMOVINA FONDA (001-020)</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23.186.877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25.011.476</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G. KAPITAL (042+045+048+053+054-057</w:t>
            </w:r>
            <w:r w:rsidRPr="00930FF2">
              <w:rPr>
                <w:rFonts w:eastAsia="Times New Roman"/>
                <w:b/>
                <w:bCs/>
                <w:sz w:val="20"/>
                <w:szCs w:val="20"/>
                <w:u w:val="single"/>
              </w:rPr>
              <w:t>+</w:t>
            </w:r>
            <w:r w:rsidRPr="00930FF2">
              <w:rPr>
                <w:rFonts w:eastAsia="Times New Roman"/>
                <w:b/>
                <w:bCs/>
                <w:sz w:val="20"/>
                <w:szCs w:val="20"/>
              </w:rPr>
              <w:t xml:space="preserve"> 060)</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23.186.877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25.011.476</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 Osnovni kapital (043+044)</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Akcijsi kapital-redovne akcije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512</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Udjeli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52</w:t>
            </w:r>
          </w:p>
        </w:tc>
        <w:tc>
          <w:tcPr>
            <w:tcW w:w="5130" w:type="dxa"/>
            <w:tcBorders>
              <w:top w:val="nil"/>
              <w:left w:val="nil"/>
              <w:bottom w:val="nil"/>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Kapitalne rezerve (046+047)</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2.619.595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2.619.595</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520</w:t>
            </w:r>
          </w:p>
        </w:tc>
        <w:tc>
          <w:tcPr>
            <w:tcW w:w="5130" w:type="dxa"/>
            <w:tcBorders>
              <w:top w:val="single" w:sz="4" w:space="0" w:color="auto"/>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Emisiona premija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521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Ostale kapitalne rezerve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2.619.595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2.619.595</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III- Revalorizacione rezerve (049 do 052)</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048</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-41.981.756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-45.888.357</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530</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Revalorizacione rezerve po osnovu revalorizacije finansijskih sred. raspoloživih za prodaju</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049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-41.981.756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-45.888.357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531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Revalorizacione rezerve po osnovu instrumenata zaštite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533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Revalorizacione rezerve po osnovu revalorizacije nekretnina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533</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xml:space="preserve">4. Ostale revalorizacione rezerve </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54</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IV - Rezerve iz dobiti</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55</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Neraspoređena dobi (055+056)</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550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Neraspoređeni dobitak ranijih godina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551</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Neraspoređeni dobitak tekuće godine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56</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 - Nepokriveni gubitak (058+059)</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107.152.526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103.818.590</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560</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Nepokriveni gubitak ranijih godina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058</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103.818.590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103.223.288</w:t>
            </w:r>
          </w:p>
        </w:tc>
      </w:tr>
      <w:tr w:rsidR="008622AB" w:rsidRPr="00930FF2" w:rsidTr="008622AB">
        <w:trPr>
          <w:trHeight w:val="255"/>
        </w:trPr>
        <w:tc>
          <w:tcPr>
            <w:tcW w:w="1005" w:type="dxa"/>
            <w:tcBorders>
              <w:top w:val="nil"/>
              <w:left w:val="single" w:sz="4" w:space="0" w:color="auto"/>
              <w:bottom w:val="nil"/>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561</w:t>
            </w:r>
          </w:p>
        </w:tc>
        <w:tc>
          <w:tcPr>
            <w:tcW w:w="5130" w:type="dxa"/>
            <w:tcBorders>
              <w:top w:val="nil"/>
              <w:left w:val="nil"/>
              <w:bottom w:val="nil"/>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Nepokriveni gubitak tekuće godine</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059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3.333.936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595.302</w:t>
            </w:r>
          </w:p>
        </w:tc>
      </w:tr>
      <w:tr w:rsidR="008622AB" w:rsidRPr="00930FF2" w:rsidTr="008622AB">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57</w:t>
            </w:r>
          </w:p>
        </w:tc>
        <w:tc>
          <w:tcPr>
            <w:tcW w:w="5130" w:type="dxa"/>
            <w:tcBorders>
              <w:top w:val="single" w:sz="4" w:space="0" w:color="auto"/>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VII-Nerealizovani dobitak/gubitak (061+062)</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-17.489.723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-15.092.459</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lastRenderedPageBreak/>
              <w:t>570</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Nerealizovani dobici po osnovu finansijskih sredstva po fer vrijednosti kroz bilans uspjeha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061</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571</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Nerealizovani gubici  po osnovu finansijskih sredstva po fer vrijednosti kroz bilans uspjeha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-17.489.723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-15.092.459</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D. BROJ EMITOVANIH AKCIJA/UDJELA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Đ. NETO IMOVINA PO UDJELU/AKCIJI (040/063)</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0,12</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0,13</w:t>
            </w:r>
          </w:p>
        </w:tc>
      </w:tr>
      <w:tr w:rsidR="008622AB" w:rsidRPr="00930FF2" w:rsidTr="008622AB">
        <w:trPr>
          <w:trHeight w:val="45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xml:space="preserve">E. VANBILANSNE EVIDENCIJE                                                                                              </w:t>
            </w:r>
            <w:r w:rsidRPr="00930FF2">
              <w:rPr>
                <w:rFonts w:eastAsia="Times New Roman"/>
                <w:sz w:val="20"/>
                <w:szCs w:val="20"/>
              </w:rPr>
              <w:t xml:space="preserve"> 1. Vanbilansna aktiva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513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Vanbilansna pasiva</w:t>
            </w:r>
          </w:p>
        </w:tc>
        <w:tc>
          <w:tcPr>
            <w:tcW w:w="99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066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bl>
    <w:p w:rsidR="00903EE9" w:rsidRPr="00930FF2" w:rsidRDefault="00903EE9" w:rsidP="0035167D">
      <w:pPr>
        <w:ind w:left="0" w:firstLine="0"/>
        <w:contextualSpacing/>
        <w:jc w:val="left"/>
        <w:rPr>
          <w:sz w:val="20"/>
          <w:szCs w:val="20"/>
        </w:rPr>
      </w:pPr>
    </w:p>
    <w:p w:rsidR="006857F0" w:rsidRPr="00930FF2" w:rsidRDefault="006857F0" w:rsidP="006857F0">
      <w:pPr>
        <w:ind w:left="0" w:firstLine="0"/>
        <w:contextualSpacing/>
        <w:jc w:val="left"/>
      </w:pPr>
      <w:r w:rsidRPr="00930FF2">
        <w:t xml:space="preserve">Bilans uspjeha – izvještaj o ukupnom rezultatu u periodu </w:t>
      </w:r>
    </w:p>
    <w:p w:rsidR="006857F0" w:rsidRPr="00930FF2" w:rsidRDefault="006857F0" w:rsidP="006857F0">
      <w:pPr>
        <w:ind w:left="0" w:firstLine="0"/>
        <w:contextualSpacing/>
        <w:jc w:val="left"/>
      </w:pPr>
      <w:r w:rsidRPr="00930FF2">
        <w:t>od 01.01.2016. godine do 3</w:t>
      </w:r>
      <w:r w:rsidR="008622AB" w:rsidRPr="00930FF2">
        <w:t>0</w:t>
      </w:r>
      <w:r w:rsidRPr="00930FF2">
        <w:t>.0</w:t>
      </w:r>
      <w:r w:rsidR="008622AB" w:rsidRPr="00930FF2">
        <w:t>6</w:t>
      </w:r>
      <w:r w:rsidRPr="00930FF2">
        <w:t>.2016. godine</w:t>
      </w:r>
    </w:p>
    <w:tbl>
      <w:tblPr>
        <w:tblW w:w="9660" w:type="dxa"/>
        <w:tblInd w:w="93" w:type="dxa"/>
        <w:tblLook w:val="04A0"/>
      </w:tblPr>
      <w:tblGrid>
        <w:gridCol w:w="960"/>
        <w:gridCol w:w="5200"/>
        <w:gridCol w:w="960"/>
        <w:gridCol w:w="1280"/>
        <w:gridCol w:w="1260"/>
      </w:tblGrid>
      <w:tr w:rsidR="008622AB" w:rsidRPr="00930FF2" w:rsidTr="008622AB">
        <w:trPr>
          <w:trHeight w:val="255"/>
        </w:trPr>
        <w:tc>
          <w:tcPr>
            <w:tcW w:w="96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520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16"/>
                <w:szCs w:val="16"/>
              </w:rPr>
            </w:pPr>
            <w:r w:rsidRPr="00930FF2">
              <w:rPr>
                <w:rFonts w:ascii="Arial" w:eastAsia="Times New Roman" w:hAnsi="Arial" w:cs="Arial"/>
                <w:sz w:val="16"/>
                <w:szCs w:val="16"/>
              </w:rPr>
              <w:t>(iznos u KM)</w:t>
            </w:r>
          </w:p>
        </w:tc>
      </w:tr>
      <w:tr w:rsidR="008622AB" w:rsidRPr="00930FF2" w:rsidTr="008622A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Grupa računa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Naziv pozicije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AOP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Tekuća godina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Prethodna godina</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20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128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c>
          <w:tcPr>
            <w:tcW w:w="12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A. REALIZOVANI PRIHODI I RASHODI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201</w:t>
            </w:r>
          </w:p>
        </w:tc>
        <w:tc>
          <w:tcPr>
            <w:tcW w:w="128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 Poslovni prihodi (203 do 206)</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202</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654.556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862.776</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700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Prihodi od dividendi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203</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495.622</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751.517</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701, 702</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Prihodi od kamata i amortizacije premije (diskonta) po osnovu HOV sa fiksnim rokom dospijeća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204</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154.927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111.259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703</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Prihodi od zakupa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205</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709</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Ostali poslovni prihodi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206</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4.007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 Realizovani dobitak (208 do 211)</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207</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9.979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710</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Realizovani dobici po osnovu prodaje hartija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208</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9.979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711</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xml:space="preserve">2. Realizovani dobitak po osnovu kursnih razlika </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209</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712</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Realizovani dobici po osnovu prodaje nekretnina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719</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Ostali realizovani dobici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211</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73</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III- Poslovni rashodi (213 do 219)</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212</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105.817</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304.276</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Naknada društvu za upravljanje</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213</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70.562</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265.052</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601</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Troškovi kupovine i prodaje ulaganja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214</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94</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1.794</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602</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Rashodi po osnovu kamata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215</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603</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Naknada članovima Nadzornog odbora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216</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10.448</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15.920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605</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Naknada banci depozitaru</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217</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5.340</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13.153</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607</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Rashodi po osnovu poreza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218</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604,606, 609</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7. Ostali poslovni rashodi fonda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219</w:t>
            </w:r>
          </w:p>
        </w:tc>
        <w:tc>
          <w:tcPr>
            <w:tcW w:w="128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19.373</w:t>
            </w:r>
          </w:p>
        </w:tc>
        <w:tc>
          <w:tcPr>
            <w:tcW w:w="1260" w:type="dxa"/>
            <w:tcBorders>
              <w:top w:val="nil"/>
              <w:left w:val="nil"/>
              <w:bottom w:val="single" w:sz="4" w:space="0" w:color="auto"/>
              <w:right w:val="single" w:sz="4" w:space="0" w:color="auto"/>
            </w:tcBorders>
            <w:shd w:val="clear" w:color="000000" w:fill="FFFFFF"/>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8.357</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IV - Realizovani gubitak (221 do 224)</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3.882.675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610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Realizovani gubici na prodaji hartija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221</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3.882.675</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611</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xml:space="preserve">2. Realizovani gubitak po osnovu kursnih razlika </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222</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612</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Realizovani gubici po osnovu prodaje nekretnina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223</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619</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Ostali realizovani gubici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224</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REALIZOVANI DOBITAK I GUBITAK</w:t>
            </w:r>
            <w:r w:rsidRPr="00930FF2">
              <w:rPr>
                <w:rFonts w:eastAsia="Times New Roman"/>
                <w:sz w:val="20"/>
                <w:szCs w:val="20"/>
              </w:rPr>
              <w:t xml:space="preserve">                                                                        1. Realizovani dobitak (202+207-212-220)</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225</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568.479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Realizovani gubitak (212+220-202-207)</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226</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3.333.936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 Finansijski prihodi (228+229)</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227</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730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Prihodi od kamata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228</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731</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Ostali finansijski prihodi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229</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VII- Finansijski rashodi (231+232)</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630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Rashodi po osnovu kamata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231</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lastRenderedPageBreak/>
              <w:t>631</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Ostali finansijski rashodi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232</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xml:space="preserve">B. REALIZOVANI DOBITAK I GUBITAK PRIJE OPOREZIVANJA                                                                      </w:t>
            </w:r>
            <w:r w:rsidRPr="00930FF2">
              <w:rPr>
                <w:rFonts w:eastAsia="Times New Roman"/>
                <w:sz w:val="20"/>
                <w:szCs w:val="20"/>
              </w:rPr>
              <w:t>1. Realizovani dobitak prije oporezivanja (225+227-230)</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233</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568.479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Realizovani gubitak prije oporezivanja (226+230-227)</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234</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3.333.936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TEKUĆI I ODLOŽENI POREZ NA DOBIT</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235</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821</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Poreski rashod perioda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236</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Odloženi poreski rashod perioda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237</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822 dio</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Odloženi poreski prihod perioda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238</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xml:space="preserve">G. REALIZOVANI DOBITAK I GUBITAK POSLIJE OPOREZIVANJA                       </w:t>
            </w:r>
            <w:r w:rsidRPr="00930FF2">
              <w:rPr>
                <w:rFonts w:eastAsia="Times New Roman"/>
                <w:sz w:val="20"/>
                <w:szCs w:val="20"/>
              </w:rPr>
              <w:t xml:space="preserve">                                                   1. Realizovani dobitak poslije oporezivanja (233-234-236-237+238)</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239</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568.479</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Realizovani gubitak poslije oporezivanja (234-233+236+237-238)</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3.333.936</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D. NEREALIZOVANI DOBICI I GUBICI                                                         I-Nerealizovani dobici (242 do 247)</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241</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1.007.204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1.356.558</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720</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Nerealizovani dobici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242</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1.007.204</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1.356.558</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721</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Nerealizovani dobici po osnovu kursnih razlika na monetarnim sredstvima, osim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243</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722</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Nerealizovani dobici po osnovu kursnih razlika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244</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723</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Nerealizovani dobici po osnovu derivatnih instrumenata zaštite na nekretninama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245</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724</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Nerealizovani dobici na nekretninama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246</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729</w:t>
            </w:r>
          </w:p>
        </w:tc>
        <w:tc>
          <w:tcPr>
            <w:tcW w:w="520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Ostali nerealizovani dobici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247</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Nerealizovani gubici (249do 254)</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248</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3.606.617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1.849.093</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620</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Nerealizovani gubici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249</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3.606.617</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1.849.093</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621</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Nerealizovani gubici po osnovu kursnih razlika na monetarnim sredstvima, osim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622</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Nerealizovani gubcii po osnovu kursnih razlika na hartijama od vrijednosti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251</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623</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Nerealizovani gubici po osnovu derivatnih instrumenata zaštite na nekretninama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252</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624</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Nerealizovani gubici na nekretninama</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253</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629</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Ostali nerealizovani gubici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254</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Đ. UKUPNI NEREALIZOVANI DOBICI (GUBICI) FONDA</w:t>
            </w:r>
            <w:r w:rsidRPr="00930FF2">
              <w:rPr>
                <w:rFonts w:eastAsia="Times New Roman"/>
                <w:sz w:val="20"/>
                <w:szCs w:val="20"/>
              </w:rPr>
              <w:t xml:space="preserve">                                                                                                                 1. Ukupni nerealizovani dobitak (241-248)</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255</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Ukupni nerealizovani gubitak (248-241)</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256</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2.599.413</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492.535</w:t>
            </w:r>
          </w:p>
        </w:tc>
      </w:tr>
      <w:tr w:rsidR="008622AB" w:rsidRPr="00930FF2" w:rsidTr="008622AB">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xml:space="preserve">E. POVEĆANJE (SMANJENJE) NETO IMOVINE OD POSLOVANJA FONDA                                                                                                                              </w:t>
            </w:r>
            <w:r w:rsidRPr="00930FF2">
              <w:rPr>
                <w:rFonts w:eastAsia="Times New Roman"/>
                <w:sz w:val="20"/>
                <w:szCs w:val="20"/>
              </w:rPr>
              <w:t>1. Povećanje neto imovine fonda (239-240+255-256)</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257</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75.944</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Smanjenje neto imovine fonda (240-239+256-255)</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258</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5.933.349</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Obična zarada po akciji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259</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Razrijeđena zarada po akciji</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260</w:t>
            </w:r>
          </w:p>
        </w:tc>
        <w:tc>
          <w:tcPr>
            <w:tcW w:w="12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bl>
    <w:p w:rsidR="006857F0" w:rsidRPr="00930FF2" w:rsidRDefault="006857F0" w:rsidP="006857F0">
      <w:pPr>
        <w:ind w:left="0" w:firstLine="0"/>
        <w:contextualSpacing/>
        <w:jc w:val="left"/>
        <w:rPr>
          <w:sz w:val="20"/>
          <w:szCs w:val="20"/>
        </w:rPr>
      </w:pPr>
    </w:p>
    <w:p w:rsidR="006857F0" w:rsidRPr="00930FF2" w:rsidRDefault="006857F0" w:rsidP="006857F0">
      <w:pPr>
        <w:ind w:left="0" w:firstLine="0"/>
        <w:contextualSpacing/>
        <w:jc w:val="left"/>
      </w:pPr>
      <w:r w:rsidRPr="00930FF2">
        <w:t xml:space="preserve">Bilans tokova gotovine – izvještaj o tokovima gotovine </w:t>
      </w:r>
    </w:p>
    <w:p w:rsidR="006857F0" w:rsidRPr="00930FF2" w:rsidRDefault="006857F0" w:rsidP="006857F0">
      <w:pPr>
        <w:ind w:left="0" w:firstLine="0"/>
        <w:contextualSpacing/>
        <w:jc w:val="left"/>
      </w:pPr>
      <w:r w:rsidRPr="00930FF2">
        <w:t>za period od 01.01.2016. godine do 3</w:t>
      </w:r>
      <w:r w:rsidR="008622AB" w:rsidRPr="00930FF2">
        <w:t>0</w:t>
      </w:r>
      <w:r w:rsidRPr="00930FF2">
        <w:t>.0</w:t>
      </w:r>
      <w:r w:rsidR="008622AB" w:rsidRPr="00930FF2">
        <w:t>6</w:t>
      </w:r>
      <w:r w:rsidRPr="00930FF2">
        <w:t>.2016. godine</w:t>
      </w:r>
    </w:p>
    <w:tbl>
      <w:tblPr>
        <w:tblW w:w="8180" w:type="dxa"/>
        <w:tblInd w:w="93" w:type="dxa"/>
        <w:tblLook w:val="04A0"/>
      </w:tblPr>
      <w:tblGrid>
        <w:gridCol w:w="4600"/>
        <w:gridCol w:w="760"/>
        <w:gridCol w:w="940"/>
        <w:gridCol w:w="1116"/>
        <w:gridCol w:w="960"/>
      </w:tblGrid>
      <w:tr w:rsidR="008622AB" w:rsidRPr="00930FF2" w:rsidTr="008622AB">
        <w:trPr>
          <w:trHeight w:val="255"/>
        </w:trPr>
        <w:tc>
          <w:tcPr>
            <w:tcW w:w="4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Opis</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AOP</w:t>
            </w:r>
          </w:p>
        </w:tc>
        <w:tc>
          <w:tcPr>
            <w:tcW w:w="186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Iznos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Indeks</w:t>
            </w:r>
          </w:p>
        </w:tc>
      </w:tr>
      <w:tr w:rsidR="008622AB" w:rsidRPr="00930FF2" w:rsidTr="008622AB">
        <w:trPr>
          <w:trHeight w:val="450"/>
        </w:trPr>
        <w:tc>
          <w:tcPr>
            <w:tcW w:w="4600" w:type="dxa"/>
            <w:vMerge/>
            <w:tcBorders>
              <w:top w:val="single" w:sz="4" w:space="0" w:color="auto"/>
              <w:left w:val="single" w:sz="4" w:space="0" w:color="auto"/>
              <w:bottom w:val="single" w:sz="4" w:space="0" w:color="auto"/>
              <w:right w:val="single" w:sz="4" w:space="0" w:color="auto"/>
            </w:tcBorders>
            <w:vAlign w:val="center"/>
            <w:hideMark/>
          </w:tcPr>
          <w:p w:rsidR="008622AB" w:rsidRPr="00930FF2" w:rsidRDefault="008622AB" w:rsidP="008622AB">
            <w:pPr>
              <w:ind w:left="0" w:firstLine="0"/>
              <w:jc w:val="left"/>
              <w:rPr>
                <w:rFonts w:eastAsia="Times New Roman"/>
                <w:b/>
                <w:bCs/>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8622AB" w:rsidRPr="00930FF2" w:rsidRDefault="008622AB" w:rsidP="008622AB">
            <w:pPr>
              <w:ind w:left="0" w:firstLine="0"/>
              <w:jc w:val="left"/>
              <w:rPr>
                <w:rFonts w:eastAsia="Times New Roman"/>
                <w:b/>
                <w:bCs/>
                <w:sz w:val="20"/>
                <w:szCs w:val="20"/>
              </w:rPr>
            </w:pPr>
          </w:p>
        </w:tc>
        <w:tc>
          <w:tcPr>
            <w:tcW w:w="940" w:type="dxa"/>
            <w:tcBorders>
              <w:top w:val="nil"/>
              <w:left w:val="nil"/>
              <w:bottom w:val="single" w:sz="4" w:space="0" w:color="auto"/>
              <w:right w:val="single" w:sz="4" w:space="0" w:color="auto"/>
            </w:tcBorders>
            <w:shd w:val="clear" w:color="000000" w:fill="C0C0C0"/>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Tekuća godina</w:t>
            </w:r>
          </w:p>
        </w:tc>
        <w:tc>
          <w:tcPr>
            <w:tcW w:w="920" w:type="dxa"/>
            <w:tcBorders>
              <w:top w:val="nil"/>
              <w:left w:val="nil"/>
              <w:bottom w:val="single" w:sz="4" w:space="0" w:color="auto"/>
              <w:right w:val="single" w:sz="4" w:space="0" w:color="auto"/>
            </w:tcBorders>
            <w:shd w:val="clear" w:color="000000" w:fill="C0C0C0"/>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Prethodna godina</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622AB" w:rsidRPr="00930FF2" w:rsidRDefault="008622AB" w:rsidP="008622AB">
            <w:pPr>
              <w:ind w:left="0" w:firstLine="0"/>
              <w:jc w:val="left"/>
              <w:rPr>
                <w:rFonts w:eastAsia="Times New Roman"/>
                <w:b/>
                <w:bCs/>
                <w:sz w:val="20"/>
                <w:szCs w:val="20"/>
              </w:rPr>
            </w:pP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lastRenderedPageBreak/>
              <w:t>1</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92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r>
      <w:tr w:rsidR="008622AB" w:rsidRPr="00930FF2" w:rsidTr="008622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A. Novčani tokovi iz poslovnih aktivnosti</w:t>
            </w:r>
            <w:r w:rsidRPr="00930FF2">
              <w:rPr>
                <w:rFonts w:eastAsia="Times New Roman"/>
                <w:sz w:val="20"/>
                <w:szCs w:val="20"/>
              </w:rPr>
              <w:t xml:space="preserve">                                      I- Prilivi gotovine iz poslovnih aktivnosti (402 do 406)</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401</w:t>
            </w:r>
          </w:p>
        </w:tc>
        <w:tc>
          <w:tcPr>
            <w:tcW w:w="9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804.279</w:t>
            </w:r>
          </w:p>
        </w:tc>
        <w:tc>
          <w:tcPr>
            <w:tcW w:w="92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1.109.410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0,72</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Prilivi po osnovu prodaje ulaganja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402</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31.582</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139.958</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0,23</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xml:space="preserve">2. Prilivi po osnovu dividende </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403</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455.223</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751.517</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9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Prilivi po osnovu kamata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404</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182.103</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111.259</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1,64</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Prilivi po osnovu refundiranja rashoda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405</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Ostali prilivi od operativnih aktivnosti</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406</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135.371</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106.676</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1,27</w:t>
            </w:r>
          </w:p>
        </w:tc>
      </w:tr>
      <w:tr w:rsidR="008622AB" w:rsidRPr="00930FF2" w:rsidTr="008622AB">
        <w:trPr>
          <w:trHeight w:val="61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 Odlivi gotovine iz operativnih aktivnosti (408 do 418)</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407</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336.842</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692.409</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0,49</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Odlivi po osnovu kupovine ulaganja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408</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Odlivi po osnovu ulaganja u HOV</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409</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44.112</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479.379</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0,09</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Odlivi po osnovu ostalih ulaganja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410</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Odlivi po osnovu naknada društvu za upravljanje</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411</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250.000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165.052</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1,51</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5. Odlivi po osnovu rashoda za kamate</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412</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6. Odlivi po osnovu troškova kupovine i prodaje HOV</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413</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1.684</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7. Odlivi po osnovu naknade eksternom revizoru</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414</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1.404</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1.755</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8. Odlivi po osnovu troškova banke depozitara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415</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6.340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15.903</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0,40</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9. Odlivi po osnovu ostalih rashoda iz operativne aktivnosti</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416</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34.986</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28.636</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1,22</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10. Odlivi po osnovu poreza na dobit</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417</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11. Odlivi po osnovu ostalih rashoda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418</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7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III Neto priliv gotovine iz poslovnih aktivnosti (401-407)</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419</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467.437</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417.001</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0,00</w:t>
            </w:r>
          </w:p>
        </w:tc>
      </w:tr>
      <w:tr w:rsidR="008622AB" w:rsidRPr="00930FF2" w:rsidTr="008622AB">
        <w:trPr>
          <w:trHeight w:val="28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IV Neto odliv gotovine iz poslovnih aktivnosti (407-401)</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420</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0,00</w:t>
            </w:r>
          </w:p>
        </w:tc>
      </w:tr>
      <w:tr w:rsidR="008622AB" w:rsidRPr="00930FF2" w:rsidTr="008622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B. Tokovi gotovine iz aktivnosti finansiranja                       I Prilivi gotovine iz aktivnosti finansiranja (422+423)</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421</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Priliv od izdavanja udjela/emisije akcija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422</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Prilivi od zaduživanja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423</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II Odlivi gotovine iz aktivnosti finansiranja (425 do 428)</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424</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1. Odlivi po osnovu razduživanja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425</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2. Odlivi po osnovu otkupa sopstvenih akcija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426</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3. Odlivi po osnovu isplate dividendi</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427</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4. Odlivi po osnovu isplate učešća u dobiti</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428</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III Neto priliv gotovine iz aktivnosti finansiranja (421-424)</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429</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IV Neto odliv gotovine iz aktivnosti finansiranja (424-421)</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430</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 Ukupni prilivi gotovine (401+421)</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431</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804.279</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1.109.410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0,72</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G. Ukupni odlivi gotovine (407+424)</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432</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336.842</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692.409</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0,49</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D. Neto  priliv gotovine (431-432)</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433</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467.437</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417.001</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Đ. Neto odliv gotovine (432-431)</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434</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E. Gotovina na početku perioda</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435</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510.154</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b/>
                <w:bCs/>
                <w:sz w:val="20"/>
                <w:szCs w:val="20"/>
              </w:rPr>
            </w:pPr>
            <w:r w:rsidRPr="00930FF2">
              <w:rPr>
                <w:rFonts w:eastAsia="Times New Roman"/>
                <w:b/>
                <w:bCs/>
                <w:sz w:val="20"/>
                <w:szCs w:val="20"/>
              </w:rPr>
              <w:t>329.776</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1,55</w:t>
            </w:r>
          </w:p>
        </w:tc>
      </w:tr>
      <w:tr w:rsidR="008622AB" w:rsidRPr="00930FF2" w:rsidTr="008622AB">
        <w:trPr>
          <w:trHeight w:val="450"/>
        </w:trPr>
        <w:tc>
          <w:tcPr>
            <w:tcW w:w="4600" w:type="dxa"/>
            <w:tcBorders>
              <w:top w:val="nil"/>
              <w:left w:val="single" w:sz="4" w:space="0" w:color="auto"/>
              <w:bottom w:val="nil"/>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Ž. Pozitivne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436</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lastRenderedPageBreak/>
              <w:t>Z. Negativne kursne razlike po osnovu preračuna gotovine</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437</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450"/>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I. GOTOVINA NA KRAJU OBRAČUNSKOG PERIODA (435+433-434+436-437)</w:t>
            </w:r>
          </w:p>
        </w:tc>
        <w:tc>
          <w:tcPr>
            <w:tcW w:w="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438</w:t>
            </w:r>
          </w:p>
        </w:tc>
        <w:tc>
          <w:tcPr>
            <w:tcW w:w="9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977.591</w:t>
            </w:r>
          </w:p>
        </w:tc>
        <w:tc>
          <w:tcPr>
            <w:tcW w:w="9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746.777</w:t>
            </w:r>
          </w:p>
        </w:tc>
        <w:tc>
          <w:tcPr>
            <w:tcW w:w="9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1,31</w:t>
            </w:r>
          </w:p>
        </w:tc>
      </w:tr>
    </w:tbl>
    <w:p w:rsidR="008622AB" w:rsidRPr="00930FF2" w:rsidRDefault="008622AB" w:rsidP="006857F0">
      <w:pPr>
        <w:ind w:left="0" w:firstLine="0"/>
        <w:contextualSpacing/>
        <w:jc w:val="left"/>
      </w:pPr>
    </w:p>
    <w:p w:rsidR="006857F0" w:rsidRPr="00930FF2" w:rsidRDefault="006857F0" w:rsidP="006857F0">
      <w:pPr>
        <w:ind w:left="0" w:firstLine="0"/>
        <w:contextualSpacing/>
        <w:jc w:val="left"/>
      </w:pPr>
      <w:r w:rsidRPr="00930FF2">
        <w:t>Izvještaj o promjenama neto imovine investicionog fonda</w:t>
      </w:r>
    </w:p>
    <w:p w:rsidR="006857F0" w:rsidRPr="00930FF2" w:rsidRDefault="006857F0" w:rsidP="006857F0">
      <w:pPr>
        <w:ind w:left="0" w:firstLine="0"/>
        <w:contextualSpacing/>
        <w:jc w:val="left"/>
      </w:pPr>
      <w:r w:rsidRPr="00930FF2">
        <w:t>za period od 01.01.2016. godine do 3</w:t>
      </w:r>
      <w:r w:rsidR="008622AB" w:rsidRPr="00930FF2">
        <w:t>0</w:t>
      </w:r>
      <w:r w:rsidRPr="00930FF2">
        <w:t>.0</w:t>
      </w:r>
      <w:r w:rsidR="008622AB" w:rsidRPr="00930FF2">
        <w:t>6</w:t>
      </w:r>
      <w:r w:rsidRPr="00930FF2">
        <w:t>.2016. godine</w:t>
      </w:r>
    </w:p>
    <w:tbl>
      <w:tblPr>
        <w:tblW w:w="9100" w:type="dxa"/>
        <w:tblInd w:w="93" w:type="dxa"/>
        <w:tblLook w:val="04A0"/>
      </w:tblPr>
      <w:tblGrid>
        <w:gridCol w:w="694"/>
        <w:gridCol w:w="5740"/>
        <w:gridCol w:w="617"/>
        <w:gridCol w:w="1216"/>
        <w:gridCol w:w="1216"/>
      </w:tblGrid>
      <w:tr w:rsidR="008622AB" w:rsidRPr="00930FF2" w:rsidTr="008622AB">
        <w:trPr>
          <w:trHeight w:val="255"/>
        </w:trPr>
        <w:tc>
          <w:tcPr>
            <w:tcW w:w="5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57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5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ascii="Arial" w:eastAsia="Times New Roman" w:hAnsi="Arial" w:cs="Arial"/>
                <w:sz w:val="16"/>
                <w:szCs w:val="16"/>
              </w:rPr>
            </w:pPr>
            <w:r w:rsidRPr="00930FF2">
              <w:rPr>
                <w:rFonts w:ascii="Arial" w:eastAsia="Times New Roman" w:hAnsi="Arial" w:cs="Arial"/>
                <w:sz w:val="16"/>
                <w:szCs w:val="16"/>
              </w:rPr>
              <w:t>(iznos u KM)</w:t>
            </w:r>
          </w:p>
        </w:tc>
      </w:tr>
      <w:tr w:rsidR="008622AB" w:rsidRPr="00930FF2" w:rsidTr="008622AB">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Redni broj</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Pozicija</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AOP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Prethodna godina</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7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Povećanje (smanjenje) neto imovine od poslovanja fonda (302 do 306)</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301</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-1.824.599</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-3.638.522</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Realizovani dobitak (gubitak) od ulaganja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302</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-3.333.936</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568.479</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Ukupni narealizovani dobici (gubici) od ulaganja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303</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-2.397.264</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-492.535</w:t>
            </w:r>
          </w:p>
        </w:tc>
      </w:tr>
      <w:tr w:rsidR="008622AB" w:rsidRPr="00930FF2" w:rsidTr="008622AB">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574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Revalorizacione rezerve po osnovu finansijskih ulaganja raspoloživih za prodaju</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304</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3.906.601</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-3.714.466</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c>
          <w:tcPr>
            <w:tcW w:w="5740" w:type="dxa"/>
            <w:tcBorders>
              <w:top w:val="nil"/>
              <w:left w:val="nil"/>
              <w:bottom w:val="nil"/>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Revalotizacione rezerve po osnovu derivata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305</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Revalorizacione rezerve po osnovu nekretnina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306</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7</w:t>
            </w:r>
          </w:p>
        </w:tc>
        <w:tc>
          <w:tcPr>
            <w:tcW w:w="5740" w:type="dxa"/>
            <w:tcBorders>
              <w:top w:val="nil"/>
              <w:left w:val="nil"/>
              <w:bottom w:val="nil"/>
              <w:right w:val="single" w:sz="4" w:space="0" w:color="auto"/>
            </w:tcBorders>
            <w:shd w:val="clear" w:color="auto" w:fill="auto"/>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Povećenje neto imovine po osnovu transakcija sa udjelima/akcijama fonda (308-309)</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8</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Povećanje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308</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9</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Smanjenje po osnovu povlačenja udjela/akcija fonda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309</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10</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Ukupno povećanje (smanjenje) neto imovine fonda (301+308-309)</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-1.824.599</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-3.638.522</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11</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Neto imovina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311</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12</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312</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25.011.476</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30.049.982</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13</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313</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23.186.877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26.411.460</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14</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Broj udjela/akcija fonda u periodu</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314</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15</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Broj udjela/akcija na početku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315</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16</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Izdati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316</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17</w:t>
            </w:r>
          </w:p>
        </w:tc>
        <w:tc>
          <w:tcPr>
            <w:tcW w:w="57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Povučeni udjeli/akcije u toku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18</w:t>
            </w:r>
          </w:p>
        </w:tc>
        <w:tc>
          <w:tcPr>
            <w:tcW w:w="574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Broj udjela/akcija na kraju perioda</w:t>
            </w:r>
          </w:p>
        </w:tc>
        <w:tc>
          <w:tcPr>
            <w:tcW w:w="5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318</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bl>
    <w:p w:rsidR="009D7531" w:rsidRPr="00930FF2" w:rsidRDefault="009D7531" w:rsidP="006857F0">
      <w:pPr>
        <w:ind w:left="0" w:firstLine="0"/>
        <w:contextualSpacing/>
        <w:jc w:val="left"/>
        <w:rPr>
          <w:sz w:val="20"/>
          <w:szCs w:val="20"/>
        </w:rPr>
      </w:pPr>
    </w:p>
    <w:p w:rsidR="006857F0" w:rsidRPr="00930FF2" w:rsidRDefault="006857F0" w:rsidP="006857F0">
      <w:pPr>
        <w:ind w:left="0" w:firstLine="0"/>
        <w:contextualSpacing/>
        <w:jc w:val="left"/>
      </w:pPr>
      <w:r w:rsidRPr="00930FF2">
        <w:t>Izvještaj o finansijskim pokazateljima fonda</w:t>
      </w:r>
    </w:p>
    <w:p w:rsidR="006857F0" w:rsidRPr="00930FF2" w:rsidRDefault="006857F0" w:rsidP="006857F0">
      <w:pPr>
        <w:ind w:left="0" w:firstLine="0"/>
        <w:contextualSpacing/>
        <w:jc w:val="left"/>
      </w:pPr>
      <w:r w:rsidRPr="00930FF2">
        <w:t>za period od 01.01.2016. godine do 3</w:t>
      </w:r>
      <w:r w:rsidR="008622AB" w:rsidRPr="00930FF2">
        <w:t>0</w:t>
      </w:r>
      <w:r w:rsidRPr="00930FF2">
        <w:t>.0</w:t>
      </w:r>
      <w:r w:rsidR="008622AB" w:rsidRPr="00930FF2">
        <w:t>6</w:t>
      </w:r>
      <w:r w:rsidRPr="00930FF2">
        <w:t>.2016. godine</w:t>
      </w:r>
    </w:p>
    <w:tbl>
      <w:tblPr>
        <w:tblW w:w="9080" w:type="dxa"/>
        <w:tblInd w:w="93" w:type="dxa"/>
        <w:tblLook w:val="04A0"/>
      </w:tblPr>
      <w:tblGrid>
        <w:gridCol w:w="700"/>
        <w:gridCol w:w="5580"/>
        <w:gridCol w:w="640"/>
        <w:gridCol w:w="1216"/>
        <w:gridCol w:w="1216"/>
      </w:tblGrid>
      <w:tr w:rsidR="008622AB" w:rsidRPr="00930FF2" w:rsidTr="008622AB">
        <w:trPr>
          <w:trHeight w:val="255"/>
        </w:trPr>
        <w:tc>
          <w:tcPr>
            <w:tcW w:w="70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p>
        </w:tc>
        <w:tc>
          <w:tcPr>
            <w:tcW w:w="558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p>
        </w:tc>
        <w:tc>
          <w:tcPr>
            <w:tcW w:w="6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p>
        </w:tc>
        <w:tc>
          <w:tcPr>
            <w:tcW w:w="102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p>
        </w:tc>
        <w:tc>
          <w:tcPr>
            <w:tcW w:w="1140" w:type="dxa"/>
            <w:tcBorders>
              <w:top w:val="nil"/>
              <w:left w:val="nil"/>
              <w:bottom w:val="nil"/>
              <w:right w:val="nil"/>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(iznos u KM)</w:t>
            </w:r>
          </w:p>
        </w:tc>
      </w:tr>
      <w:tr w:rsidR="008622AB" w:rsidRPr="00930FF2" w:rsidTr="008622AB">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Redni broj</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Pozicija imovine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AOP</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Tekuća godina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Prethodna godina</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58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102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I</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Vrijednost neto imovine po udjelu/akciji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501</w:t>
            </w:r>
          </w:p>
        </w:tc>
        <w:tc>
          <w:tcPr>
            <w:tcW w:w="102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 </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Neto imovina fonda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502</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25.011.476</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30.049.982</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Broj udjela/akcija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503</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558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Vrijednost udjela na početku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504</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0,13</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0,16</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II</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Vrijednost neto imovine fonda po udjelu/akciji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505</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580" w:type="dxa"/>
            <w:tcBorders>
              <w:top w:val="nil"/>
              <w:left w:val="nil"/>
              <w:bottom w:val="single" w:sz="4" w:space="0" w:color="auto"/>
              <w:right w:val="single" w:sz="4" w:space="0" w:color="auto"/>
            </w:tcBorders>
            <w:shd w:val="clear" w:color="auto" w:fill="auto"/>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Neto imovina fonda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506</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23.186.877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26.411.460</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5580" w:type="dxa"/>
            <w:tcBorders>
              <w:top w:val="nil"/>
              <w:left w:val="nil"/>
              <w:bottom w:val="nil"/>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Broj udjela/akcija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507</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187.191.287</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lastRenderedPageBreak/>
              <w:t>3</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Vrijednost udjela/akcije na kraju perioda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508</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0,12</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0,14</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b/>
                <w:bCs/>
                <w:sz w:val="20"/>
                <w:szCs w:val="20"/>
              </w:rPr>
            </w:pPr>
            <w:r w:rsidRPr="00930FF2">
              <w:rPr>
                <w:rFonts w:eastAsia="Times New Roman"/>
                <w:b/>
                <w:bCs/>
                <w:sz w:val="20"/>
                <w:szCs w:val="20"/>
              </w:rPr>
              <w:t>III</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b/>
                <w:bCs/>
                <w:sz w:val="20"/>
                <w:szCs w:val="20"/>
              </w:rPr>
            </w:pPr>
            <w:r w:rsidRPr="00930FF2">
              <w:rPr>
                <w:rFonts w:eastAsia="Times New Roman"/>
                <w:b/>
                <w:bCs/>
                <w:sz w:val="20"/>
                <w:szCs w:val="20"/>
              </w:rPr>
              <w:t>Finansijski pokazatelji</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509</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Odnos rashoda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510</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0,03</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0,02</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Odnos realizovane dobiti od ulaganja i prosječne neto imovine</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511</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Isplaćeni iznos investitorima u toku godine</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512</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r>
      <w:tr w:rsidR="008622AB" w:rsidRPr="00930FF2" w:rsidTr="008622A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55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Stopa prinosa na neto imovinu fonda</w:t>
            </w:r>
          </w:p>
        </w:tc>
        <w:tc>
          <w:tcPr>
            <w:tcW w:w="6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513</w:t>
            </w:r>
          </w:p>
        </w:tc>
        <w:tc>
          <w:tcPr>
            <w:tcW w:w="102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c>
          <w:tcPr>
            <w:tcW w:w="11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w:t>
            </w:r>
          </w:p>
        </w:tc>
      </w:tr>
    </w:tbl>
    <w:p w:rsidR="008622AB" w:rsidRPr="00930FF2" w:rsidRDefault="008622AB" w:rsidP="006857F0">
      <w:pPr>
        <w:ind w:left="0" w:firstLine="0"/>
        <w:contextualSpacing/>
        <w:jc w:val="left"/>
        <w:rPr>
          <w:sz w:val="20"/>
          <w:szCs w:val="20"/>
        </w:rPr>
      </w:pPr>
    </w:p>
    <w:p w:rsidR="006857F0" w:rsidRPr="00930FF2" w:rsidRDefault="006857F0" w:rsidP="006857F0">
      <w:pPr>
        <w:ind w:left="0" w:firstLine="0"/>
        <w:contextualSpacing/>
        <w:jc w:val="left"/>
      </w:pPr>
      <w:r w:rsidRPr="00930FF2">
        <w:t>Izvještaj o strukturi ulaganja investicionog fonda po vrstama imovine</w:t>
      </w:r>
    </w:p>
    <w:p w:rsidR="006857F0" w:rsidRPr="00930FF2" w:rsidRDefault="006857F0" w:rsidP="006857F0">
      <w:pPr>
        <w:ind w:left="0" w:firstLine="0"/>
        <w:contextualSpacing/>
        <w:jc w:val="left"/>
      </w:pPr>
      <w:r w:rsidRPr="00930FF2">
        <w:t>sa stanjem na dan 3</w:t>
      </w:r>
      <w:r w:rsidR="008622AB" w:rsidRPr="00930FF2">
        <w:t>0</w:t>
      </w:r>
      <w:r w:rsidRPr="00930FF2">
        <w:t>.0</w:t>
      </w:r>
      <w:r w:rsidR="008622AB" w:rsidRPr="00930FF2">
        <w:t>6</w:t>
      </w:r>
      <w:r w:rsidRPr="00930FF2">
        <w:t>.2016. godine</w:t>
      </w:r>
    </w:p>
    <w:tbl>
      <w:tblPr>
        <w:tblW w:w="6940" w:type="dxa"/>
        <w:tblInd w:w="93" w:type="dxa"/>
        <w:tblLook w:val="04A0"/>
      </w:tblPr>
      <w:tblGrid>
        <w:gridCol w:w="694"/>
        <w:gridCol w:w="2840"/>
        <w:gridCol w:w="1760"/>
        <w:gridCol w:w="1680"/>
      </w:tblGrid>
      <w:tr w:rsidR="008622AB" w:rsidRPr="00930FF2" w:rsidTr="008622AB">
        <w:trPr>
          <w:trHeight w:val="7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Redni broj</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Opis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Ukupna vrijednost na dan izvještavanja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Učešće u vrijednosti imovine fonda (%)</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284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176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1</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Akcije</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17.917.725</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71,9216</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2</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Obveznice</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3.446.146</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13,8328</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3</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Ostale hartije od vrijednosti</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2.556.918</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10,2634</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4</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Depoziti i plasmani</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0,0000</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5</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Gotovina i gotovinski ekvivalenti</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977.591</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3,9240</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622AB" w:rsidRPr="00930FF2" w:rsidRDefault="008622AB" w:rsidP="008622AB">
            <w:pPr>
              <w:ind w:left="0" w:firstLine="0"/>
              <w:jc w:val="center"/>
              <w:rPr>
                <w:rFonts w:eastAsia="Times New Roman"/>
                <w:sz w:val="20"/>
                <w:szCs w:val="20"/>
              </w:rPr>
            </w:pPr>
            <w:r w:rsidRPr="00930FF2">
              <w:rPr>
                <w:rFonts w:eastAsia="Times New Roman"/>
                <w:sz w:val="20"/>
                <w:szCs w:val="20"/>
              </w:rPr>
              <w:t>6</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Nekretnine</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0,0000</w:t>
            </w:r>
          </w:p>
        </w:tc>
      </w:tr>
      <w:tr w:rsidR="008622AB" w:rsidRPr="00930FF2" w:rsidTr="008622A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left"/>
              <w:rPr>
                <w:rFonts w:eastAsia="Times New Roman"/>
                <w:sz w:val="20"/>
                <w:szCs w:val="20"/>
              </w:rPr>
            </w:pPr>
            <w:r w:rsidRPr="00930FF2">
              <w:rPr>
                <w:rFonts w:eastAsia="Times New Roman"/>
                <w:sz w:val="20"/>
                <w:szCs w:val="20"/>
              </w:rPr>
              <w:t>Ukupno</w:t>
            </w:r>
          </w:p>
        </w:tc>
        <w:tc>
          <w:tcPr>
            <w:tcW w:w="176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24.898.380</w:t>
            </w:r>
          </w:p>
        </w:tc>
        <w:tc>
          <w:tcPr>
            <w:tcW w:w="1680" w:type="dxa"/>
            <w:tcBorders>
              <w:top w:val="nil"/>
              <w:left w:val="nil"/>
              <w:bottom w:val="single" w:sz="4" w:space="0" w:color="auto"/>
              <w:right w:val="single" w:sz="4" w:space="0" w:color="auto"/>
            </w:tcBorders>
            <w:shd w:val="clear" w:color="auto" w:fill="auto"/>
            <w:noWrap/>
            <w:vAlign w:val="bottom"/>
            <w:hideMark/>
          </w:tcPr>
          <w:p w:rsidR="008622AB" w:rsidRPr="00930FF2" w:rsidRDefault="008622AB" w:rsidP="008622AB">
            <w:pPr>
              <w:ind w:left="0" w:firstLine="0"/>
              <w:jc w:val="right"/>
              <w:rPr>
                <w:rFonts w:eastAsia="Times New Roman"/>
                <w:sz w:val="20"/>
                <w:szCs w:val="20"/>
              </w:rPr>
            </w:pPr>
            <w:r w:rsidRPr="00930FF2">
              <w:rPr>
                <w:rFonts w:eastAsia="Times New Roman"/>
                <w:sz w:val="20"/>
                <w:szCs w:val="20"/>
              </w:rPr>
              <w:t>99,9419</w:t>
            </w:r>
          </w:p>
        </w:tc>
      </w:tr>
    </w:tbl>
    <w:p w:rsidR="006857F0" w:rsidRPr="00930FF2" w:rsidRDefault="006857F0" w:rsidP="006857F0">
      <w:pPr>
        <w:ind w:left="0" w:firstLine="0"/>
        <w:contextualSpacing/>
        <w:jc w:val="left"/>
      </w:pPr>
    </w:p>
    <w:p w:rsidR="00AF77E6" w:rsidRPr="00930FF2" w:rsidRDefault="00712FD8" w:rsidP="0035167D">
      <w:pPr>
        <w:ind w:left="0" w:firstLine="0"/>
        <w:contextualSpacing/>
        <w:jc w:val="left"/>
      </w:pPr>
      <w:r w:rsidRPr="00930FF2">
        <w:t xml:space="preserve">Izjavljujemo da </w:t>
      </w:r>
      <w:r w:rsidR="008622AB" w:rsidRPr="00930FF2">
        <w:t>polugodišnji</w:t>
      </w:r>
      <w:r w:rsidRPr="00930FF2">
        <w:t xml:space="preserve"> finansijski izvještaji Fonda sa stanjem na dan 3</w:t>
      </w:r>
      <w:r w:rsidR="008622AB" w:rsidRPr="00930FF2">
        <w:t>0</w:t>
      </w:r>
      <w:r w:rsidRPr="00930FF2">
        <w:t>.0</w:t>
      </w:r>
      <w:r w:rsidR="008622AB" w:rsidRPr="00930FF2">
        <w:t>6</w:t>
      </w:r>
      <w:r w:rsidRPr="00930FF2">
        <w:t>.2016. godine, nisu revidirani.</w:t>
      </w:r>
    </w:p>
    <w:p w:rsidR="00712FD8" w:rsidRPr="00930FF2" w:rsidRDefault="00712FD8" w:rsidP="00712FD8">
      <w:pPr>
        <w:ind w:left="0" w:firstLine="0"/>
        <w:rPr>
          <w:b/>
          <w:lang w:val="sr-Latn-BA"/>
        </w:rPr>
      </w:pPr>
    </w:p>
    <w:p w:rsidR="00712FD8" w:rsidRPr="00930FF2" w:rsidRDefault="00712FD8" w:rsidP="00712FD8">
      <w:pPr>
        <w:ind w:left="0" w:firstLine="0"/>
        <w:rPr>
          <w:b/>
          <w:lang w:val="sr-Latn-BA"/>
        </w:rPr>
      </w:pPr>
      <w:r w:rsidRPr="00930FF2">
        <w:rPr>
          <w:b/>
          <w:lang w:val="sr-Latn-BA"/>
        </w:rPr>
        <w:t>Politika dividende</w:t>
      </w:r>
      <w:r w:rsidR="00B5457E" w:rsidRPr="00930FF2">
        <w:rPr>
          <w:b/>
          <w:lang w:val="sr-Latn-BA"/>
        </w:rPr>
        <w:t>:</w:t>
      </w:r>
    </w:p>
    <w:p w:rsidR="00712FD8" w:rsidRPr="00930FF2" w:rsidRDefault="00712FD8" w:rsidP="00712FD8">
      <w:pPr>
        <w:ind w:left="0" w:firstLine="0"/>
        <w:rPr>
          <w:lang w:val="sr-Latn-BA"/>
        </w:rPr>
      </w:pPr>
      <w:r w:rsidRPr="00930FF2">
        <w:rPr>
          <w:lang w:val="sr-Latn-BA"/>
        </w:rPr>
        <w:t xml:space="preserve">Fond je od osnivanja, kao privatizacioni investicioni </w:t>
      </w:r>
      <w:r w:rsidR="000D33BD" w:rsidRPr="00930FF2">
        <w:rPr>
          <w:lang w:val="sr-Latn-BA"/>
        </w:rPr>
        <w:t>fond</w:t>
      </w:r>
      <w:r w:rsidRPr="00930FF2">
        <w:rPr>
          <w:lang w:val="sr-Latn-BA"/>
        </w:rPr>
        <w:t>, i nakon  transformacije u zatvoreni investicioni fond sa javnom ponudom, akumulirao nerealizovane gubitke po osnovu držanja ulaganja, kao i realizovane gubitke po osnovu prodaje ulaganja iz svoga portfelja, tako da iz poslovanja još uvijek ne ostvaruje poslovni dobitak, iz koga bi se isplaćivala dividenda akcionarima fonda.</w:t>
      </w:r>
    </w:p>
    <w:p w:rsidR="00712FD8" w:rsidRPr="00930FF2" w:rsidRDefault="00712FD8" w:rsidP="00712FD8">
      <w:pPr>
        <w:ind w:left="0" w:firstLine="0"/>
        <w:rPr>
          <w:lang w:val="sr-Latn-BA"/>
        </w:rPr>
      </w:pPr>
      <w:r w:rsidRPr="00930FF2">
        <w:rPr>
          <w:lang w:val="sr-Latn-BA"/>
        </w:rPr>
        <w:t>Kada se stvore uslovi za pozitivno poslovanje fonda, i kada fond počne da ostvaruje poslovni dobitak, skupština fonda će moći da odluči da dio ostvarenog poslovnog dobitka po godišnjem obračunu fonda, isplati akcionarima fonda u vidu dividende.</w:t>
      </w:r>
    </w:p>
    <w:p w:rsidR="000D33BD" w:rsidRPr="00930FF2" w:rsidRDefault="000D33BD" w:rsidP="000D33BD">
      <w:pPr>
        <w:ind w:left="-360" w:firstLine="360"/>
        <w:contextualSpacing/>
        <w:jc w:val="left"/>
        <w:rPr>
          <w:b/>
        </w:rPr>
      </w:pPr>
    </w:p>
    <w:p w:rsidR="000D33BD" w:rsidRPr="00930FF2" w:rsidRDefault="000D33BD" w:rsidP="000D33BD">
      <w:pPr>
        <w:ind w:left="-360" w:firstLine="360"/>
        <w:contextualSpacing/>
        <w:jc w:val="left"/>
        <w:rPr>
          <w:b/>
        </w:rPr>
      </w:pPr>
      <w:r w:rsidRPr="00930FF2">
        <w:rPr>
          <w:b/>
        </w:rPr>
        <w:t>Sudski, upravni i arbitražni postupci:</w:t>
      </w:r>
    </w:p>
    <w:p w:rsidR="000D33BD" w:rsidRPr="00930FF2" w:rsidRDefault="000D33BD" w:rsidP="000D33BD">
      <w:pPr>
        <w:ind w:left="-360" w:firstLine="360"/>
        <w:contextualSpacing/>
        <w:jc w:val="left"/>
        <w:rPr>
          <w:b/>
        </w:rPr>
      </w:pPr>
      <w:r w:rsidRPr="00930FF2">
        <w:rPr>
          <w:lang w:val="hr-HR"/>
        </w:rPr>
        <w:t>Fond ima sljedeće sudske sporove.</w:t>
      </w:r>
    </w:p>
    <w:p w:rsidR="000D33BD" w:rsidRPr="00930FF2" w:rsidRDefault="000D33BD" w:rsidP="00F553CF">
      <w:pPr>
        <w:numPr>
          <w:ilvl w:val="0"/>
          <w:numId w:val="4"/>
        </w:numPr>
        <w:rPr>
          <w:lang w:val="sr-Latn-CS"/>
        </w:rPr>
      </w:pPr>
      <w:r w:rsidRPr="00930FF2">
        <w:rPr>
          <w:b/>
          <w:i/>
          <w:lang w:val="sr-Latn-CS"/>
        </w:rPr>
        <w:t>Tuženi:</w:t>
      </w:r>
      <w:r w:rsidRPr="00930FF2">
        <w:rPr>
          <w:lang w:val="sr-Latn-CS"/>
        </w:rPr>
        <w:t xml:space="preserve"> Petar Dušanić, iz Prnjavora, Ulica Nikolaja Velimirovića 39, Kompanija Dušanić d.o.o. Prnjavor i Zoran Lukanović, iz Gornje Mravice bb, Prnjavor (u pravnoj stvari povodom emitenta TP „Promet“ a.d. Prnjavor), vrijednost spora: 355.204,15 KM,</w:t>
      </w:r>
    </w:p>
    <w:p w:rsidR="000D33BD" w:rsidRPr="00930FF2" w:rsidRDefault="000D33BD" w:rsidP="00F553CF">
      <w:pPr>
        <w:numPr>
          <w:ilvl w:val="0"/>
          <w:numId w:val="4"/>
        </w:numPr>
        <w:rPr>
          <w:lang w:val="sr-Latn-CS"/>
        </w:rPr>
      </w:pPr>
      <w:r w:rsidRPr="00930FF2">
        <w:rPr>
          <w:b/>
          <w:i/>
          <w:lang w:val="sr-Latn-CS"/>
        </w:rPr>
        <w:t>Tuženi:</w:t>
      </w:r>
      <w:r w:rsidRPr="00930FF2">
        <w:rPr>
          <w:lang w:val="sr-Latn-CS"/>
        </w:rPr>
        <w:t xml:space="preserve"> Republika Srpska, Vlada Republike Srpske, zastupana po pravobranilaštvu Republike Srpske, Investiciono razvojna banka Republike Srpske, Ulica Mladena Stojanovića 17, 78000 Banja Luka, zastupana po direktoru i zakonskom zastupniku, a ovaj po Pravobranilaštvu Republike Srpske, i Brčko Distrikt Bosne i Hercegovine, vrijednost spora: 1.000.000,00 KM – zajedno u postupku sa Zatvorenim investicionim fondom sa javnom ponudom „BLB Profit“ a.d. Banja Luka, Zatvorenim investicionim fondom sa javnom ponudom „Bors invest fond“ a.d. Banja Luka, Zatvorenim </w:t>
      </w:r>
      <w:r w:rsidRPr="00930FF2">
        <w:rPr>
          <w:lang w:val="sr-Latn-CS"/>
        </w:rPr>
        <w:lastRenderedPageBreak/>
        <w:t>investicionim fondom sa javnom ponudom „Kristal invest fond“ a.d. Banja Luka, Zatvorenim investicionim fondom sa javnom ponudom „Jahorina konseko invest“ a.d. Pale i Zatvorenim investicionim fondom sa javnom ponudom „Polara invest fond“ a.d. Banja Luka.  U ovom sporu pravni subjekt ZIF Invest nova fond a.d. Bijeljina i ostali, nema stepena rizičnosti iz razloga što je izvršio nadoknadu emitentu, a akcije nisu u vlasništvu, s tim u vezi neophodno je iz ovog sudskog spora ostvariti obeštećenje.</w:t>
      </w:r>
    </w:p>
    <w:p w:rsidR="000D33BD" w:rsidRPr="00930FF2" w:rsidRDefault="000D33BD" w:rsidP="000D33BD">
      <w:r w:rsidRPr="00930FF2">
        <w:t>Ishod kao i trajanje postupaka su neizvjesni.</w:t>
      </w:r>
    </w:p>
    <w:p w:rsidR="00712FD8" w:rsidRPr="00930FF2" w:rsidRDefault="00712FD8" w:rsidP="0035167D">
      <w:pPr>
        <w:ind w:left="0" w:firstLine="0"/>
        <w:contextualSpacing/>
        <w:jc w:val="left"/>
        <w:rPr>
          <w:b/>
        </w:rPr>
      </w:pPr>
    </w:p>
    <w:p w:rsidR="00450CD1" w:rsidRPr="00930FF2" w:rsidRDefault="00450CD1" w:rsidP="0035167D">
      <w:pPr>
        <w:ind w:left="0" w:firstLine="0"/>
        <w:contextualSpacing/>
        <w:jc w:val="left"/>
        <w:rPr>
          <w:b/>
        </w:rPr>
      </w:pPr>
      <w:r w:rsidRPr="00930FF2">
        <w:rPr>
          <w:b/>
        </w:rPr>
        <w:t>Značajna promjena finansijskog ili tržišnog položaja emitenta:</w:t>
      </w:r>
    </w:p>
    <w:p w:rsidR="00D05C12" w:rsidRPr="00930FF2" w:rsidRDefault="00D05C12" w:rsidP="0035167D">
      <w:pPr>
        <w:ind w:left="0" w:firstLine="0"/>
        <w:contextualSpacing/>
      </w:pPr>
      <w:r w:rsidRPr="00930FF2">
        <w:t xml:space="preserve">Izjavljujemo da nije bilo značajnijih promjena finansijskog ili tržišnog položaja Zatvorenog </w:t>
      </w:r>
    </w:p>
    <w:p w:rsidR="00C36F62" w:rsidRPr="00930FF2" w:rsidRDefault="00D05C12" w:rsidP="0035167D">
      <w:pPr>
        <w:ind w:left="0" w:firstLine="0"/>
        <w:contextualSpacing/>
      </w:pPr>
      <w:r w:rsidRPr="00930FF2">
        <w:t>investicionog fonda sa javnom ponudom „Invest nova fond“  a.d. Bijeljina, koje su se dogodile</w:t>
      </w:r>
      <w:r w:rsidR="000D33BD" w:rsidRPr="00930FF2">
        <w:t xml:space="preserve"> od </w:t>
      </w:r>
      <w:r w:rsidRPr="00930FF2">
        <w:t>završetka posljednjeg finansijskog perioda za koji su objavljene revidirane finansijske informacije (01.01.2015. godine do 31.12.2015. godine).</w:t>
      </w:r>
    </w:p>
    <w:p w:rsidR="000E73E8" w:rsidRPr="00930FF2" w:rsidRDefault="000E73E8" w:rsidP="00450CD1">
      <w:pPr>
        <w:ind w:left="0" w:firstLine="0"/>
      </w:pPr>
    </w:p>
    <w:p w:rsidR="00AD1718" w:rsidRPr="00930FF2" w:rsidRDefault="00450CD1" w:rsidP="00F553CF">
      <w:pPr>
        <w:pStyle w:val="ListParagraph"/>
        <w:numPr>
          <w:ilvl w:val="0"/>
          <w:numId w:val="8"/>
        </w:numPr>
        <w:rPr>
          <w:b/>
        </w:rPr>
      </w:pPr>
      <w:r w:rsidRPr="00930FF2">
        <w:rPr>
          <w:b/>
        </w:rPr>
        <w:t>DODATNE INFORMACIJE</w:t>
      </w:r>
    </w:p>
    <w:p w:rsidR="00253417" w:rsidRPr="00930FF2" w:rsidRDefault="00253417" w:rsidP="00F553CF">
      <w:pPr>
        <w:pStyle w:val="ListParagraph"/>
        <w:numPr>
          <w:ilvl w:val="1"/>
          <w:numId w:val="8"/>
        </w:numPr>
        <w:ind w:left="0" w:firstLine="0"/>
        <w:rPr>
          <w:b/>
        </w:rPr>
      </w:pPr>
      <w:r w:rsidRPr="00930FF2">
        <w:rPr>
          <w:b/>
        </w:rPr>
        <w:t>Osnovni kapital</w:t>
      </w:r>
    </w:p>
    <w:p w:rsidR="00AD1718" w:rsidRPr="00930FF2" w:rsidRDefault="00AD1718" w:rsidP="00A93F93">
      <w:pPr>
        <w:ind w:left="0" w:firstLine="0"/>
        <w:contextualSpacing/>
      </w:pPr>
      <w:r w:rsidRPr="00930FF2">
        <w:t>Fond je pravni sljedbenik Privatizacionog investicionog fonda “Invest nova fond” a.d. Bijeljina, organizovan u formi otvorenog akcionarskog društva.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D1718" w:rsidRPr="00930FF2" w:rsidTr="00AD1718">
        <w:tc>
          <w:tcPr>
            <w:tcW w:w="9576" w:type="dxa"/>
          </w:tcPr>
          <w:p w:rsidR="00AD1718" w:rsidRPr="00930FF2" w:rsidRDefault="00AD1718" w:rsidP="00AD1718">
            <w:pPr>
              <w:tabs>
                <w:tab w:val="center" w:pos="4320"/>
                <w:tab w:val="right" w:pos="8640"/>
              </w:tabs>
              <w:ind w:left="0" w:firstLine="0"/>
              <w:jc w:val="left"/>
            </w:pPr>
            <w:r w:rsidRPr="00930FF2">
              <w:t xml:space="preserve">Osnovni kapital Fonda                                                                                       187.191.287,00 KM                                                                                                                </w:t>
            </w:r>
          </w:p>
        </w:tc>
      </w:tr>
      <w:tr w:rsidR="00AD1718" w:rsidRPr="00930FF2" w:rsidTr="00AD1718">
        <w:tc>
          <w:tcPr>
            <w:tcW w:w="9576" w:type="dxa"/>
          </w:tcPr>
          <w:p w:rsidR="00AD1718" w:rsidRPr="00930FF2" w:rsidRDefault="00AD1718" w:rsidP="00AD1718">
            <w:pPr>
              <w:tabs>
                <w:tab w:val="center" w:pos="4320"/>
                <w:tab w:val="right" w:pos="8640"/>
              </w:tabs>
              <w:ind w:left="0" w:firstLine="0"/>
              <w:jc w:val="left"/>
            </w:pPr>
            <w:r w:rsidRPr="00930FF2">
              <w:t xml:space="preserve">Emisiona premija                                                                                                   2.619.595,00 KM                                                                                                                                 </w:t>
            </w:r>
          </w:p>
        </w:tc>
      </w:tr>
      <w:tr w:rsidR="00AD1718" w:rsidRPr="00930FF2" w:rsidTr="00AD1718">
        <w:tc>
          <w:tcPr>
            <w:tcW w:w="9576" w:type="dxa"/>
          </w:tcPr>
          <w:p w:rsidR="00AD1718" w:rsidRPr="00930FF2" w:rsidRDefault="00AD1718" w:rsidP="00AD1718">
            <w:pPr>
              <w:tabs>
                <w:tab w:val="center" w:pos="4320"/>
                <w:tab w:val="right" w:pos="8640"/>
              </w:tabs>
              <w:ind w:left="0" w:firstLine="0"/>
              <w:jc w:val="left"/>
            </w:pPr>
            <w:r w:rsidRPr="00930FF2">
              <w:t xml:space="preserve">Nominalna vrijednost jedne akcije                                                                                      1,00 KM                                                                                                               </w:t>
            </w:r>
          </w:p>
        </w:tc>
      </w:tr>
      <w:tr w:rsidR="00AD1718" w:rsidRPr="00930FF2" w:rsidTr="00AD1718">
        <w:tc>
          <w:tcPr>
            <w:tcW w:w="9576" w:type="dxa"/>
          </w:tcPr>
          <w:p w:rsidR="00AD1718" w:rsidRPr="00930FF2" w:rsidRDefault="00AD1718" w:rsidP="00AD1718">
            <w:pPr>
              <w:tabs>
                <w:tab w:val="center" w:pos="4320"/>
                <w:tab w:val="right" w:pos="8640"/>
              </w:tabs>
              <w:ind w:left="0" w:firstLine="0"/>
              <w:jc w:val="left"/>
            </w:pPr>
            <w:r w:rsidRPr="00930FF2">
              <w:t xml:space="preserve">Broj emitovanih akcija                                                                                                   187.191.287                                                                                                                                </w:t>
            </w:r>
          </w:p>
        </w:tc>
      </w:tr>
    </w:tbl>
    <w:p w:rsidR="00253417" w:rsidRPr="00930FF2" w:rsidRDefault="00457429" w:rsidP="00253417">
      <w:pPr>
        <w:ind w:left="0" w:firstLine="0"/>
      </w:pPr>
      <w:r w:rsidRPr="00930FF2">
        <w:t>Fond nema odobrenih akcija.</w:t>
      </w:r>
    </w:p>
    <w:p w:rsidR="00457429" w:rsidRPr="00930FF2" w:rsidRDefault="00457429" w:rsidP="00253417">
      <w:pPr>
        <w:ind w:left="0" w:firstLine="0"/>
      </w:pPr>
    </w:p>
    <w:p w:rsidR="00EF6B37" w:rsidRPr="00930FF2" w:rsidRDefault="00EF6B37" w:rsidP="00F553CF">
      <w:pPr>
        <w:pStyle w:val="ListParagraph"/>
        <w:numPr>
          <w:ilvl w:val="2"/>
          <w:numId w:val="10"/>
        </w:numPr>
        <w:ind w:left="0" w:firstLine="0"/>
      </w:pPr>
      <w:r w:rsidRPr="00930FF2">
        <w:t>Sticanje sopstvenih akcija</w:t>
      </w:r>
    </w:p>
    <w:p w:rsidR="00AD1718" w:rsidRPr="00930FF2" w:rsidRDefault="00AD1718" w:rsidP="00AD1718">
      <w:pPr>
        <w:ind w:left="0" w:firstLine="0"/>
      </w:pPr>
      <w:r w:rsidRPr="00930FF2">
        <w:t>Fond nema sopstvenih akcija.</w:t>
      </w:r>
    </w:p>
    <w:p w:rsidR="00EF6B37" w:rsidRPr="00930FF2" w:rsidRDefault="00EF6B37" w:rsidP="00EF6B37">
      <w:pPr>
        <w:ind w:left="0" w:firstLine="0"/>
        <w:rPr>
          <w:lang w:val="sr-Latn-BA"/>
        </w:rPr>
      </w:pPr>
      <w:r w:rsidRPr="00930FF2">
        <w:rPr>
          <w:lang w:val="sr-Latn-BA"/>
        </w:rPr>
        <w:t>Fond može sticati sopstvene akcije, ali tako da ukupna nominalna vrijednost stečenih akcija ne može preći 10 posto osnovnog kapitala fonda, osim u slučajevima:</w:t>
      </w:r>
    </w:p>
    <w:p w:rsidR="00EF6B37" w:rsidRPr="00930FF2" w:rsidRDefault="00EF6B37" w:rsidP="00F553CF">
      <w:pPr>
        <w:pStyle w:val="ListParagraph"/>
        <w:numPr>
          <w:ilvl w:val="0"/>
          <w:numId w:val="2"/>
        </w:numPr>
        <w:rPr>
          <w:lang w:val="sr-Latn-BA"/>
        </w:rPr>
      </w:pPr>
      <w:r w:rsidRPr="00930FF2">
        <w:rPr>
          <w:lang w:val="sr-Latn-BA"/>
        </w:rPr>
        <w:t>ako fond ima rezerve koje se mogu koristiti za sticanje sopstvenih akcija,</w:t>
      </w:r>
    </w:p>
    <w:p w:rsidR="00EF6B37" w:rsidRPr="00930FF2" w:rsidRDefault="00EF6B37" w:rsidP="00F553CF">
      <w:pPr>
        <w:pStyle w:val="ListParagraph"/>
        <w:numPr>
          <w:ilvl w:val="0"/>
          <w:numId w:val="2"/>
        </w:numPr>
        <w:rPr>
          <w:lang w:val="sr-Latn-BA"/>
        </w:rPr>
      </w:pPr>
      <w:r w:rsidRPr="00930FF2">
        <w:rPr>
          <w:lang w:val="sr-Latn-BA"/>
        </w:rPr>
        <w:t>za sticanje akcija bez naknade, koje su u potpunosti plaćene,</w:t>
      </w:r>
    </w:p>
    <w:p w:rsidR="00EF6B37" w:rsidRPr="00930FF2" w:rsidRDefault="00EF6B37" w:rsidP="00F553CF">
      <w:pPr>
        <w:pStyle w:val="ListParagraph"/>
        <w:numPr>
          <w:ilvl w:val="0"/>
          <w:numId w:val="2"/>
        </w:numPr>
        <w:rPr>
          <w:lang w:val="sr-Latn-BA"/>
        </w:rPr>
      </w:pPr>
      <w:r w:rsidRPr="00930FF2">
        <w:rPr>
          <w:lang w:val="sr-Latn-BA"/>
        </w:rPr>
        <w:t>za sticanje akcija u postupku prinudne prodaje akcija, na osnovu sudske odluke za ispalte duga fondu, od strane akcionara fonda, pod uslovom da nema drugog načina za naplatu,</w:t>
      </w:r>
    </w:p>
    <w:p w:rsidR="00EF6B37" w:rsidRPr="00930FF2" w:rsidRDefault="00EF6B37" w:rsidP="00F553CF">
      <w:pPr>
        <w:pStyle w:val="ListParagraph"/>
        <w:numPr>
          <w:ilvl w:val="0"/>
          <w:numId w:val="2"/>
        </w:numPr>
        <w:rPr>
          <w:lang w:val="sr-Latn-BA"/>
        </w:rPr>
      </w:pPr>
      <w:r w:rsidRPr="00930FF2">
        <w:rPr>
          <w:lang w:val="sr-Latn-BA"/>
        </w:rPr>
        <w:t>statusnih promjena.</w:t>
      </w:r>
    </w:p>
    <w:p w:rsidR="00EF6B37" w:rsidRPr="00930FF2" w:rsidRDefault="00EF6B37" w:rsidP="00EF6B37">
      <w:pPr>
        <w:ind w:left="0" w:firstLine="0"/>
        <w:rPr>
          <w:lang w:val="sr-Latn-BA"/>
        </w:rPr>
      </w:pPr>
      <w:r w:rsidRPr="00930FF2">
        <w:rPr>
          <w:lang w:val="sr-Latn-BA"/>
        </w:rPr>
        <w:t>Fond ne može sticati sopstvene akcije sporazumom sa akcionarom, već samo putem javne ponude svim svojim akcionarima, u skladu sa zakonom.</w:t>
      </w:r>
    </w:p>
    <w:p w:rsidR="00EF6B37" w:rsidRPr="00930FF2" w:rsidRDefault="00EF6B37" w:rsidP="00EF6B37">
      <w:pPr>
        <w:ind w:left="0" w:firstLine="0"/>
        <w:rPr>
          <w:lang w:val="sr-Latn-BA"/>
        </w:rPr>
      </w:pPr>
      <w:r w:rsidRPr="00930FF2">
        <w:rPr>
          <w:lang w:val="sr-Latn-BA"/>
        </w:rPr>
        <w:t>Odluku o sticanju sopstvenih akcija donosi skupština fonda.</w:t>
      </w:r>
    </w:p>
    <w:p w:rsidR="00EF6B37" w:rsidRPr="00930FF2" w:rsidRDefault="00EF6B37" w:rsidP="00EF6B37">
      <w:pPr>
        <w:ind w:left="0" w:firstLine="0"/>
        <w:rPr>
          <w:lang w:val="sr-Latn-BA"/>
        </w:rPr>
      </w:pPr>
      <w:r w:rsidRPr="00930FF2">
        <w:rPr>
          <w:lang w:val="sr-Latn-BA"/>
        </w:rPr>
        <w:t>Obaveza fonda je da sopstvene akcije, čija vrijednost ne prelazi 10% od njegovog osnovnog kapitala, a koje stekne po osnovu otkupa, otuđi najkasnije u periodu od jedne godine od dana sticanja.</w:t>
      </w:r>
    </w:p>
    <w:p w:rsidR="00EF6B37" w:rsidRPr="00930FF2" w:rsidRDefault="00EF6B37" w:rsidP="00EF6B37">
      <w:pPr>
        <w:ind w:left="0" w:firstLine="0"/>
        <w:rPr>
          <w:lang w:val="sr-Latn-BA"/>
        </w:rPr>
      </w:pPr>
      <w:r w:rsidRPr="00930FF2">
        <w:rPr>
          <w:lang w:val="sr-Latn-BA"/>
        </w:rPr>
        <w:t>Obaveza fonda je da akcije, koje stekne po drugim osnovima, a koje prelaze procenat od 10%, otuđi najkasnije u periodu od tri godine od dana sticanja.</w:t>
      </w:r>
    </w:p>
    <w:p w:rsidR="00A93F93" w:rsidRPr="00930FF2" w:rsidRDefault="00A93F93" w:rsidP="00EF6B37">
      <w:pPr>
        <w:ind w:left="0" w:firstLine="0"/>
        <w:rPr>
          <w:lang w:val="sr-Latn-BA"/>
        </w:rPr>
      </w:pPr>
    </w:p>
    <w:p w:rsidR="00AD1718" w:rsidRPr="00930FF2" w:rsidRDefault="00AD1718" w:rsidP="00F553CF">
      <w:pPr>
        <w:pStyle w:val="ListParagraph"/>
        <w:numPr>
          <w:ilvl w:val="2"/>
          <w:numId w:val="10"/>
        </w:numPr>
        <w:ind w:left="0" w:firstLine="0"/>
      </w:pPr>
      <w:r w:rsidRPr="00930FF2">
        <w:t>Fond nema zamjenjivih hartija od vrijednosti koje daju pravo na sticanje akcija Fonda, uz navođenje uslova u vezi sa sticanjem tih akcija.</w:t>
      </w:r>
    </w:p>
    <w:p w:rsidR="000E73E8" w:rsidRPr="00930FF2" w:rsidRDefault="000E73E8" w:rsidP="000E73E8">
      <w:pPr>
        <w:pStyle w:val="ListParagraph"/>
        <w:ind w:left="0" w:firstLine="0"/>
        <w:rPr>
          <w:lang w:val="sr-Latn-BA"/>
        </w:rPr>
      </w:pPr>
    </w:p>
    <w:p w:rsidR="006E2E87" w:rsidRPr="00930FF2" w:rsidRDefault="006E2E87" w:rsidP="00F553CF">
      <w:pPr>
        <w:pStyle w:val="ListParagraph"/>
        <w:numPr>
          <w:ilvl w:val="2"/>
          <w:numId w:val="10"/>
        </w:numPr>
        <w:ind w:left="0" w:firstLine="0"/>
        <w:rPr>
          <w:lang w:val="sr-Latn-BA"/>
        </w:rPr>
      </w:pPr>
      <w:r w:rsidRPr="00930FF2">
        <w:lastRenderedPageBreak/>
        <w:t xml:space="preserve">Fond </w:t>
      </w:r>
      <w:r w:rsidR="00AD1718" w:rsidRPr="00930FF2">
        <w:t xml:space="preserve">ima </w:t>
      </w:r>
      <w:r w:rsidR="00DC1F5F" w:rsidRPr="00930FF2">
        <w:t xml:space="preserve">zakonsku </w:t>
      </w:r>
      <w:r w:rsidR="00AD1718" w:rsidRPr="00930FF2">
        <w:t>obavez</w:t>
      </w:r>
      <w:r w:rsidRPr="00930FF2">
        <w:t xml:space="preserve">u </w:t>
      </w:r>
      <w:r w:rsidR="00AD1718" w:rsidRPr="00930FF2">
        <w:t>davanj</w:t>
      </w:r>
      <w:r w:rsidRPr="00930FF2">
        <w:t>a</w:t>
      </w:r>
      <w:r w:rsidR="00AD1718" w:rsidRPr="00930FF2">
        <w:t xml:space="preserve"> </w:t>
      </w:r>
      <w:r w:rsidR="00DC1F5F" w:rsidRPr="00930FF2">
        <w:t xml:space="preserve">postojećim akcionarima prava prvenstva pri upisu hartija od vrijednosti kod budućih povećanja osnovnog kapitala. </w:t>
      </w:r>
      <w:r w:rsidRPr="00930FF2">
        <w:rPr>
          <w:lang w:val="sr-Latn-BA"/>
        </w:rPr>
        <w:t xml:space="preserve">Rok za korišćenje ovoga prava je 15 dana, od dana početka upisa i uplate </w:t>
      </w:r>
      <w:r w:rsidR="00DC1F5F" w:rsidRPr="00930FF2">
        <w:rPr>
          <w:lang w:val="sr-Latn-BA"/>
        </w:rPr>
        <w:t xml:space="preserve">HOV nove emisije. </w:t>
      </w:r>
      <w:r w:rsidRPr="00930FF2">
        <w:rPr>
          <w:lang w:val="sr-Latn-BA"/>
        </w:rPr>
        <w:t>Pravo preče</w:t>
      </w:r>
      <w:r w:rsidR="00DC1F5F" w:rsidRPr="00930FF2">
        <w:rPr>
          <w:lang w:val="sr-Latn-BA"/>
        </w:rPr>
        <w:t xml:space="preserve">g sticanja </w:t>
      </w:r>
      <w:r w:rsidRPr="00930FF2">
        <w:rPr>
          <w:lang w:val="sr-Latn-BA"/>
        </w:rPr>
        <w:t xml:space="preserve">pripada licima koja imaju status akcionara fonda na dan presjeka. </w:t>
      </w:r>
    </w:p>
    <w:p w:rsidR="000E73E8" w:rsidRPr="00930FF2" w:rsidRDefault="000E73E8" w:rsidP="000E73E8">
      <w:pPr>
        <w:pStyle w:val="ListParagraph"/>
        <w:ind w:left="0" w:firstLine="0"/>
        <w:rPr>
          <w:lang w:val="sr-Latn-BA"/>
        </w:rPr>
      </w:pPr>
    </w:p>
    <w:p w:rsidR="00AD1718" w:rsidRPr="00930FF2" w:rsidRDefault="00AD1718" w:rsidP="00F553CF">
      <w:pPr>
        <w:pStyle w:val="ListParagraph"/>
        <w:numPr>
          <w:ilvl w:val="2"/>
          <w:numId w:val="10"/>
        </w:numPr>
        <w:ind w:left="0" w:firstLine="0"/>
      </w:pPr>
      <w:r w:rsidRPr="00930FF2">
        <w:t>Fond nije izdavao izvedene hartije od vrijednosti.</w:t>
      </w:r>
    </w:p>
    <w:p w:rsidR="000E73E8" w:rsidRPr="00930FF2" w:rsidRDefault="000E73E8" w:rsidP="000E73E8">
      <w:pPr>
        <w:pStyle w:val="ListParagraph"/>
        <w:ind w:left="0" w:firstLine="0"/>
      </w:pPr>
    </w:p>
    <w:p w:rsidR="00AD1718" w:rsidRPr="00930FF2" w:rsidRDefault="00AD1718" w:rsidP="00F553CF">
      <w:pPr>
        <w:pStyle w:val="ListParagraph"/>
        <w:numPr>
          <w:ilvl w:val="2"/>
          <w:numId w:val="10"/>
        </w:numPr>
        <w:ind w:left="0" w:firstLine="0"/>
      </w:pPr>
      <w:r w:rsidRPr="00930FF2">
        <w:t>U prethodnom periodu nije bilo promjena vrijednosti osnovnog kapitala Fonda.</w:t>
      </w:r>
    </w:p>
    <w:p w:rsidR="000E73E8" w:rsidRPr="00930FF2" w:rsidRDefault="000E73E8" w:rsidP="000E73E8">
      <w:pPr>
        <w:pStyle w:val="ListParagraph"/>
        <w:ind w:left="0" w:firstLine="0"/>
      </w:pPr>
    </w:p>
    <w:p w:rsidR="00253417" w:rsidRPr="00930FF2" w:rsidRDefault="00253417" w:rsidP="00F553CF">
      <w:pPr>
        <w:pStyle w:val="ListParagraph"/>
        <w:numPr>
          <w:ilvl w:val="1"/>
          <w:numId w:val="10"/>
        </w:numPr>
        <w:ind w:left="0" w:firstLine="0"/>
        <w:rPr>
          <w:b/>
        </w:rPr>
      </w:pPr>
      <w:r w:rsidRPr="00930FF2">
        <w:rPr>
          <w:b/>
        </w:rPr>
        <w:t>Statut društva</w:t>
      </w:r>
    </w:p>
    <w:p w:rsidR="00EF6B37" w:rsidRPr="00930FF2" w:rsidRDefault="00AD1718" w:rsidP="00685CE5">
      <w:pPr>
        <w:ind w:left="0" w:firstLine="0"/>
        <w:contextualSpacing/>
      </w:pPr>
      <w:r w:rsidRPr="00930FF2">
        <w:t>Na Skupštini akcionara</w:t>
      </w:r>
      <w:r w:rsidR="00184C90" w:rsidRPr="00930FF2">
        <w:t xml:space="preserve"> Fonda,</w:t>
      </w:r>
      <w:r w:rsidRPr="00930FF2">
        <w:t xml:space="preserve"> održanoj dana 0</w:t>
      </w:r>
      <w:r w:rsidR="00E36FB8" w:rsidRPr="00930FF2">
        <w:t>1</w:t>
      </w:r>
      <w:r w:rsidRPr="00930FF2">
        <w:t>.0</w:t>
      </w:r>
      <w:r w:rsidR="00E36FB8" w:rsidRPr="00930FF2">
        <w:t>7</w:t>
      </w:r>
      <w:r w:rsidRPr="00930FF2">
        <w:t>.201</w:t>
      </w:r>
      <w:r w:rsidR="00E36FB8" w:rsidRPr="00930FF2">
        <w:t>6</w:t>
      </w:r>
      <w:r w:rsidRPr="00930FF2">
        <w:t>. godine donesen je Statut Fonda</w:t>
      </w:r>
      <w:r w:rsidR="009D7531" w:rsidRPr="00930FF2">
        <w:t>, broj: SK-I-05a/2016, odnosno OPU</w:t>
      </w:r>
      <w:r w:rsidR="00A20ACF" w:rsidRPr="00930FF2">
        <w:t xml:space="preserve">-693/2016, </w:t>
      </w:r>
      <w:r w:rsidRPr="00930FF2">
        <w:t xml:space="preserve">usaglašen sa </w:t>
      </w:r>
      <w:r w:rsidR="00E36FB8" w:rsidRPr="00930FF2">
        <w:t>Zakonom o investicionim fondovima</w:t>
      </w:r>
      <w:r w:rsidR="00BC1D7C" w:rsidRPr="00930FF2">
        <w:t xml:space="preserve"> (“Službeni glasnik Republike Srpske, broj: 92/06 i 82/15), </w:t>
      </w:r>
      <w:r w:rsidR="00E36FB8" w:rsidRPr="00930FF2">
        <w:t>Pravilnikom o preoblikovanju zatvorenog investicionog fonda</w:t>
      </w:r>
      <w:r w:rsidR="00BC1D7C" w:rsidRPr="00930FF2">
        <w:t xml:space="preserve"> (“Službeni glasnik Republike Srpske”, broj: 108/15) </w:t>
      </w:r>
      <w:r w:rsidR="009D7531" w:rsidRPr="00930FF2">
        <w:t xml:space="preserve">i Zaključkom Komisije za hartije od vrijednosti, broj: </w:t>
      </w:r>
      <w:r w:rsidR="00A20ACF" w:rsidRPr="00930FF2">
        <w:t>05-UP-58-322-1/16 od 15</w:t>
      </w:r>
      <w:r w:rsidR="009D7531" w:rsidRPr="00930FF2">
        <w:t>.06.2016. godine.</w:t>
      </w:r>
      <w:r w:rsidR="00E36FB8" w:rsidRPr="00930FF2">
        <w:t xml:space="preserve"> </w:t>
      </w:r>
    </w:p>
    <w:p w:rsidR="000E73E8" w:rsidRPr="00930FF2" w:rsidRDefault="000E73E8" w:rsidP="00685CE5">
      <w:pPr>
        <w:ind w:left="0" w:firstLine="0"/>
        <w:contextualSpacing/>
        <w:rPr>
          <w:i/>
        </w:rPr>
      </w:pPr>
    </w:p>
    <w:p w:rsidR="00AD1718" w:rsidRPr="00930FF2" w:rsidRDefault="00253417" w:rsidP="00685CE5">
      <w:pPr>
        <w:ind w:left="0" w:firstLine="0"/>
        <w:contextualSpacing/>
      </w:pPr>
      <w:r w:rsidRPr="00930FF2">
        <w:rPr>
          <w:i/>
        </w:rPr>
        <w:t>19.2.1.</w:t>
      </w:r>
      <w:r w:rsidRPr="00930FF2">
        <w:t xml:space="preserve"> </w:t>
      </w:r>
      <w:r w:rsidR="00AD1718" w:rsidRPr="00930FF2">
        <w:t xml:space="preserve">Djelatnost fonda je ulaganje u dugoročne i karatkoročne prenosive hartije od vrijednosti, novčane depozite, upravljanje akcionarskim društvima čije akcije Fond drži u svom portfelju, uz uvažavanje investicionih ciljeva i politike Fonda. </w:t>
      </w:r>
    </w:p>
    <w:p w:rsidR="00AD1718" w:rsidRPr="00930FF2" w:rsidRDefault="00AD1718" w:rsidP="00685CE5">
      <w:pPr>
        <w:ind w:left="0" w:firstLine="0"/>
        <w:contextualSpacing/>
        <w:rPr>
          <w:lang w:val="sr-Latn-BA"/>
        </w:rPr>
      </w:pPr>
      <w:r w:rsidRPr="00930FF2">
        <w:rPr>
          <w:lang w:val="sr-Latn-BA"/>
        </w:rPr>
        <w:t xml:space="preserve">Ovi poslovi su u klasifikaciji djelatnosti raspoređeni u podgrupu 64.30 - Trustovi, fondovi i slični </w:t>
      </w:r>
    </w:p>
    <w:p w:rsidR="00AD1718" w:rsidRPr="00930FF2" w:rsidRDefault="00AD1718" w:rsidP="00685CE5">
      <w:pPr>
        <w:ind w:left="0" w:firstLine="0"/>
        <w:contextualSpacing/>
        <w:rPr>
          <w:lang w:val="sr-Latn-BA"/>
        </w:rPr>
      </w:pPr>
      <w:r w:rsidRPr="00930FF2">
        <w:rPr>
          <w:lang w:val="sr-Latn-BA"/>
        </w:rPr>
        <w:t>finansijski subjekti. Djelatnost fonda je definisana članom 5. Statuta Fonda.</w:t>
      </w:r>
    </w:p>
    <w:p w:rsidR="000E73E8" w:rsidRPr="00930FF2" w:rsidRDefault="000E73E8" w:rsidP="00685CE5">
      <w:pPr>
        <w:ind w:left="0" w:firstLine="0"/>
        <w:contextualSpacing/>
        <w:rPr>
          <w:lang w:val="sr-Latn-BA"/>
        </w:rPr>
      </w:pPr>
    </w:p>
    <w:p w:rsidR="00AD1718" w:rsidRPr="00930FF2" w:rsidRDefault="00AD1718" w:rsidP="00F553CF">
      <w:pPr>
        <w:pStyle w:val="ListParagraph"/>
        <w:numPr>
          <w:ilvl w:val="2"/>
          <w:numId w:val="10"/>
        </w:numPr>
        <w:ind w:left="0" w:firstLine="0"/>
      </w:pPr>
      <w:r w:rsidRPr="00930FF2">
        <w:t>Organi Fonda su</w:t>
      </w:r>
      <w:r w:rsidR="00C17E59" w:rsidRPr="00930FF2">
        <w:t>:</w:t>
      </w:r>
      <w:r w:rsidRPr="00930FF2">
        <w:t xml:space="preserve"> Skupština akcionara Fonda i Nadzorni odbor Fonda.</w:t>
      </w:r>
    </w:p>
    <w:p w:rsidR="00AD1718" w:rsidRPr="00930FF2" w:rsidRDefault="00685F62" w:rsidP="00685CE5">
      <w:pPr>
        <w:ind w:left="0" w:firstLine="0"/>
        <w:contextualSpacing/>
      </w:pPr>
      <w:r w:rsidRPr="00930FF2">
        <w:t>Od člana 22., zaključno sa članom 43.</w:t>
      </w:r>
      <w:r w:rsidR="00AD1718" w:rsidRPr="00930FF2">
        <w:t xml:space="preserve"> Statuta Fonda regulisan je rad, nadležnost, kao i druga bitna pitanja vezana za navedene organe Fonda.</w:t>
      </w:r>
    </w:p>
    <w:p w:rsidR="000E73E8" w:rsidRPr="00930FF2" w:rsidRDefault="000E73E8" w:rsidP="00685CE5">
      <w:pPr>
        <w:ind w:left="0" w:firstLine="0"/>
        <w:contextualSpacing/>
      </w:pPr>
    </w:p>
    <w:p w:rsidR="00C33915" w:rsidRPr="00930FF2" w:rsidRDefault="00AD1718" w:rsidP="00F553CF">
      <w:pPr>
        <w:pStyle w:val="ListParagraph"/>
        <w:numPr>
          <w:ilvl w:val="2"/>
          <w:numId w:val="10"/>
        </w:numPr>
        <w:ind w:left="0" w:firstLine="0"/>
      </w:pPr>
      <w:r w:rsidRPr="00930FF2">
        <w:t xml:space="preserve">Osnovni kapital Fonda podijeljen je na </w:t>
      </w:r>
      <w:r w:rsidR="00685F62" w:rsidRPr="00930FF2">
        <w:t>187.191.287 akcija,</w:t>
      </w:r>
      <w:r w:rsidRPr="00930FF2">
        <w:t xml:space="preserve"> nominaln</w:t>
      </w:r>
      <w:r w:rsidR="00685F62" w:rsidRPr="00930FF2">
        <w:t>e vrijednosti 1,00 KM i nose oznaku serije A</w:t>
      </w:r>
      <w:r w:rsidRPr="00930FF2">
        <w:t>.</w:t>
      </w:r>
      <w:r w:rsidR="00685CE5" w:rsidRPr="00930FF2">
        <w:t xml:space="preserve"> </w:t>
      </w:r>
      <w:r w:rsidR="00C33915" w:rsidRPr="00930FF2">
        <w:rPr>
          <w:lang w:val="sr-Latn-BA"/>
        </w:rPr>
        <w:t>Akcije fonda su obične ili redovne, glase na ime, iste su vrste, nose ista prava i prenosive su bez ograničenja.</w:t>
      </w:r>
      <w:r w:rsidR="00685CE5" w:rsidRPr="00930FF2">
        <w:rPr>
          <w:lang w:val="sr-Latn-BA"/>
        </w:rPr>
        <w:t xml:space="preserve"> </w:t>
      </w:r>
      <w:r w:rsidR="00C33915" w:rsidRPr="00930FF2">
        <w:rPr>
          <w:lang w:val="sr-Latn-BA"/>
        </w:rPr>
        <w:t>Akcije fonda su nematerijalne hartije od vrijednosti, i vode se u obliku elektronskog zapisa na računima emitenata, u Centralnom registru hartija od vrijednosti.</w:t>
      </w:r>
      <w:r w:rsidR="00685CE5" w:rsidRPr="00930FF2">
        <w:rPr>
          <w:lang w:val="sr-Latn-BA"/>
        </w:rPr>
        <w:t xml:space="preserve"> </w:t>
      </w:r>
      <w:r w:rsidRPr="00930FF2">
        <w:t>Akcionari F</w:t>
      </w:r>
      <w:r w:rsidR="00685F62" w:rsidRPr="00930FF2">
        <w:t xml:space="preserve">onda stiču pravo raspolaganja </w:t>
      </w:r>
      <w:r w:rsidRPr="00930FF2">
        <w:t xml:space="preserve">akcijama </w:t>
      </w:r>
      <w:r w:rsidR="00685F62" w:rsidRPr="00930FF2">
        <w:t xml:space="preserve">Fonda njihovim registrovanjem u </w:t>
      </w:r>
      <w:r w:rsidRPr="00930FF2">
        <w:t>Centralnom registru hartija od vrijednosti, koji otvara račune vlasnika i izdaje potvrde o broju i nominalnoj vrijednosti akcija svakog akcionara.</w:t>
      </w:r>
      <w:r w:rsidR="00685CE5" w:rsidRPr="00930FF2">
        <w:t xml:space="preserve"> </w:t>
      </w:r>
      <w:r w:rsidR="00C33915" w:rsidRPr="00930FF2">
        <w:rPr>
          <w:lang w:val="sr-Latn-BA"/>
        </w:rPr>
        <w:t>Akcionari fonda imaju, srazmjerno vrijednosti akcija koje posjeduju u fondu, ista prava koja uključuju.</w:t>
      </w:r>
    </w:p>
    <w:p w:rsidR="00C33915" w:rsidRPr="00930FF2" w:rsidRDefault="00C33915" w:rsidP="00F553CF">
      <w:pPr>
        <w:pStyle w:val="ListParagraph"/>
        <w:numPr>
          <w:ilvl w:val="0"/>
          <w:numId w:val="1"/>
        </w:numPr>
        <w:rPr>
          <w:lang w:val="sr-Latn-BA"/>
        </w:rPr>
      </w:pPr>
      <w:r w:rsidRPr="00930FF2">
        <w:rPr>
          <w:lang w:val="sr-Latn-BA"/>
        </w:rPr>
        <w:t>Pravo pristupa pravnim aktima i drugim dokumentima fonda, kao i informacije o fondu,</w:t>
      </w:r>
      <w:r w:rsidR="009210F3" w:rsidRPr="00930FF2">
        <w:rPr>
          <w:lang w:val="sr-Latn-BA"/>
        </w:rPr>
        <w:t xml:space="preserve"> Društvo je obavezno da svakog mjeseca na svojoj web strani i u jednim dnevnim novinama, koje izlaze na teritoriji cijele Republike Srpske, objavljuje izvještaje o neto imovini fonda.</w:t>
      </w:r>
      <w:r w:rsidR="00A93F93" w:rsidRPr="00930FF2">
        <w:rPr>
          <w:lang w:val="sr-Latn-BA"/>
        </w:rPr>
        <w:t xml:space="preserve"> Akcionar fonda ima pravo da bude obaviješten o radu fonda, putem finansijskih izvještaja.</w:t>
      </w:r>
    </w:p>
    <w:p w:rsidR="00C33915" w:rsidRPr="00930FF2" w:rsidRDefault="00C33915" w:rsidP="00F553CF">
      <w:pPr>
        <w:pStyle w:val="ListParagraph"/>
        <w:numPr>
          <w:ilvl w:val="0"/>
          <w:numId w:val="1"/>
        </w:numPr>
        <w:rPr>
          <w:lang w:val="sr-Latn-BA"/>
        </w:rPr>
      </w:pPr>
      <w:r w:rsidRPr="00930FF2">
        <w:rPr>
          <w:lang w:val="sr-Latn-BA"/>
        </w:rPr>
        <w:t>Pravo učešća u radu skupštine fonda, sa pravom glasa u skupštini fonda, tako da jedna akcija uvijek daje pravo na jedan glas</w:t>
      </w:r>
      <w:r w:rsidR="009210F3" w:rsidRPr="00930FF2">
        <w:rPr>
          <w:lang w:val="sr-Latn-BA"/>
        </w:rPr>
        <w:t>. Akcionar fonda može, putem pismene punomoći ovlastiti drugo lice da ga zastupa, i da u njegovo ime glasa  na skupštini fonda.Više akcionara mogu ovlastiti jedno lice da ih zastupa, i da u njihovo ime glasa na skupštini fonda. Punomoć proizvodi pravna dejstva sve do njenog opoziva.</w:t>
      </w:r>
    </w:p>
    <w:p w:rsidR="00C33915" w:rsidRPr="00930FF2" w:rsidRDefault="00C33915" w:rsidP="00F553CF">
      <w:pPr>
        <w:pStyle w:val="ListParagraph"/>
        <w:numPr>
          <w:ilvl w:val="0"/>
          <w:numId w:val="1"/>
        </w:numPr>
        <w:rPr>
          <w:lang w:val="sr-Latn-BA"/>
        </w:rPr>
      </w:pPr>
      <w:r w:rsidRPr="00930FF2">
        <w:rPr>
          <w:lang w:val="sr-Latn-BA"/>
        </w:rPr>
        <w:t>Pravo na isplatu dividende,</w:t>
      </w:r>
    </w:p>
    <w:p w:rsidR="00C33915" w:rsidRPr="00930FF2" w:rsidRDefault="00C33915" w:rsidP="00F553CF">
      <w:pPr>
        <w:pStyle w:val="ListParagraph"/>
        <w:numPr>
          <w:ilvl w:val="0"/>
          <w:numId w:val="1"/>
        </w:numPr>
        <w:rPr>
          <w:lang w:val="sr-Latn-BA"/>
        </w:rPr>
      </w:pPr>
      <w:r w:rsidRPr="00930FF2">
        <w:rPr>
          <w:lang w:val="sr-Latn-BA"/>
        </w:rPr>
        <w:lastRenderedPageBreak/>
        <w:t>Pravo učešća u raspodjeli likvidacionog viška, po završenoj likvidaciji fonda nakon isplate povjerilaca fonda,</w:t>
      </w:r>
      <w:r w:rsidR="009210F3" w:rsidRPr="00930FF2">
        <w:rPr>
          <w:lang w:val="sr-Latn-BA"/>
        </w:rPr>
        <w:t xml:space="preserve"> Fond može biti likvidiran odlukom skupštine fonda, ili odlukom suda.</w:t>
      </w:r>
      <w:r w:rsidR="00A93F93" w:rsidRPr="00930FF2">
        <w:rPr>
          <w:lang w:val="sr-Latn-BA"/>
        </w:rPr>
        <w:t xml:space="preserve"> </w:t>
      </w:r>
      <w:r w:rsidR="009210F3" w:rsidRPr="00930FF2">
        <w:rPr>
          <w:lang w:val="sr-Latn-BA"/>
        </w:rPr>
        <w:t>Skupština fonda donosi odluku o likvidaciji fonda, glasovima koji predstavljaju najmanje tri četvrtine osnovnog kapitala akcionara zastupljenih na skupštini fonda.</w:t>
      </w:r>
      <w:r w:rsidR="00A93F93" w:rsidRPr="00930FF2">
        <w:rPr>
          <w:lang w:val="sr-Latn-BA"/>
        </w:rPr>
        <w:t xml:space="preserve"> </w:t>
      </w:r>
      <w:r w:rsidR="009210F3" w:rsidRPr="00930FF2">
        <w:rPr>
          <w:lang w:val="sr-Latn-BA"/>
        </w:rPr>
        <w:t>Prijedlog za likvidaciju fonda mogu podnijeti Društvo za upravljanje fondom, nadzorni odbor fonda i banka depozitar fonda.</w:t>
      </w:r>
      <w:r w:rsidR="00A93F93" w:rsidRPr="00930FF2">
        <w:rPr>
          <w:lang w:val="sr-Latn-BA"/>
        </w:rPr>
        <w:t xml:space="preserve"> </w:t>
      </w:r>
      <w:r w:rsidR="009210F3" w:rsidRPr="00930FF2">
        <w:rPr>
          <w:lang w:val="sr-Latn-BA"/>
        </w:rPr>
        <w:t>Likvidaciju fonda vrši nadležni sud, po postupku predviđenim zakonom.</w:t>
      </w:r>
    </w:p>
    <w:p w:rsidR="00C33915" w:rsidRPr="00930FF2" w:rsidRDefault="00C33915" w:rsidP="00F553CF">
      <w:pPr>
        <w:pStyle w:val="ListParagraph"/>
        <w:numPr>
          <w:ilvl w:val="0"/>
          <w:numId w:val="1"/>
        </w:numPr>
        <w:rPr>
          <w:lang w:val="sr-Latn-BA"/>
        </w:rPr>
      </w:pPr>
      <w:r w:rsidRPr="00930FF2">
        <w:rPr>
          <w:lang w:val="sr-Latn-BA"/>
        </w:rPr>
        <w:t>Pravo prečeg sticanja akcija iz novih emisija i zamjenjivih obveznica</w:t>
      </w:r>
      <w:r w:rsidR="00A93F93" w:rsidRPr="00930FF2">
        <w:rPr>
          <w:lang w:val="sr-Latn-BA"/>
        </w:rPr>
        <w:t>,</w:t>
      </w:r>
      <w:r w:rsidRPr="00930FF2">
        <w:rPr>
          <w:lang w:val="sr-Latn-BA"/>
        </w:rPr>
        <w:t xml:space="preserve"> i</w:t>
      </w:r>
    </w:p>
    <w:p w:rsidR="00C33915" w:rsidRPr="00930FF2" w:rsidRDefault="00C33915" w:rsidP="00F553CF">
      <w:pPr>
        <w:pStyle w:val="ListParagraph"/>
        <w:numPr>
          <w:ilvl w:val="0"/>
          <w:numId w:val="1"/>
        </w:numPr>
        <w:rPr>
          <w:lang w:val="sr-Latn-BA"/>
        </w:rPr>
      </w:pPr>
      <w:r w:rsidRPr="00930FF2">
        <w:rPr>
          <w:lang w:val="sr-Latn-BA"/>
        </w:rPr>
        <w:t>Pravo raspolaganja akcijama svih vrsta u skladu sa zakonom.</w:t>
      </w:r>
    </w:p>
    <w:p w:rsidR="000E73E8" w:rsidRPr="00930FF2" w:rsidRDefault="000E73E8" w:rsidP="000E73E8">
      <w:pPr>
        <w:pStyle w:val="ListParagraph"/>
        <w:ind w:firstLine="0"/>
        <w:rPr>
          <w:lang w:val="sr-Latn-BA"/>
        </w:rPr>
      </w:pPr>
    </w:p>
    <w:p w:rsidR="009210F3" w:rsidRPr="00930FF2" w:rsidRDefault="009210F3" w:rsidP="00F553CF">
      <w:pPr>
        <w:pStyle w:val="ListParagraph"/>
        <w:numPr>
          <w:ilvl w:val="2"/>
          <w:numId w:val="10"/>
        </w:numPr>
        <w:ind w:left="0" w:firstLine="0"/>
      </w:pPr>
      <w:r w:rsidRPr="00930FF2">
        <w:t>Statut Fonda nema odredbe koje regulišu promjenu prava imalaca akcija.</w:t>
      </w:r>
    </w:p>
    <w:p w:rsidR="000E73E8" w:rsidRPr="00930FF2" w:rsidRDefault="000E73E8" w:rsidP="000E73E8">
      <w:pPr>
        <w:pStyle w:val="ListParagraph"/>
        <w:ind w:left="0" w:firstLine="0"/>
      </w:pPr>
    </w:p>
    <w:p w:rsidR="00EB7F17" w:rsidRPr="00930FF2" w:rsidRDefault="009210F3" w:rsidP="00F553CF">
      <w:pPr>
        <w:pStyle w:val="ListParagraph"/>
        <w:numPr>
          <w:ilvl w:val="2"/>
          <w:numId w:val="10"/>
        </w:numPr>
        <w:ind w:left="0" w:firstLine="0"/>
      </w:pPr>
      <w:r w:rsidRPr="00930FF2">
        <w:t>Skupštinu saziva Upravni odbor Društva najmanje jednom godišnje, a po potrebi više puta kada to zahtijevaju interesi Fonda.</w:t>
      </w:r>
      <w:r w:rsidR="00A93F93" w:rsidRPr="00930FF2">
        <w:t xml:space="preserve"> </w:t>
      </w:r>
      <w:r w:rsidRPr="00930FF2">
        <w:rPr>
          <w:noProof/>
          <w:lang w:val="sr-Latn-BA"/>
        </w:rPr>
        <w:t xml:space="preserve">Skupština se održava u sjedištu Fonda, osim ako Upravni odbor Društva svojom odlukom ne odredi drugo mjesto održavanja Skupštine Fonda. </w:t>
      </w:r>
      <w:r w:rsidRPr="00930FF2">
        <w:t>Skupština se sastaje kao redovna i vanredna.</w:t>
      </w:r>
      <w:r w:rsidR="00A93F93" w:rsidRPr="00930FF2">
        <w:t xml:space="preserve"> </w:t>
      </w:r>
      <w:r w:rsidRPr="00930FF2">
        <w:t>Na postupak sazivanja i održavanja Skupštine po pisanom  zahtjevu akcionara Fonda sa najmanje 10% akcija sa pravom glasa primjenjuju se odredbe zakona.</w:t>
      </w:r>
      <w:r w:rsidR="00A93F93" w:rsidRPr="00930FF2">
        <w:t xml:space="preserve"> </w:t>
      </w:r>
    </w:p>
    <w:p w:rsidR="00EB7F17" w:rsidRPr="00930FF2" w:rsidRDefault="009210F3" w:rsidP="00EB7F17">
      <w:pPr>
        <w:pStyle w:val="ListParagraph"/>
        <w:ind w:left="0" w:firstLine="0"/>
      </w:pPr>
      <w:r w:rsidRPr="00930FF2">
        <w:t>Poziv za Skupštinu akcionara Fonda objavljuje se bez prekida na internet stranici Banjalučke berze u vremenskom periodu koji je propisan zakonom i u najmanje dva dnevna lista registrovana na području Republike Srpske gdje se objavljuje u zakonom propisanom roku, a uz to poziv se objavljuje i na internet stranici Društva.</w:t>
      </w:r>
      <w:r w:rsidR="00A93F93" w:rsidRPr="00930FF2">
        <w:t xml:space="preserve"> </w:t>
      </w:r>
    </w:p>
    <w:p w:rsidR="009210F3" w:rsidRPr="00930FF2" w:rsidRDefault="009210F3" w:rsidP="00EB7F17">
      <w:pPr>
        <w:pStyle w:val="ListParagraph"/>
        <w:ind w:left="0" w:firstLine="0"/>
      </w:pPr>
      <w:r w:rsidRPr="00930FF2">
        <w:t>Poziv za Skupštinu akcionara Fonda sadrži elemente propisane zakonom i drugim pozitivnim propisima.</w:t>
      </w:r>
      <w:r w:rsidR="00A93F93" w:rsidRPr="00930FF2">
        <w:t xml:space="preserve"> </w:t>
      </w:r>
      <w:r w:rsidRPr="00930FF2">
        <w:t>Na sazivanje, održavanje i odlučivanje Skupštine akcionara Fonda primjenjuju se odredbe Zakona o investicionim Fondovima i Zakona o privrednim društvima, te propisi Komisije za hartije od vrijednosti.</w:t>
      </w:r>
    </w:p>
    <w:p w:rsidR="00EB7F17" w:rsidRPr="00930FF2" w:rsidRDefault="009210F3" w:rsidP="00A93F93">
      <w:pPr>
        <w:pStyle w:val="ListParagraph"/>
        <w:ind w:left="0" w:firstLine="0"/>
      </w:pPr>
      <w:r w:rsidRPr="00930FF2">
        <w:t>Skupština akcionara Fonda može valjano odlučivati ako su na njoj zastupljeni glasovi koji predstavljaju najmanje 30% osnovnog kapitala Fonda.</w:t>
      </w:r>
    </w:p>
    <w:p w:rsidR="00E14E05" w:rsidRPr="00930FF2" w:rsidRDefault="00E14E05" w:rsidP="00E14E05">
      <w:pPr>
        <w:autoSpaceDE w:val="0"/>
        <w:autoSpaceDN w:val="0"/>
        <w:adjustRightInd w:val="0"/>
        <w:ind w:left="0" w:firstLine="0"/>
      </w:pPr>
      <w:r w:rsidRPr="00930FF2">
        <w:t>Ponovljena glavna skupština može valjano odlučivati glasovima prisutnih i predstavljenih akcionara, bez obzira na broj prisutnih i predstavljenih akcionara i broj glasova koje imaju.</w:t>
      </w:r>
    </w:p>
    <w:p w:rsidR="009210F3" w:rsidRPr="00930FF2" w:rsidRDefault="009210F3" w:rsidP="00EB7F17">
      <w:pPr>
        <w:pStyle w:val="ListParagraph"/>
        <w:ind w:left="0" w:firstLine="0"/>
      </w:pPr>
      <w:r w:rsidRPr="00930FF2">
        <w:t>Akci</w:t>
      </w:r>
      <w:r w:rsidR="00A93F93" w:rsidRPr="00930FF2">
        <w:t xml:space="preserve">onar u odsutnosti može glasati </w:t>
      </w:r>
      <w:r w:rsidRPr="00930FF2">
        <w:t>pismenim putem.</w:t>
      </w:r>
      <w:r w:rsidR="00A93F93" w:rsidRPr="00930FF2">
        <w:t xml:space="preserve"> </w:t>
      </w:r>
      <w:r w:rsidRPr="00930FF2">
        <w:t>Pravo glasa na Skupštini ostvaruje se srazmjerno nominalnoj vrijednosti akcija u osnovnom kapitalu Fonda.</w:t>
      </w:r>
      <w:r w:rsidR="00A93F93" w:rsidRPr="00930FF2">
        <w:t xml:space="preserve"> </w:t>
      </w:r>
      <w:r w:rsidRPr="00930FF2">
        <w:t>Glasanje na Skupštini je javno, ali Skupština može odlučiti da se o pojedinim pitanjima glasa i tajno.</w:t>
      </w:r>
    </w:p>
    <w:p w:rsidR="000E73E8" w:rsidRPr="00930FF2" w:rsidRDefault="000E73E8" w:rsidP="00EB7F17">
      <w:pPr>
        <w:pStyle w:val="ListParagraph"/>
        <w:ind w:left="0" w:firstLine="0"/>
      </w:pPr>
    </w:p>
    <w:p w:rsidR="009210F3" w:rsidRPr="00930FF2" w:rsidRDefault="009210F3" w:rsidP="00A93F93">
      <w:pPr>
        <w:pStyle w:val="ListParagraph"/>
        <w:ind w:left="0" w:firstLine="0"/>
      </w:pPr>
      <w:r w:rsidRPr="00930FF2">
        <w:rPr>
          <w:i/>
        </w:rPr>
        <w:t>19.2.6</w:t>
      </w:r>
      <w:r w:rsidRPr="00930FF2">
        <w:t>. Statut Fonda nema odredbe koje daju mogućnost da se odloži ili spriječi sticanje kontrolnog paketa akcija Fonda.</w:t>
      </w:r>
    </w:p>
    <w:p w:rsidR="000E73E8" w:rsidRPr="00930FF2" w:rsidRDefault="000E73E8" w:rsidP="00A93F93">
      <w:pPr>
        <w:pStyle w:val="ListParagraph"/>
        <w:ind w:left="0" w:firstLine="0"/>
      </w:pPr>
    </w:p>
    <w:p w:rsidR="009210F3" w:rsidRPr="00930FF2" w:rsidRDefault="00A93F93" w:rsidP="00C33915">
      <w:pPr>
        <w:ind w:left="0" w:firstLine="0"/>
        <w:contextualSpacing/>
        <w:rPr>
          <w:rFonts w:eastAsia="Calibri"/>
          <w:bCs/>
        </w:rPr>
      </w:pPr>
      <w:r w:rsidRPr="00930FF2">
        <w:rPr>
          <w:i/>
        </w:rPr>
        <w:t>19.2.7.</w:t>
      </w:r>
      <w:r w:rsidRPr="00930FF2">
        <w:t xml:space="preserve"> </w:t>
      </w:r>
      <w:r w:rsidR="006E2E87" w:rsidRPr="00930FF2">
        <w:rPr>
          <w:rFonts w:eastAsia="Calibri"/>
          <w:bCs/>
        </w:rPr>
        <w:t>Objelodanjivanje učešća u osnovnom kapitalu ili u glasačkim pravima nije regulisano odredbama Statuta niti odredbama nekog drugog akta. Društvo u ime i za račun Fonda objelodanjuje sve informacije u skladu sa pozitivnim propisima koji regulišu ovu oblast.</w:t>
      </w:r>
    </w:p>
    <w:p w:rsidR="000E73E8" w:rsidRPr="00930FF2" w:rsidRDefault="000E73E8" w:rsidP="00C33915">
      <w:pPr>
        <w:ind w:left="0" w:firstLine="0"/>
        <w:contextualSpacing/>
        <w:rPr>
          <w:bCs/>
        </w:rPr>
      </w:pPr>
    </w:p>
    <w:p w:rsidR="00C33915" w:rsidRPr="00930FF2" w:rsidRDefault="00253417" w:rsidP="00C33915">
      <w:pPr>
        <w:ind w:left="0" w:firstLine="0"/>
        <w:rPr>
          <w:lang w:val="sr-Latn-BA"/>
        </w:rPr>
      </w:pPr>
      <w:r w:rsidRPr="00930FF2">
        <w:rPr>
          <w:i/>
          <w:lang w:val="sr-Latn-BA"/>
        </w:rPr>
        <w:t>19.2.8</w:t>
      </w:r>
      <w:r w:rsidRPr="00930FF2">
        <w:rPr>
          <w:lang w:val="sr-Latn-BA"/>
        </w:rPr>
        <w:t>.</w:t>
      </w:r>
      <w:r w:rsidRPr="00930FF2">
        <w:rPr>
          <w:b/>
          <w:lang w:val="sr-Latn-BA"/>
        </w:rPr>
        <w:t xml:space="preserve"> </w:t>
      </w:r>
      <w:r w:rsidR="00C33915" w:rsidRPr="00930FF2">
        <w:rPr>
          <w:lang w:val="sr-Latn-BA"/>
        </w:rPr>
        <w:t>Povećanje i smanjenje osnovnog kapitala</w:t>
      </w:r>
    </w:p>
    <w:p w:rsidR="00C33915" w:rsidRPr="00930FF2" w:rsidRDefault="00C33915" w:rsidP="00C33915">
      <w:pPr>
        <w:ind w:left="0" w:firstLine="0"/>
        <w:rPr>
          <w:lang w:val="sr-Latn-BA"/>
        </w:rPr>
      </w:pPr>
      <w:r w:rsidRPr="00930FF2">
        <w:rPr>
          <w:lang w:val="sr-Latn-BA"/>
        </w:rPr>
        <w:t>Odluku o povećanju osnovnog kapitala fonda donosi skupština fonda, po postupku i na način propisan Zakonom o privrednim društvima, aktima društva za upravljanje i aktima fonda, kao i u skladu sa propisima Komisije za hartije od vrijednosti Republike Srpske.</w:t>
      </w:r>
    </w:p>
    <w:p w:rsidR="00C33915" w:rsidRPr="00930FF2" w:rsidRDefault="00C33915" w:rsidP="00C33915">
      <w:pPr>
        <w:ind w:left="0" w:firstLine="0"/>
        <w:rPr>
          <w:lang w:val="sr-Latn-BA"/>
        </w:rPr>
      </w:pPr>
      <w:r w:rsidRPr="00930FF2">
        <w:rPr>
          <w:lang w:val="sr-Latn-BA"/>
        </w:rPr>
        <w:lastRenderedPageBreak/>
        <w:t>Odluku o smanjenju osnovnog kapitala fonda donosi skupština fonda, na isti način i po istoj proceduri kao i odluku o povećanju kapitala fonda, i primjenom istog zakona i drugih propisa.</w:t>
      </w:r>
    </w:p>
    <w:p w:rsidR="00C33915" w:rsidRPr="00930FF2" w:rsidRDefault="00C33915" w:rsidP="00C33915">
      <w:pPr>
        <w:ind w:left="0" w:firstLine="0"/>
        <w:rPr>
          <w:lang w:val="sr-Latn-BA"/>
        </w:rPr>
      </w:pPr>
      <w:r w:rsidRPr="00930FF2">
        <w:rPr>
          <w:lang w:val="sr-Latn-BA"/>
        </w:rPr>
        <w:t xml:space="preserve">Odlukom o emisiji, koju donosi skupština fonda utvrđuje se vrijednost emisije, i minimalni iznos </w:t>
      </w:r>
    </w:p>
    <w:p w:rsidR="00C33915" w:rsidRPr="00930FF2" w:rsidRDefault="00C33915" w:rsidP="00C33915">
      <w:pPr>
        <w:ind w:left="0" w:firstLine="0"/>
        <w:rPr>
          <w:lang w:val="sr-Latn-BA"/>
        </w:rPr>
      </w:pPr>
      <w:r w:rsidRPr="00930FF2">
        <w:rPr>
          <w:lang w:val="sr-Latn-BA"/>
        </w:rPr>
        <w:t>novčanih sredstava, koja se moraju prikupiti javnom ponudom, da bi se emisija smatrala uspješnom.</w:t>
      </w:r>
    </w:p>
    <w:p w:rsidR="00C33915" w:rsidRPr="00930FF2" w:rsidRDefault="00C33915" w:rsidP="00C33915">
      <w:pPr>
        <w:ind w:left="0" w:firstLine="0"/>
        <w:rPr>
          <w:lang w:val="sr-Latn-BA"/>
        </w:rPr>
      </w:pPr>
      <w:r w:rsidRPr="00930FF2">
        <w:rPr>
          <w:lang w:val="sr-Latn-BA"/>
        </w:rPr>
        <w:t>Odlukom o emisiji se takođe mora definisati i procedure za povrat uplaćenih novčanih iznosa  akcionarima fonda, za slučaj da se emisijom ne prikupi propisani najniži iznos novčanih sredstava da bi se emisija mogla smatrati uspješnom.</w:t>
      </w:r>
    </w:p>
    <w:p w:rsidR="00C33915" w:rsidRPr="00930FF2" w:rsidRDefault="00C33915" w:rsidP="00C33915">
      <w:pPr>
        <w:ind w:left="0" w:firstLine="0"/>
        <w:rPr>
          <w:lang w:val="sr-Latn-BA"/>
        </w:rPr>
      </w:pPr>
      <w:r w:rsidRPr="00930FF2">
        <w:rPr>
          <w:lang w:val="sr-Latn-BA"/>
        </w:rPr>
        <w:t xml:space="preserve">Prospektom fonda će se definisati uslovi, način i postupak novih emisija fonda, a sve u skladu sa </w:t>
      </w:r>
    </w:p>
    <w:p w:rsidR="00C33915" w:rsidRPr="00930FF2" w:rsidRDefault="00C33915" w:rsidP="00C33915">
      <w:pPr>
        <w:ind w:left="0" w:firstLine="0"/>
        <w:rPr>
          <w:lang w:val="sr-Latn-BA"/>
        </w:rPr>
      </w:pPr>
      <w:r w:rsidRPr="00930FF2">
        <w:rPr>
          <w:lang w:val="sr-Latn-BA"/>
        </w:rPr>
        <w:t>zakonom, aktima društva i aktima fonda, te u skladu sa aktima Komisije.</w:t>
      </w:r>
    </w:p>
    <w:p w:rsidR="00287ACD" w:rsidRPr="00930FF2" w:rsidRDefault="00287ACD" w:rsidP="00287ACD">
      <w:pPr>
        <w:ind w:left="0" w:firstLine="0"/>
        <w:contextualSpacing/>
        <w:rPr>
          <w:bCs/>
        </w:rPr>
      </w:pPr>
      <w:r w:rsidRPr="00930FF2">
        <w:rPr>
          <w:bCs/>
        </w:rPr>
        <w:t>Član 8. Statuta Fonda odnosi se na promjenu osnovnog kapitala i glasi:</w:t>
      </w:r>
    </w:p>
    <w:p w:rsidR="00287ACD" w:rsidRPr="00930FF2" w:rsidRDefault="00287ACD" w:rsidP="00287ACD">
      <w:pPr>
        <w:pStyle w:val="BodyText"/>
        <w:contextualSpacing/>
      </w:pPr>
      <w:r w:rsidRPr="00930FF2">
        <w:t xml:space="preserve">Odluku o povećanju i smanjenju osnovnog kapitala fonda donosi Skupština </w:t>
      </w:r>
      <w:r w:rsidRPr="00930FF2">
        <w:rPr>
          <w:lang w:val="sr-Latn-BA"/>
        </w:rPr>
        <w:t>F</w:t>
      </w:r>
      <w:r w:rsidRPr="00930FF2">
        <w:t xml:space="preserve">onda, u skladu sa </w:t>
      </w:r>
      <w:r w:rsidRPr="00930FF2">
        <w:rPr>
          <w:lang w:val="sr-Latn-BA"/>
        </w:rPr>
        <w:t>Zakonom o privrednim društvima</w:t>
      </w:r>
      <w:r w:rsidRPr="00930FF2">
        <w:t xml:space="preserve"> i Zakonom o investicionim fondovima.</w:t>
      </w:r>
    </w:p>
    <w:p w:rsidR="000E73E8" w:rsidRPr="00930FF2" w:rsidRDefault="000E73E8" w:rsidP="00787406">
      <w:pPr>
        <w:ind w:left="0" w:firstLine="0"/>
        <w:rPr>
          <w:lang w:val="sr-Latn-BA"/>
        </w:rPr>
      </w:pPr>
    </w:p>
    <w:p w:rsidR="00125BCC" w:rsidRPr="00930FF2" w:rsidRDefault="00125BCC" w:rsidP="00F553CF">
      <w:pPr>
        <w:pStyle w:val="ListParagraph"/>
        <w:numPr>
          <w:ilvl w:val="0"/>
          <w:numId w:val="10"/>
        </w:numPr>
        <w:jc w:val="left"/>
        <w:rPr>
          <w:b/>
          <w:bCs/>
          <w:sz w:val="26"/>
          <w:szCs w:val="26"/>
        </w:rPr>
      </w:pPr>
      <w:r w:rsidRPr="00930FF2">
        <w:rPr>
          <w:b/>
          <w:bCs/>
          <w:sz w:val="26"/>
          <w:szCs w:val="26"/>
        </w:rPr>
        <w:t>ZNAČAJNI UGOVORI</w:t>
      </w:r>
    </w:p>
    <w:p w:rsidR="00125BCC" w:rsidRPr="00930FF2" w:rsidRDefault="00125BCC" w:rsidP="00125BCC">
      <w:pPr>
        <w:ind w:left="0" w:firstLine="0"/>
        <w:contextualSpacing/>
        <w:jc w:val="left"/>
        <w:rPr>
          <w:bCs/>
        </w:rPr>
      </w:pPr>
      <w:r w:rsidRPr="00930FF2">
        <w:rPr>
          <w:bCs/>
        </w:rPr>
        <w:t xml:space="preserve">U skladu sa aktima Fonda, kao i Ugovorom o upravljanju koji je Fond zaključio sa Društvom, Fond je prenio upravljanje i vođenje poslova na Društvo. U pravnim poslovima sa trećim licima Društvo nastupa u ime i za račun Fonda, pa tako i vezano za </w:t>
      </w:r>
      <w:r w:rsidR="004B60E3" w:rsidRPr="00930FF2">
        <w:rPr>
          <w:bCs/>
        </w:rPr>
        <w:t xml:space="preserve">zaključivanje </w:t>
      </w:r>
      <w:r w:rsidRPr="00930FF2">
        <w:rPr>
          <w:bCs/>
        </w:rPr>
        <w:t>Ugovora.</w:t>
      </w:r>
    </w:p>
    <w:p w:rsidR="004B60E3" w:rsidRPr="00930FF2" w:rsidRDefault="004B60E3" w:rsidP="00125BCC">
      <w:pPr>
        <w:ind w:left="0" w:firstLine="0"/>
        <w:contextualSpacing/>
        <w:jc w:val="left"/>
        <w:rPr>
          <w:bCs/>
        </w:rPr>
      </w:pPr>
    </w:p>
    <w:p w:rsidR="004B60E3" w:rsidRPr="00930FF2" w:rsidRDefault="004B60E3" w:rsidP="00F553CF">
      <w:pPr>
        <w:pStyle w:val="ListParagraph"/>
        <w:numPr>
          <w:ilvl w:val="1"/>
          <w:numId w:val="10"/>
        </w:numPr>
        <w:ind w:left="0" w:firstLine="0"/>
        <w:jc w:val="left"/>
        <w:rPr>
          <w:b/>
          <w:bCs/>
        </w:rPr>
      </w:pPr>
      <w:r w:rsidRPr="00930FF2">
        <w:rPr>
          <w:b/>
          <w:bCs/>
        </w:rPr>
        <w:t>Pregled administrativnih poslova koje je društvo prenijelo na treće lice</w:t>
      </w:r>
    </w:p>
    <w:p w:rsidR="004B60E3" w:rsidRPr="00930FF2" w:rsidRDefault="004B60E3" w:rsidP="004B60E3">
      <w:pPr>
        <w:ind w:left="0" w:firstLine="0"/>
        <w:contextualSpacing/>
        <w:rPr>
          <w:lang w:val="it-IT"/>
        </w:rPr>
      </w:pPr>
      <w:r w:rsidRPr="00930FF2">
        <w:rPr>
          <w:lang w:val="it-IT"/>
        </w:rPr>
        <w:t>Firma (treće lice) na koje su poslovi preneseni: Društvo sa ograničenom odgovornošću za računovodstvo, reviziju i konsalting “Petros” Bijeljina.</w:t>
      </w:r>
    </w:p>
    <w:p w:rsidR="004B60E3" w:rsidRPr="00930FF2" w:rsidRDefault="004B60E3" w:rsidP="004B60E3">
      <w:pPr>
        <w:pStyle w:val="ListParagraph"/>
        <w:ind w:left="0" w:firstLine="0"/>
        <w:rPr>
          <w:lang w:val="it-IT"/>
        </w:rPr>
      </w:pPr>
      <w:r w:rsidRPr="00930FF2">
        <w:rPr>
          <w:lang w:val="it-IT"/>
        </w:rPr>
        <w:t>Adresa, telefon, telefaks i adresa elektronske pošte: Ulica Cara Lazara 14D, 76300 Bijeljina, tel.: 055/226-391, fax: 055/226-392, e-mail: petrosbiro@spinter.net</w:t>
      </w:r>
    </w:p>
    <w:p w:rsidR="004B60E3" w:rsidRPr="00930FF2" w:rsidRDefault="004B60E3" w:rsidP="004B60E3">
      <w:pPr>
        <w:pStyle w:val="ListParagraph"/>
        <w:ind w:left="0" w:firstLine="0"/>
        <w:rPr>
          <w:lang w:val="it-IT"/>
        </w:rPr>
      </w:pPr>
      <w:r w:rsidRPr="00930FF2">
        <w:rPr>
          <w:lang w:val="it-IT"/>
        </w:rPr>
        <w:t>Opis poslova koje je Društvo u ime i za račun Fonda prenijelo na treće lice:</w:t>
      </w:r>
    </w:p>
    <w:p w:rsidR="004B60E3" w:rsidRPr="00930FF2" w:rsidRDefault="004B60E3" w:rsidP="004B60E3">
      <w:pPr>
        <w:pStyle w:val="ListParagraph"/>
        <w:ind w:left="0" w:firstLine="0"/>
        <w:rPr>
          <w:lang w:val="it-IT"/>
        </w:rPr>
      </w:pPr>
      <w:r w:rsidRPr="00930FF2">
        <w:rPr>
          <w:lang w:val="it-IT"/>
        </w:rPr>
        <w:t xml:space="preserve">Instruktivno učestvovanje u formiranju dokumentacije, kontrola, praćenje i knjiženje svih poslovnih promjena prema važećem Zakonu o računovodstvu Republike Srpske, Međunarodnim računovodstvenim standardima i ostalim važećim propisima kroz dnevnik i glavnu knjigu, sastavljanje kvartalnih, polugodišnjih i godišnjih obračuna i poreskih bilansa. </w:t>
      </w:r>
    </w:p>
    <w:p w:rsidR="00125BCC" w:rsidRPr="00930FF2" w:rsidRDefault="00125BCC" w:rsidP="00125BCC">
      <w:pPr>
        <w:ind w:left="0" w:firstLine="0"/>
        <w:contextualSpacing/>
        <w:jc w:val="left"/>
        <w:rPr>
          <w:b/>
          <w:bCs/>
          <w:sz w:val="26"/>
          <w:szCs w:val="26"/>
        </w:rPr>
      </w:pPr>
    </w:p>
    <w:p w:rsidR="00B86298" w:rsidRPr="00930FF2" w:rsidRDefault="00B86298" w:rsidP="00F553CF">
      <w:pPr>
        <w:pStyle w:val="ListParagraph"/>
        <w:numPr>
          <w:ilvl w:val="0"/>
          <w:numId w:val="10"/>
        </w:numPr>
        <w:jc w:val="left"/>
        <w:rPr>
          <w:b/>
          <w:bCs/>
          <w:sz w:val="26"/>
          <w:szCs w:val="26"/>
        </w:rPr>
      </w:pPr>
      <w:r w:rsidRPr="00930FF2">
        <w:rPr>
          <w:b/>
          <w:bCs/>
          <w:sz w:val="26"/>
          <w:szCs w:val="26"/>
        </w:rPr>
        <w:t>INFORMACIJE ČIJI SU IZVOR TREĆA LICA I IZJAVE STRUČNJAKA</w:t>
      </w:r>
    </w:p>
    <w:p w:rsidR="00B86298" w:rsidRPr="00930FF2" w:rsidRDefault="00B86298" w:rsidP="00B86298">
      <w:pPr>
        <w:ind w:left="0" w:firstLine="0"/>
        <w:rPr>
          <w:bCs/>
        </w:rPr>
      </w:pPr>
      <w:r w:rsidRPr="00930FF2">
        <w:rPr>
          <w:bCs/>
        </w:rPr>
        <w:t>Dokument o registraciji ne posjeduje informacije čiji su izvor treća lica, niti izjave stručnjaka.</w:t>
      </w:r>
    </w:p>
    <w:p w:rsidR="00B86298" w:rsidRPr="00930FF2" w:rsidRDefault="00B86298" w:rsidP="00B86298">
      <w:pPr>
        <w:ind w:left="0" w:firstLine="0"/>
        <w:jc w:val="left"/>
        <w:rPr>
          <w:b/>
          <w:bCs/>
          <w:sz w:val="26"/>
          <w:szCs w:val="26"/>
        </w:rPr>
      </w:pPr>
    </w:p>
    <w:p w:rsidR="00125BCC" w:rsidRPr="00930FF2" w:rsidRDefault="00125BCC" w:rsidP="00F553CF">
      <w:pPr>
        <w:pStyle w:val="ListParagraph"/>
        <w:numPr>
          <w:ilvl w:val="0"/>
          <w:numId w:val="10"/>
        </w:numPr>
        <w:jc w:val="left"/>
        <w:rPr>
          <w:b/>
          <w:bCs/>
          <w:sz w:val="26"/>
          <w:szCs w:val="26"/>
        </w:rPr>
      </w:pPr>
      <w:r w:rsidRPr="00930FF2">
        <w:rPr>
          <w:b/>
          <w:bCs/>
          <w:sz w:val="26"/>
          <w:szCs w:val="26"/>
        </w:rPr>
        <w:t>DOKUMENTI DOSTUPNI NA UVID</w:t>
      </w:r>
    </w:p>
    <w:p w:rsidR="00125BCC" w:rsidRPr="00930FF2" w:rsidRDefault="00125BCC" w:rsidP="00125BCC">
      <w:pPr>
        <w:ind w:left="0" w:firstLine="0"/>
        <w:contextualSpacing/>
        <w:rPr>
          <w:bCs/>
        </w:rPr>
      </w:pPr>
      <w:r w:rsidRPr="00930FF2">
        <w:rPr>
          <w:bCs/>
        </w:rPr>
        <w:t>Izjavljujemo da će za sve vrijeme važenja Dokumenta o registraciji, biti dostupni sljedeći dokumenti:</w:t>
      </w:r>
    </w:p>
    <w:p w:rsidR="00125BCC" w:rsidRPr="00930FF2" w:rsidRDefault="00125BCC" w:rsidP="00F553CF">
      <w:pPr>
        <w:numPr>
          <w:ilvl w:val="0"/>
          <w:numId w:val="5"/>
        </w:numPr>
        <w:ind w:left="0" w:firstLine="0"/>
        <w:contextualSpacing/>
        <w:rPr>
          <w:bCs/>
        </w:rPr>
      </w:pPr>
      <w:r w:rsidRPr="00930FF2">
        <w:rPr>
          <w:bCs/>
        </w:rPr>
        <w:t>Statut i osnivački akt,</w:t>
      </w:r>
    </w:p>
    <w:p w:rsidR="00125BCC" w:rsidRPr="00930FF2" w:rsidRDefault="00125BCC" w:rsidP="00F553CF">
      <w:pPr>
        <w:numPr>
          <w:ilvl w:val="0"/>
          <w:numId w:val="5"/>
        </w:numPr>
        <w:ind w:left="0" w:firstLine="0"/>
        <w:contextualSpacing/>
        <w:rPr>
          <w:bCs/>
        </w:rPr>
      </w:pPr>
      <w:r w:rsidRPr="00930FF2">
        <w:rPr>
          <w:bCs/>
        </w:rPr>
        <w:t>Svi izvještaji, pisma i drugi dokumenti, finansijske informacije o prošlom poslovanju, procjene i mišljenja stručnjaka, koji su pripremljeni na zahtjev Fonda, čiji je bilo koji dio uključen u Dokument o registraciji ili na koji se Dokument o registraciji poziva,</w:t>
      </w:r>
    </w:p>
    <w:p w:rsidR="00125BCC" w:rsidRPr="00930FF2" w:rsidRDefault="00125BCC" w:rsidP="00F553CF">
      <w:pPr>
        <w:numPr>
          <w:ilvl w:val="0"/>
          <w:numId w:val="5"/>
        </w:numPr>
        <w:ind w:left="0" w:firstLine="0"/>
        <w:contextualSpacing/>
        <w:rPr>
          <w:bCs/>
        </w:rPr>
      </w:pPr>
      <w:r w:rsidRPr="00930FF2">
        <w:rPr>
          <w:bCs/>
        </w:rPr>
        <w:t>Finansijske informacije o prošlom poslovanju Fonda za dvije finansijske godine, koje prethode objavi dokumenta o registraciji.</w:t>
      </w:r>
    </w:p>
    <w:p w:rsidR="00125BCC" w:rsidRPr="00930FF2" w:rsidRDefault="00125BCC" w:rsidP="00125BCC">
      <w:pPr>
        <w:ind w:left="0" w:firstLine="0"/>
        <w:contextualSpacing/>
      </w:pPr>
      <w:r w:rsidRPr="00930FF2">
        <w:rPr>
          <w:bCs/>
        </w:rPr>
        <w:t xml:space="preserve">Navedeni dokumenti dostupni su javnosti i mogu se pogledati radnim danom u vremenu od 8 do 16 časova u prostorijama Društva i Fonda, Ulica Gavrila Principa 11, Bijeljina i na web stranici Društva i Fonda </w:t>
      </w:r>
      <w:hyperlink r:id="rId12" w:history="1">
        <w:r w:rsidRPr="00930FF2">
          <w:rPr>
            <w:rStyle w:val="Hyperlink"/>
            <w:bCs/>
          </w:rPr>
          <w:t>www.investnova.info</w:t>
        </w:r>
      </w:hyperlink>
      <w:r w:rsidRPr="00930FF2">
        <w:rPr>
          <w:bCs/>
        </w:rPr>
        <w:t xml:space="preserve">, kao i na web stranici Banjalučke Berze </w:t>
      </w:r>
      <w:hyperlink r:id="rId13" w:history="1">
        <w:r w:rsidRPr="00930FF2">
          <w:rPr>
            <w:rStyle w:val="Hyperlink"/>
            <w:bCs/>
          </w:rPr>
          <w:t>www.blberza.com</w:t>
        </w:r>
      </w:hyperlink>
    </w:p>
    <w:p w:rsidR="00125BCC" w:rsidRPr="00930FF2" w:rsidRDefault="00125BCC" w:rsidP="00C33915">
      <w:pPr>
        <w:ind w:left="720" w:firstLine="0"/>
        <w:rPr>
          <w:lang w:val="sr-Latn-BA"/>
        </w:rPr>
      </w:pPr>
    </w:p>
    <w:p w:rsidR="00125BCC" w:rsidRPr="00930FF2" w:rsidRDefault="00125BCC" w:rsidP="00F553CF">
      <w:pPr>
        <w:pStyle w:val="ListParagraph"/>
        <w:numPr>
          <w:ilvl w:val="0"/>
          <w:numId w:val="10"/>
        </w:numPr>
        <w:jc w:val="left"/>
        <w:rPr>
          <w:b/>
          <w:bCs/>
          <w:sz w:val="26"/>
          <w:szCs w:val="26"/>
        </w:rPr>
      </w:pPr>
      <w:r w:rsidRPr="00930FF2">
        <w:rPr>
          <w:b/>
          <w:bCs/>
          <w:sz w:val="26"/>
          <w:szCs w:val="26"/>
        </w:rPr>
        <w:lastRenderedPageBreak/>
        <w:t>INFORMACIJE O UDJELIMA</w:t>
      </w:r>
    </w:p>
    <w:p w:rsidR="00125BCC" w:rsidRPr="00930FF2" w:rsidRDefault="00125BCC" w:rsidP="00125BCC">
      <w:pPr>
        <w:ind w:left="0" w:firstLine="0"/>
        <w:contextualSpacing/>
        <w:jc w:val="left"/>
        <w:rPr>
          <w:bCs/>
        </w:rPr>
      </w:pPr>
      <w:r w:rsidRPr="00930FF2">
        <w:rPr>
          <w:bCs/>
        </w:rPr>
        <w:t>Informacija se odnosi na društva u stečaju u kojima Fond ima udio u kapitalu, a što može da ima značajan uticaj na procjenu imovine, finansijski položaj i gubitke Fonda.</w:t>
      </w:r>
    </w:p>
    <w:p w:rsidR="00125BCC" w:rsidRPr="00930FF2" w:rsidRDefault="00125BCC" w:rsidP="00125BCC">
      <w:pPr>
        <w:ind w:left="0" w:firstLine="0"/>
        <w:contextualSpacing/>
        <w:jc w:val="left"/>
        <w:rPr>
          <w:bCs/>
        </w:rPr>
      </w:pPr>
    </w:p>
    <w:tbl>
      <w:tblPr>
        <w:tblpPr w:leftFromText="180" w:rightFromText="180" w:vertAnchor="text" w:tblpX="10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1806"/>
        <w:gridCol w:w="1605"/>
        <w:gridCol w:w="2005"/>
      </w:tblGrid>
      <w:tr w:rsidR="00125BCC" w:rsidRPr="00930FF2" w:rsidTr="00125BCC">
        <w:tc>
          <w:tcPr>
            <w:tcW w:w="3134"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Naziv emitenta</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Oznaka emitenta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Broj</w:t>
            </w:r>
          </w:p>
          <w:p w:rsidR="00125BCC" w:rsidRPr="00930FF2" w:rsidRDefault="00125BCC" w:rsidP="00125BCC">
            <w:pPr>
              <w:ind w:left="0" w:firstLine="0"/>
              <w:jc w:val="center"/>
              <w:rPr>
                <w:rFonts w:eastAsia="Calibri"/>
                <w:sz w:val="22"/>
                <w:szCs w:val="22"/>
              </w:rPr>
            </w:pPr>
            <w:r w:rsidRPr="00930FF2">
              <w:rPr>
                <w:rFonts w:eastAsia="Calibri"/>
                <w:sz w:val="22"/>
                <w:szCs w:val="22"/>
              </w:rPr>
              <w:t>akcija</w:t>
            </w:r>
          </w:p>
        </w:tc>
        <w:tc>
          <w:tcPr>
            <w:tcW w:w="20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bCs/>
                <w:sz w:val="22"/>
                <w:szCs w:val="22"/>
                <w:shd w:val="clear" w:color="auto" w:fill="FFFFFF"/>
              </w:rPr>
              <w:t>% učešća</w:t>
            </w:r>
            <w:r w:rsidRPr="00930FF2">
              <w:rPr>
                <w:rFonts w:eastAsia="Calibri"/>
                <w:bCs/>
                <w:sz w:val="22"/>
                <w:szCs w:val="22"/>
              </w:rPr>
              <w:t xml:space="preserve"> </w:t>
            </w:r>
            <w:r w:rsidRPr="00930FF2">
              <w:rPr>
                <w:rFonts w:eastAsia="Calibri"/>
                <w:bCs/>
                <w:sz w:val="22"/>
                <w:szCs w:val="22"/>
                <w:shd w:val="clear" w:color="auto" w:fill="FFFFFF"/>
              </w:rPr>
              <w:t>u vlasništvu</w:t>
            </w:r>
            <w:r w:rsidRPr="00930FF2">
              <w:rPr>
                <w:rFonts w:eastAsia="Calibri"/>
                <w:bCs/>
                <w:sz w:val="22"/>
                <w:szCs w:val="22"/>
              </w:rPr>
              <w:br/>
            </w:r>
            <w:r w:rsidRPr="00930FF2">
              <w:rPr>
                <w:rFonts w:eastAsia="Calibri"/>
                <w:bCs/>
                <w:sz w:val="22"/>
                <w:szCs w:val="22"/>
                <w:shd w:val="clear" w:color="auto" w:fill="FFFFFF"/>
              </w:rPr>
              <w:t>izdavaoca</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Birač a.d. Zvornik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BIRA-R-A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9.985.689</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1,369619</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HUTP Cer a.d. Prnjavor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CERP-R-A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96.941</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2,450777</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Čajavec PPS telekomunikacije a.d. Banja Luka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CPPS-R-A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113.737</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31,407868</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Dobojputevi a.d. Doboj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DOPT-R-A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108.589</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1,963563</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Duvan a.d. Bratunac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DVAN-R-A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109.366</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6,825853</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Dalekovodinženjering a.d. Bratunac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DVIN-R-A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298.150</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28,535551</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Fabrika šećera Bijeljina a.d. Velika Obarska</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FSBN-R-A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472.361</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1,638237</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Fabrika stočne hrane a.d. Nova Topola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FSTH-R-A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7.264</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0,1441</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GIK Hidrogradnja a.d. Istočno Sarajevo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HIDR-R-A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1.042.945</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3,103121</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Hotel Sava a.d. Brod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HSVA-R-A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576.080</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17,883863</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Hotel Krajina a.d. Mrkonjić Grad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HTKR-R-A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61.398</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3,520568</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Intal a.d. Milići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INTL-R-A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61.626</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3,537735</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Inženjering a.d. Zvornik P.O.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INZR-R-A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880.151</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18,144604</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Jugomontaža a.d. Bileća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JMNT-R-A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243.925</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23,892268</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Famos Fabrika Koran a.d. Pale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KORN-R-A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1.977.148</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9,019816</w:t>
            </w:r>
          </w:p>
        </w:tc>
      </w:tr>
      <w:tr w:rsidR="00125BCC" w:rsidRPr="00930FF2" w:rsidTr="00125BCC">
        <w:tc>
          <w:tcPr>
            <w:tcW w:w="3134" w:type="dxa"/>
            <w:shd w:val="clear" w:color="auto" w:fill="auto"/>
            <w:vAlign w:val="center"/>
          </w:tcPr>
          <w:p w:rsidR="00125BCC" w:rsidRPr="00930FF2" w:rsidRDefault="00125BCC" w:rsidP="00125BCC">
            <w:pPr>
              <w:ind w:left="0" w:firstLine="0"/>
              <w:jc w:val="left"/>
              <w:rPr>
                <w:rFonts w:eastAsia="Calibri"/>
                <w:sz w:val="22"/>
                <w:szCs w:val="22"/>
              </w:rPr>
            </w:pPr>
            <w:r w:rsidRPr="00930FF2">
              <w:rPr>
                <w:rFonts w:eastAsia="Calibri"/>
                <w:sz w:val="22"/>
                <w:szCs w:val="22"/>
              </w:rPr>
              <w:t>Konfekcija Pionir a.d. Prnjavor – u stečaju</w:t>
            </w:r>
          </w:p>
        </w:tc>
        <w:tc>
          <w:tcPr>
            <w:tcW w:w="1806" w:type="dxa"/>
            <w:shd w:val="clear" w:color="auto" w:fill="auto"/>
            <w:vAlign w:val="center"/>
          </w:tcPr>
          <w:p w:rsidR="00125BCC" w:rsidRPr="00930FF2" w:rsidRDefault="00125BCC" w:rsidP="00125BCC">
            <w:pPr>
              <w:ind w:left="0" w:firstLine="0"/>
              <w:contextualSpacing/>
              <w:jc w:val="center"/>
              <w:rPr>
                <w:rFonts w:eastAsia="Calibri"/>
                <w:sz w:val="22"/>
                <w:szCs w:val="22"/>
              </w:rPr>
            </w:pPr>
            <w:r w:rsidRPr="00930FF2">
              <w:rPr>
                <w:rFonts w:eastAsia="Calibri"/>
                <w:sz w:val="22"/>
                <w:szCs w:val="22"/>
              </w:rPr>
              <w:t>KPPR-R-A</w:t>
            </w:r>
          </w:p>
        </w:tc>
        <w:tc>
          <w:tcPr>
            <w:tcW w:w="1605" w:type="dxa"/>
            <w:shd w:val="clear" w:color="auto" w:fill="auto"/>
            <w:vAlign w:val="center"/>
          </w:tcPr>
          <w:p w:rsidR="00125BCC" w:rsidRPr="00930FF2" w:rsidRDefault="00125BCC" w:rsidP="00125BCC">
            <w:pPr>
              <w:ind w:left="0" w:firstLine="0"/>
              <w:jc w:val="center"/>
              <w:rPr>
                <w:rFonts w:eastAsia="Calibri"/>
                <w:sz w:val="22"/>
                <w:szCs w:val="22"/>
              </w:rPr>
            </w:pPr>
            <w:r w:rsidRPr="00930FF2">
              <w:rPr>
                <w:rFonts w:eastAsia="Calibri"/>
                <w:sz w:val="22"/>
                <w:szCs w:val="22"/>
              </w:rPr>
              <w:t>681.341</w:t>
            </w:r>
          </w:p>
        </w:tc>
        <w:tc>
          <w:tcPr>
            <w:tcW w:w="2005" w:type="dxa"/>
            <w:shd w:val="clear" w:color="auto" w:fill="auto"/>
            <w:vAlign w:val="center"/>
          </w:tcPr>
          <w:p w:rsidR="00125BCC" w:rsidRPr="00930FF2" w:rsidRDefault="00125BCC" w:rsidP="00125BCC">
            <w:pPr>
              <w:ind w:left="0" w:firstLine="0"/>
              <w:jc w:val="center"/>
              <w:rPr>
                <w:rFonts w:eastAsia="Calibri"/>
                <w:bCs/>
                <w:sz w:val="22"/>
                <w:szCs w:val="22"/>
                <w:shd w:val="clear" w:color="auto" w:fill="FFFFFF"/>
              </w:rPr>
            </w:pPr>
            <w:r w:rsidRPr="00930FF2">
              <w:rPr>
                <w:rFonts w:eastAsia="Calibri"/>
                <w:bCs/>
                <w:sz w:val="22"/>
                <w:szCs w:val="22"/>
                <w:shd w:val="clear" w:color="auto" w:fill="FFFFFF"/>
              </w:rPr>
              <w:t>8,566444</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GP Rad a.d. Bijeljina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RADB-R-A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159.263</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4,091181</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Rasklopna Oprema a.d. Istočno Sarajevo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RAOP-R-A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430.250</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1,235245</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Ratarstvo a.d. Nova Topola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RATA-R-A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24.484</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0,144089</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Rudnik Miljevina a.d. Miljevina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RMUM-R-A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1.969.609</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5,189412</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Romanija a.d. Sokolac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ROMN-R-A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2.308.116</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10,077693</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VP Sava a.d. Gradiška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SAVA-R-B</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83.234</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0,744351</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Sava a.d. Bijeljina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SVBN-R-A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333.660</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2,106176</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Trgovina Lopare a.d. Lopare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TRGL-R-A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595.051</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25,283587</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lastRenderedPageBreak/>
              <w:t>Termal a.d. Lopare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TRML-R-A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495.493</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7,012859</w:t>
            </w:r>
          </w:p>
        </w:tc>
      </w:tr>
      <w:tr w:rsidR="00125BCC" w:rsidRPr="00930FF2" w:rsidTr="00125BCC">
        <w:tc>
          <w:tcPr>
            <w:tcW w:w="3134" w:type="dxa"/>
            <w:shd w:val="clear" w:color="auto" w:fill="auto"/>
            <w:vAlign w:val="center"/>
          </w:tcPr>
          <w:p w:rsidR="00125BCC" w:rsidRPr="00930FF2" w:rsidRDefault="00125BCC" w:rsidP="00787406">
            <w:pPr>
              <w:ind w:left="0" w:firstLine="0"/>
              <w:contextualSpacing/>
              <w:jc w:val="left"/>
              <w:rPr>
                <w:rFonts w:eastAsia="Calibri"/>
                <w:sz w:val="22"/>
                <w:szCs w:val="22"/>
              </w:rPr>
            </w:pPr>
            <w:r w:rsidRPr="00930FF2">
              <w:rPr>
                <w:rFonts w:eastAsia="Calibri"/>
                <w:sz w:val="22"/>
                <w:szCs w:val="22"/>
              </w:rPr>
              <w:t>Žitoprodukt a.d. Banja Luka – u stečaju</w:t>
            </w:r>
          </w:p>
        </w:tc>
        <w:tc>
          <w:tcPr>
            <w:tcW w:w="1806"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ZPBL-R-A</w:t>
            </w:r>
          </w:p>
        </w:tc>
        <w:tc>
          <w:tcPr>
            <w:tcW w:w="1605" w:type="dxa"/>
            <w:shd w:val="clear" w:color="auto" w:fill="auto"/>
            <w:vAlign w:val="center"/>
          </w:tcPr>
          <w:p w:rsidR="00125BCC" w:rsidRPr="00930FF2" w:rsidRDefault="00125BCC" w:rsidP="00787406">
            <w:pPr>
              <w:ind w:left="0" w:firstLine="0"/>
              <w:contextualSpacing/>
              <w:jc w:val="center"/>
              <w:rPr>
                <w:rFonts w:eastAsia="Calibri"/>
                <w:sz w:val="22"/>
                <w:szCs w:val="22"/>
              </w:rPr>
            </w:pPr>
            <w:r w:rsidRPr="00930FF2">
              <w:rPr>
                <w:rFonts w:eastAsia="Calibri"/>
                <w:sz w:val="22"/>
                <w:szCs w:val="22"/>
              </w:rPr>
              <w:t>263.993</w:t>
            </w:r>
          </w:p>
        </w:tc>
        <w:tc>
          <w:tcPr>
            <w:tcW w:w="2005" w:type="dxa"/>
            <w:shd w:val="clear" w:color="auto" w:fill="auto"/>
            <w:vAlign w:val="center"/>
          </w:tcPr>
          <w:p w:rsidR="00125BCC" w:rsidRPr="00930FF2" w:rsidRDefault="00125BCC" w:rsidP="00787406">
            <w:pPr>
              <w:ind w:left="0" w:firstLine="0"/>
              <w:contextualSpacing/>
              <w:jc w:val="center"/>
              <w:rPr>
                <w:rFonts w:eastAsia="Calibri"/>
                <w:bCs/>
                <w:sz w:val="22"/>
                <w:szCs w:val="22"/>
                <w:shd w:val="clear" w:color="auto" w:fill="FFFFFF"/>
              </w:rPr>
            </w:pPr>
            <w:r w:rsidRPr="00930FF2">
              <w:rPr>
                <w:rFonts w:eastAsia="Calibri"/>
                <w:bCs/>
                <w:sz w:val="22"/>
                <w:szCs w:val="22"/>
                <w:shd w:val="clear" w:color="auto" w:fill="FFFFFF"/>
              </w:rPr>
              <w:t>0,781406</w:t>
            </w:r>
          </w:p>
        </w:tc>
      </w:tr>
    </w:tbl>
    <w:p w:rsidR="00125BCC" w:rsidRPr="00930FF2" w:rsidRDefault="00125BCC" w:rsidP="00787406">
      <w:pPr>
        <w:ind w:left="0" w:firstLine="0"/>
        <w:contextualSpacing/>
        <w:jc w:val="left"/>
        <w:rPr>
          <w:b/>
          <w:bCs/>
          <w:sz w:val="26"/>
          <w:szCs w:val="26"/>
        </w:rPr>
      </w:pPr>
    </w:p>
    <w:p w:rsidR="00125BCC" w:rsidRPr="00930FF2" w:rsidRDefault="00125BCC" w:rsidP="00787406">
      <w:pPr>
        <w:ind w:left="0" w:firstLine="0"/>
        <w:contextualSpacing/>
        <w:jc w:val="left"/>
        <w:rPr>
          <w:b/>
          <w:bCs/>
          <w:sz w:val="26"/>
          <w:szCs w:val="26"/>
        </w:rPr>
      </w:pPr>
    </w:p>
    <w:p w:rsidR="000E73E8" w:rsidRPr="00930FF2" w:rsidRDefault="000E73E8" w:rsidP="00787406">
      <w:pPr>
        <w:ind w:left="0" w:firstLine="0"/>
        <w:contextualSpacing/>
        <w:rPr>
          <w:bCs/>
        </w:rPr>
      </w:pPr>
    </w:p>
    <w:p w:rsidR="00125BCC" w:rsidRPr="00930FF2" w:rsidRDefault="00125BCC" w:rsidP="00787406">
      <w:pPr>
        <w:ind w:left="0" w:firstLine="0"/>
        <w:contextualSpacing/>
        <w:rPr>
          <w:bCs/>
        </w:rPr>
      </w:pPr>
      <w:r w:rsidRPr="00930FF2">
        <w:rPr>
          <w:bCs/>
        </w:rPr>
        <w:t xml:space="preserve">Društva koja nisu u stečaju ali su u teškom finansijskom položaju ili nisu korporatizovana, u kojima Fond ima udio u kapitalu - Dalje pogoršanje njihovog poslovanja može da ima značajan uticaj na procjenu imovine, finansijski položaj i gubitke Fonda. </w:t>
      </w:r>
    </w:p>
    <w:p w:rsidR="00395D0A" w:rsidRPr="00930FF2" w:rsidRDefault="00125BCC" w:rsidP="00787406">
      <w:pPr>
        <w:ind w:left="0" w:firstLine="0"/>
        <w:contextualSpacing/>
        <w:rPr>
          <w:bCs/>
        </w:rPr>
      </w:pPr>
      <w:r w:rsidRPr="00930FF2">
        <w:rPr>
          <w:bCs/>
        </w:rPr>
        <w:t>Takođe, značajan uticaj na Fond ima i poslovanje Društava koja imaju značajan procenat u vrijednosti imovine Fonda.</w:t>
      </w: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4"/>
        <w:gridCol w:w="1530"/>
        <w:gridCol w:w="1609"/>
        <w:gridCol w:w="1609"/>
        <w:gridCol w:w="1609"/>
      </w:tblGrid>
      <w:tr w:rsidR="00125BCC" w:rsidRPr="00930FF2" w:rsidTr="00125BCC">
        <w:tc>
          <w:tcPr>
            <w:tcW w:w="3454"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Naziv emitenta</w:t>
            </w:r>
          </w:p>
        </w:tc>
        <w:tc>
          <w:tcPr>
            <w:tcW w:w="1530"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Oznaka HOV</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Broj akcija INVP 31.03.2016. godine</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Vrijednost akcija na dan 31.03.2016. godine</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 učešće u vrijednosti imovine fonda</w:t>
            </w:r>
          </w:p>
        </w:tc>
      </w:tr>
      <w:tr w:rsidR="00125BCC" w:rsidRPr="00930FF2" w:rsidTr="00125BCC">
        <w:trPr>
          <w:trHeight w:val="395"/>
        </w:trPr>
        <w:tc>
          <w:tcPr>
            <w:tcW w:w="3454" w:type="dxa"/>
          </w:tcPr>
          <w:p w:rsidR="00125BCC" w:rsidRPr="00930FF2" w:rsidRDefault="00125BCC" w:rsidP="00787406">
            <w:pPr>
              <w:tabs>
                <w:tab w:val="center" w:pos="4320"/>
                <w:tab w:val="right" w:pos="8640"/>
              </w:tabs>
              <w:ind w:left="0" w:firstLine="0"/>
              <w:contextualSpacing/>
              <w:jc w:val="left"/>
              <w:rPr>
                <w:sz w:val="22"/>
                <w:szCs w:val="22"/>
              </w:rPr>
            </w:pPr>
            <w:r w:rsidRPr="00930FF2">
              <w:rPr>
                <w:sz w:val="22"/>
                <w:szCs w:val="22"/>
              </w:rPr>
              <w:t>HE na Drini a.d. Višegrad</w:t>
            </w:r>
          </w:p>
        </w:tc>
        <w:tc>
          <w:tcPr>
            <w:tcW w:w="1530"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HEDR-R-A</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8.775.555</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2.281.644,30</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8,861247</w:t>
            </w:r>
          </w:p>
        </w:tc>
      </w:tr>
      <w:tr w:rsidR="00125BCC" w:rsidRPr="00930FF2" w:rsidTr="00125BCC">
        <w:trPr>
          <w:trHeight w:val="395"/>
        </w:trPr>
        <w:tc>
          <w:tcPr>
            <w:tcW w:w="3454" w:type="dxa"/>
          </w:tcPr>
          <w:p w:rsidR="00125BCC" w:rsidRPr="00930FF2" w:rsidRDefault="00125BCC" w:rsidP="00787406">
            <w:pPr>
              <w:tabs>
                <w:tab w:val="center" w:pos="4320"/>
                <w:tab w:val="right" w:pos="8640"/>
              </w:tabs>
              <w:ind w:left="0" w:firstLine="0"/>
              <w:contextualSpacing/>
              <w:jc w:val="left"/>
              <w:rPr>
                <w:sz w:val="22"/>
                <w:szCs w:val="22"/>
              </w:rPr>
            </w:pPr>
            <w:r w:rsidRPr="00930FF2">
              <w:rPr>
                <w:sz w:val="22"/>
                <w:szCs w:val="22"/>
              </w:rPr>
              <w:t>HE na Trebišnjici a.d. Trebinje</w:t>
            </w:r>
          </w:p>
        </w:tc>
        <w:tc>
          <w:tcPr>
            <w:tcW w:w="1530"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HETR-R-A</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7.462.713</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1.798.513,83</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6,984908</w:t>
            </w:r>
          </w:p>
        </w:tc>
      </w:tr>
      <w:tr w:rsidR="00125BCC" w:rsidRPr="00930FF2" w:rsidTr="00125BCC">
        <w:trPr>
          <w:trHeight w:val="395"/>
        </w:trPr>
        <w:tc>
          <w:tcPr>
            <w:tcW w:w="3454" w:type="dxa"/>
          </w:tcPr>
          <w:p w:rsidR="00125BCC" w:rsidRPr="00930FF2" w:rsidRDefault="00125BCC" w:rsidP="00787406">
            <w:pPr>
              <w:tabs>
                <w:tab w:val="center" w:pos="4320"/>
                <w:tab w:val="right" w:pos="8640"/>
              </w:tabs>
              <w:ind w:left="0" w:firstLine="0"/>
              <w:contextualSpacing/>
              <w:jc w:val="left"/>
              <w:rPr>
                <w:sz w:val="22"/>
                <w:szCs w:val="22"/>
              </w:rPr>
            </w:pPr>
            <w:r w:rsidRPr="00930FF2">
              <w:rPr>
                <w:sz w:val="22"/>
                <w:szCs w:val="22"/>
              </w:rPr>
              <w:t>Jelšingrad Livar Livnica Čelika a.d. Banja Luka</w:t>
            </w:r>
          </w:p>
        </w:tc>
        <w:tc>
          <w:tcPr>
            <w:tcW w:w="1530"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JLLC-R-A</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3.704.412</w:t>
            </w:r>
          </w:p>
        </w:tc>
        <w:tc>
          <w:tcPr>
            <w:tcW w:w="1609" w:type="dxa"/>
          </w:tcPr>
          <w:p w:rsidR="00125BCC" w:rsidRPr="00930FF2" w:rsidRDefault="00125BCC" w:rsidP="00787406">
            <w:pPr>
              <w:tabs>
                <w:tab w:val="center" w:pos="4320"/>
                <w:tab w:val="right" w:pos="8640"/>
              </w:tabs>
              <w:ind w:left="0" w:firstLine="0"/>
              <w:contextualSpacing/>
              <w:jc w:val="center"/>
              <w:rPr>
                <w:sz w:val="22"/>
                <w:szCs w:val="22"/>
              </w:rPr>
            </w:pPr>
            <w:r w:rsidRPr="00930FF2">
              <w:rPr>
                <w:sz w:val="22"/>
                <w:szCs w:val="22"/>
              </w:rPr>
              <w:t>1.573.634,21</w:t>
            </w:r>
          </w:p>
        </w:tc>
        <w:tc>
          <w:tcPr>
            <w:tcW w:w="1609" w:type="dxa"/>
          </w:tcPr>
          <w:p w:rsidR="00125BCC" w:rsidRPr="00930FF2" w:rsidRDefault="00125BCC" w:rsidP="00787406">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6,111541</w:t>
            </w:r>
          </w:p>
        </w:tc>
      </w:tr>
      <w:tr w:rsidR="00125BCC" w:rsidRPr="00930FF2" w:rsidTr="00125BCC">
        <w:tc>
          <w:tcPr>
            <w:tcW w:w="3454" w:type="dxa"/>
          </w:tcPr>
          <w:p w:rsidR="00125BCC" w:rsidRPr="00930FF2" w:rsidRDefault="00125BCC" w:rsidP="00125BCC">
            <w:pPr>
              <w:tabs>
                <w:tab w:val="center" w:pos="4320"/>
                <w:tab w:val="right" w:pos="8640"/>
              </w:tabs>
              <w:ind w:left="0" w:firstLine="0"/>
              <w:contextualSpacing/>
              <w:jc w:val="left"/>
              <w:rPr>
                <w:sz w:val="22"/>
                <w:szCs w:val="22"/>
              </w:rPr>
            </w:pPr>
            <w:r w:rsidRPr="00930FF2">
              <w:rPr>
                <w:sz w:val="22"/>
                <w:szCs w:val="22"/>
              </w:rPr>
              <w:t>Telekom Srpske a.d. Banja Luka</w:t>
            </w:r>
          </w:p>
        </w:tc>
        <w:tc>
          <w:tcPr>
            <w:tcW w:w="1530" w:type="dxa"/>
          </w:tcPr>
          <w:p w:rsidR="00125BCC" w:rsidRPr="00930FF2" w:rsidRDefault="00125BCC" w:rsidP="00125BCC">
            <w:pPr>
              <w:tabs>
                <w:tab w:val="center" w:pos="4320"/>
                <w:tab w:val="right" w:pos="8640"/>
              </w:tabs>
              <w:autoSpaceDE w:val="0"/>
              <w:autoSpaceDN w:val="0"/>
              <w:adjustRightInd w:val="0"/>
              <w:ind w:left="0" w:firstLine="0"/>
              <w:contextualSpacing/>
              <w:jc w:val="center"/>
              <w:rPr>
                <w:sz w:val="22"/>
                <w:szCs w:val="22"/>
              </w:rPr>
            </w:pPr>
            <w:r w:rsidRPr="00930FF2">
              <w:rPr>
                <w:sz w:val="22"/>
                <w:szCs w:val="22"/>
              </w:rPr>
              <w:t>TLKM-R-A</w:t>
            </w:r>
          </w:p>
        </w:tc>
        <w:tc>
          <w:tcPr>
            <w:tcW w:w="1609" w:type="dxa"/>
          </w:tcPr>
          <w:p w:rsidR="00125BCC" w:rsidRPr="00930FF2" w:rsidRDefault="00125BCC" w:rsidP="00125BCC">
            <w:pPr>
              <w:tabs>
                <w:tab w:val="center" w:pos="4320"/>
                <w:tab w:val="right" w:pos="8640"/>
              </w:tabs>
              <w:ind w:left="0" w:firstLine="0"/>
              <w:contextualSpacing/>
              <w:jc w:val="center"/>
              <w:rPr>
                <w:sz w:val="22"/>
                <w:szCs w:val="22"/>
              </w:rPr>
            </w:pPr>
            <w:r w:rsidRPr="00930FF2">
              <w:rPr>
                <w:sz w:val="22"/>
                <w:szCs w:val="22"/>
              </w:rPr>
              <w:t>3230958</w:t>
            </w:r>
          </w:p>
        </w:tc>
        <w:tc>
          <w:tcPr>
            <w:tcW w:w="1609" w:type="dxa"/>
          </w:tcPr>
          <w:p w:rsidR="00125BCC" w:rsidRPr="00930FF2" w:rsidRDefault="00125BCC" w:rsidP="00125BCC">
            <w:pPr>
              <w:tabs>
                <w:tab w:val="center" w:pos="4320"/>
                <w:tab w:val="right" w:pos="8640"/>
              </w:tabs>
              <w:ind w:left="0" w:firstLine="0"/>
              <w:contextualSpacing/>
              <w:jc w:val="center"/>
              <w:rPr>
                <w:sz w:val="22"/>
                <w:szCs w:val="22"/>
              </w:rPr>
            </w:pPr>
            <w:r w:rsidRPr="00930FF2">
              <w:rPr>
                <w:sz w:val="22"/>
                <w:szCs w:val="22"/>
              </w:rPr>
              <w:t>4.814.127,42</w:t>
            </w:r>
          </w:p>
        </w:tc>
        <w:tc>
          <w:tcPr>
            <w:tcW w:w="1609" w:type="dxa"/>
          </w:tcPr>
          <w:p w:rsidR="00125BCC" w:rsidRPr="00930FF2" w:rsidRDefault="00125BCC" w:rsidP="00125BCC">
            <w:pPr>
              <w:tabs>
                <w:tab w:val="center" w:pos="4320"/>
                <w:tab w:val="right" w:pos="8640"/>
              </w:tabs>
              <w:ind w:left="0" w:firstLine="0"/>
              <w:contextualSpacing/>
              <w:jc w:val="center"/>
              <w:rPr>
                <w:sz w:val="22"/>
                <w:szCs w:val="22"/>
              </w:rPr>
            </w:pPr>
            <w:r w:rsidRPr="00930FF2">
              <w:rPr>
                <w:sz w:val="22"/>
                <w:szCs w:val="22"/>
              </w:rPr>
              <w:t>18,696679</w:t>
            </w:r>
          </w:p>
        </w:tc>
      </w:tr>
    </w:tbl>
    <w:p w:rsidR="00125BCC" w:rsidRPr="00930FF2" w:rsidRDefault="00125BCC" w:rsidP="00125BCC">
      <w:pPr>
        <w:autoSpaceDE w:val="0"/>
        <w:autoSpaceDN w:val="0"/>
        <w:adjustRightInd w:val="0"/>
        <w:ind w:left="0" w:firstLine="0"/>
        <w:contextualSpacing/>
        <w:jc w:val="left"/>
        <w:rPr>
          <w:color w:val="FF0000"/>
        </w:rPr>
      </w:pPr>
    </w:p>
    <w:p w:rsidR="00125BCC" w:rsidRPr="00930FF2" w:rsidRDefault="00125BCC" w:rsidP="00125BCC">
      <w:pPr>
        <w:ind w:left="0" w:firstLine="0"/>
        <w:contextualSpacing/>
        <w:jc w:val="left"/>
        <w:rPr>
          <w:bCs/>
          <w:sz w:val="22"/>
          <w:szCs w:val="22"/>
        </w:rPr>
      </w:pPr>
      <w:r w:rsidRPr="00930FF2">
        <w:rPr>
          <w:bCs/>
          <w:sz w:val="22"/>
          <w:szCs w:val="22"/>
        </w:rPr>
        <w:t>Struktura ulaganja Fonda po vrstama imovine na dan 31.03.2016. godine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182"/>
        <w:gridCol w:w="2218"/>
        <w:gridCol w:w="2070"/>
      </w:tblGrid>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red</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opis</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 xml:space="preserve">Ukupna vrijednost na dan izvještavanja </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Učešće u vrijednosti imovine fonda (%)</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1</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akcije</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19.609.804,56</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76,1588</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2</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obveznice</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4.569.012,30</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17,7447</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3</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ostale hartije od vrijednosti</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920.575,90</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3,5753</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4</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depoziti i plasmani</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0,00</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0,00</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5</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gotovina i gotovinski ekvivalenti</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633.699,74</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2,4611</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6</w:t>
            </w: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nekretnine</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0,00</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0,00</w:t>
            </w:r>
          </w:p>
        </w:tc>
      </w:tr>
      <w:tr w:rsidR="00125BCC" w:rsidRPr="00930FF2" w:rsidTr="00125BCC">
        <w:tc>
          <w:tcPr>
            <w:tcW w:w="64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p>
        </w:tc>
        <w:tc>
          <w:tcPr>
            <w:tcW w:w="3182"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ukupno</w:t>
            </w:r>
          </w:p>
        </w:tc>
        <w:tc>
          <w:tcPr>
            <w:tcW w:w="2218"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25.733.092,50</w:t>
            </w:r>
          </w:p>
        </w:tc>
        <w:tc>
          <w:tcPr>
            <w:tcW w:w="2070" w:type="dxa"/>
          </w:tcPr>
          <w:p w:rsidR="00125BCC" w:rsidRPr="00930FF2" w:rsidRDefault="00125BCC" w:rsidP="00125BCC">
            <w:pPr>
              <w:tabs>
                <w:tab w:val="center" w:pos="4320"/>
                <w:tab w:val="right" w:pos="8640"/>
              </w:tabs>
              <w:autoSpaceDE w:val="0"/>
              <w:autoSpaceDN w:val="0"/>
              <w:adjustRightInd w:val="0"/>
              <w:ind w:left="0" w:firstLine="0"/>
              <w:contextualSpacing/>
              <w:jc w:val="left"/>
              <w:rPr>
                <w:sz w:val="22"/>
                <w:szCs w:val="22"/>
              </w:rPr>
            </w:pPr>
            <w:r w:rsidRPr="00930FF2">
              <w:rPr>
                <w:sz w:val="22"/>
                <w:szCs w:val="22"/>
              </w:rPr>
              <w:t>99,9399</w:t>
            </w:r>
          </w:p>
        </w:tc>
      </w:tr>
    </w:tbl>
    <w:p w:rsidR="00B5457E" w:rsidRPr="00930FF2" w:rsidRDefault="00B5457E" w:rsidP="00125BCC">
      <w:pPr>
        <w:autoSpaceDE w:val="0"/>
        <w:autoSpaceDN w:val="0"/>
        <w:adjustRightInd w:val="0"/>
        <w:ind w:left="0" w:firstLine="0"/>
        <w:contextualSpacing/>
        <w:jc w:val="left"/>
        <w:rPr>
          <w:color w:val="FF0000"/>
        </w:rPr>
      </w:pPr>
    </w:p>
    <w:p w:rsidR="00395D0A" w:rsidRPr="00930FF2" w:rsidRDefault="00395D0A" w:rsidP="00F553CF">
      <w:pPr>
        <w:pStyle w:val="ListParagraph"/>
        <w:numPr>
          <w:ilvl w:val="0"/>
          <w:numId w:val="10"/>
        </w:numPr>
        <w:jc w:val="left"/>
        <w:rPr>
          <w:b/>
          <w:bCs/>
        </w:rPr>
      </w:pPr>
      <w:r w:rsidRPr="00930FF2">
        <w:rPr>
          <w:b/>
          <w:bCs/>
        </w:rPr>
        <w:t>CILJEVI I POLITIKA ULAGANJA</w:t>
      </w:r>
    </w:p>
    <w:p w:rsidR="00E14E05" w:rsidRPr="00930FF2" w:rsidRDefault="00395D0A" w:rsidP="00E14E05">
      <w:pPr>
        <w:pStyle w:val="ListParagraph"/>
        <w:ind w:firstLine="0"/>
        <w:rPr>
          <w:lang w:val="sr-Latn-BA"/>
        </w:rPr>
      </w:pPr>
      <w:r w:rsidRPr="00930FF2">
        <w:rPr>
          <w:lang w:val="sr-Latn-BA"/>
        </w:rPr>
        <w:t>(DETALJAN OPIS POLITIKE ULAGANJA, NAJVEĆI I NAJMANJI DIO SREDSTAVA INVESTICIONOG FONDA KOJI SE MOŽE ULAGATI U POJEDINE OBLIKE IMOVINE, NAJVEĆI DIO SREDSTAVA KOJI SE MOŽE DRŽATI NA NOVČANOM RAČUNU INVESTICIONOG FONDA I NAČIN IZMJENE INVESTICIONE POLITIKE)</w:t>
      </w:r>
    </w:p>
    <w:p w:rsidR="004C4367" w:rsidRPr="00930FF2" w:rsidRDefault="004C4367" w:rsidP="004C4367">
      <w:pPr>
        <w:pStyle w:val="BodyText"/>
        <w:contextualSpacing/>
      </w:pPr>
      <w:r w:rsidRPr="00930FF2">
        <w:t>Investicioni cilj Fonda je ostvarivanje stabilnih prinosa na duži rok, putem ulaganja imovine Fonda u: akcije, obveznice i druge dužničke hartije od vrijednosti, instrumente tržišta novca i novčane depozite, tako da se poštuju načela sigurnosti i profitabilnosti, radi uspostavljanja optimalne strukture imovine Fonda primjenjujući prilikom ulaganja umjereni rizik.</w:t>
      </w:r>
    </w:p>
    <w:p w:rsidR="004C4367" w:rsidRPr="00930FF2" w:rsidRDefault="004C4367" w:rsidP="004C4367">
      <w:pPr>
        <w:pStyle w:val="BodyText"/>
        <w:contextualSpacing/>
      </w:pPr>
      <w:r w:rsidRPr="00930FF2">
        <w:t>Investicioni cilj Fonda je zadržavanje zadovoljavajućeg nivoa likvidnosti hartija od vrijednosti iz portfelja Fonda, radi redovnog ispunjavanja tekućih i planiranih budućih obaveza, imajući u vidu predstojeću transformaciju zatvorenog investicionog fonda u otvoreni investicioni fond, u s</w:t>
      </w:r>
      <w:r w:rsidR="007B6900" w:rsidRPr="00930FF2">
        <w:t xml:space="preserve">kladu sa Zakonom o izmjenama i </w:t>
      </w:r>
      <w:r w:rsidRPr="00930FF2">
        <w:t>dopunama zakona o investicionim fondovima.</w:t>
      </w:r>
    </w:p>
    <w:p w:rsidR="004C4367" w:rsidRPr="00930FF2" w:rsidRDefault="004C4367" w:rsidP="004C4367">
      <w:pPr>
        <w:pStyle w:val="BodyText"/>
        <w:contextualSpacing/>
      </w:pPr>
      <w:r w:rsidRPr="00930FF2">
        <w:t xml:space="preserve">U otvoreni investicioni Fond će se prenijeti likvidnije hartije od vrijednosti iz imovine sadašnjeg Fonda, kako bi se mogle izvršiti potencijalne obaveze po osnovu isplata vlasnika udjela u kratkim rokovima. </w:t>
      </w:r>
    </w:p>
    <w:p w:rsidR="004C4367" w:rsidRPr="00930FF2" w:rsidRDefault="004C4367" w:rsidP="004C4367">
      <w:pPr>
        <w:pStyle w:val="BodyText"/>
        <w:contextualSpacing/>
      </w:pPr>
      <w:r w:rsidRPr="00930FF2">
        <w:lastRenderedPageBreak/>
        <w:t>Investiciona politika Fonda se sprovodi ulaganjem finansijskih sredstava Fonda u skladu sa utvrđenom poslovnom politikom.</w:t>
      </w:r>
    </w:p>
    <w:p w:rsidR="004C4367" w:rsidRPr="00930FF2" w:rsidRDefault="004C4367" w:rsidP="004C4367">
      <w:pPr>
        <w:pStyle w:val="BodyText"/>
        <w:contextualSpacing/>
      </w:pPr>
      <w:r w:rsidRPr="00930FF2">
        <w:t>Imovina Fonda se može sastojati isključivo od:</w:t>
      </w:r>
    </w:p>
    <w:p w:rsidR="004C4367" w:rsidRPr="00930FF2" w:rsidRDefault="004C4367" w:rsidP="00F553CF">
      <w:pPr>
        <w:pStyle w:val="BodyText"/>
        <w:numPr>
          <w:ilvl w:val="0"/>
          <w:numId w:val="11"/>
        </w:numPr>
        <w:contextualSpacing/>
      </w:pPr>
      <w:r w:rsidRPr="00930FF2">
        <w:t>Hartija od vrijednosti, ili instrumenata tržišta novca, kojima se trguje na uređenim tržištima: Republike Srpske, Federacije BiH i država članica EU, OECD i CEFTA,</w:t>
      </w:r>
    </w:p>
    <w:p w:rsidR="004C4367" w:rsidRPr="00930FF2" w:rsidRDefault="004C4367" w:rsidP="00F553CF">
      <w:pPr>
        <w:pStyle w:val="BodyText"/>
        <w:numPr>
          <w:ilvl w:val="0"/>
          <w:numId w:val="11"/>
        </w:numPr>
        <w:contextualSpacing/>
      </w:pPr>
      <w:r w:rsidRPr="00930FF2">
        <w:t>Hartija od vrijednosti, kojima se trguje na berzama ili na drugim uređenim organizovanim  tržištima u: Srbiji, Crnoj Gori, Hrvatskoj i Makedoniji, najviše do 10,00% imovine Fonda,</w:t>
      </w:r>
    </w:p>
    <w:p w:rsidR="004C4367" w:rsidRPr="00930FF2" w:rsidRDefault="004C4367" w:rsidP="00F553CF">
      <w:pPr>
        <w:pStyle w:val="BodyText"/>
        <w:numPr>
          <w:ilvl w:val="0"/>
          <w:numId w:val="11"/>
        </w:numPr>
        <w:contextualSpacing/>
      </w:pPr>
      <w:r w:rsidRPr="00930FF2">
        <w:t>Dužničkih hartija od vrijednosti, koje emituju Republika Srpska, Federacija BiH i jedinice lokalne uprave u Republici Srpskoj,</w:t>
      </w:r>
    </w:p>
    <w:p w:rsidR="004C4367" w:rsidRPr="00930FF2" w:rsidRDefault="004C4367" w:rsidP="00F553CF">
      <w:pPr>
        <w:pStyle w:val="BodyText"/>
        <w:numPr>
          <w:ilvl w:val="0"/>
          <w:numId w:val="11"/>
        </w:numPr>
        <w:contextualSpacing/>
      </w:pPr>
      <w:r w:rsidRPr="00930FF2">
        <w:t>Državnih i municipalnih hartija od vrijednosti, emitovanih u državama članicama EU, OECD i CEFTA,</w:t>
      </w:r>
    </w:p>
    <w:p w:rsidR="004C4367" w:rsidRPr="00930FF2" w:rsidRDefault="004C4367" w:rsidP="00F553CF">
      <w:pPr>
        <w:pStyle w:val="BodyText"/>
        <w:numPr>
          <w:ilvl w:val="0"/>
          <w:numId w:val="11"/>
        </w:numPr>
        <w:contextualSpacing/>
      </w:pPr>
      <w:r w:rsidRPr="00930FF2">
        <w:t>Dužničkih hartija od vrijednosti, koje izdaju pravna lica sa sjedištem u Republici Srpskoj i u Federaciji BiH, najviše do 10,00% imovine Fonda,</w:t>
      </w:r>
    </w:p>
    <w:p w:rsidR="004C4367" w:rsidRPr="00930FF2" w:rsidRDefault="004C4367" w:rsidP="00F553CF">
      <w:pPr>
        <w:pStyle w:val="BodyText"/>
        <w:numPr>
          <w:ilvl w:val="0"/>
          <w:numId w:val="11"/>
        </w:numPr>
        <w:contextualSpacing/>
      </w:pPr>
      <w:r w:rsidRPr="00930FF2">
        <w:t>Udjela ili akcija investicionih fondova, kojima se trguje na berzama, ili na drugim uređenim - organizovanim tržištima u: Republici Srpskoj i Federaciji BiH, država članica EU, OECD, CEFTA, Srbiji, Crnoj Gori, Hrvatskoj i Makedoniji,</w:t>
      </w:r>
    </w:p>
    <w:p w:rsidR="004C4367" w:rsidRPr="00930FF2" w:rsidRDefault="004C4367" w:rsidP="00F553CF">
      <w:pPr>
        <w:pStyle w:val="BodyText"/>
        <w:numPr>
          <w:ilvl w:val="0"/>
          <w:numId w:val="11"/>
        </w:numPr>
        <w:contextualSpacing/>
      </w:pPr>
      <w:r w:rsidRPr="00930FF2">
        <w:t>Depozita i plasmana u poslovnim bankama, sa sjedištem u Republici Srpskoj i u Federaciji BiH, koji se u svakom trenutku mogu razročiti, i</w:t>
      </w:r>
    </w:p>
    <w:p w:rsidR="004C4367" w:rsidRPr="00930FF2" w:rsidRDefault="004C4367" w:rsidP="00F553CF">
      <w:pPr>
        <w:pStyle w:val="BodyText"/>
        <w:numPr>
          <w:ilvl w:val="0"/>
          <w:numId w:val="11"/>
        </w:numPr>
        <w:contextualSpacing/>
      </w:pPr>
      <w:r w:rsidRPr="00930FF2">
        <w:t>Gotovine i gotovinskih ekvivalenata.</w:t>
      </w:r>
    </w:p>
    <w:p w:rsidR="004C4367" w:rsidRPr="00930FF2" w:rsidRDefault="004C4367" w:rsidP="004C4367">
      <w:pPr>
        <w:pStyle w:val="BodyText"/>
        <w:contextualSpacing/>
      </w:pPr>
      <w:r w:rsidRPr="00930FF2">
        <w:t>Imovina Fonda će se ulagati radi ostvarivanja utvrđenih investicionih ciljeva, u skladu sa Zakonom o investicionim fondovima i ostalim propisima i odlukama nadzornog  i drugih organa.</w:t>
      </w:r>
    </w:p>
    <w:p w:rsidR="004C4367" w:rsidRPr="00930FF2" w:rsidRDefault="004C4367" w:rsidP="004C4367">
      <w:pPr>
        <w:pStyle w:val="BodyText"/>
        <w:contextualSpacing/>
      </w:pPr>
      <w:r w:rsidRPr="00930FF2">
        <w:t>Imovina Fonda se može ulagati tako da se obezbijedi struktur</w:t>
      </w:r>
      <w:r w:rsidR="00086988" w:rsidRPr="00930FF2">
        <w:rPr>
          <w:lang w:val="sr-Latn-BA"/>
        </w:rPr>
        <w:t>a</w:t>
      </w:r>
      <w:r w:rsidRPr="00930FF2">
        <w:t xml:space="preserve"> ulaganja Fonda, koja je karakteristična za mješoviti Fond.</w:t>
      </w:r>
    </w:p>
    <w:p w:rsidR="004C4367" w:rsidRPr="00930FF2" w:rsidRDefault="004C4367" w:rsidP="00F553CF">
      <w:pPr>
        <w:pStyle w:val="BodyText"/>
        <w:numPr>
          <w:ilvl w:val="0"/>
          <w:numId w:val="12"/>
        </w:numPr>
        <w:contextualSpacing/>
      </w:pPr>
      <w:r w:rsidRPr="00930FF2">
        <w:t>Ciljna struktura imovine ili portfelja Fonda, koja se želi postići u momentu preoblikovanja (ili izdvajanja dijela imovine) u otvoreni Fond je:</w:t>
      </w:r>
    </w:p>
    <w:p w:rsidR="004C4367" w:rsidRPr="00930FF2" w:rsidRDefault="00086988" w:rsidP="00F553CF">
      <w:pPr>
        <w:pStyle w:val="BodyText"/>
        <w:numPr>
          <w:ilvl w:val="0"/>
          <w:numId w:val="9"/>
        </w:numPr>
        <w:contextualSpacing/>
      </w:pPr>
      <w:r w:rsidRPr="00930FF2">
        <w:t>akcije do 66,00</w:t>
      </w:r>
      <w:r w:rsidR="004C4367" w:rsidRPr="00930FF2">
        <w:t>% imovine Fonda,</w:t>
      </w:r>
    </w:p>
    <w:p w:rsidR="004C4367" w:rsidRPr="00930FF2" w:rsidRDefault="004C4367" w:rsidP="00F553CF">
      <w:pPr>
        <w:pStyle w:val="BodyText"/>
        <w:numPr>
          <w:ilvl w:val="0"/>
          <w:numId w:val="9"/>
        </w:numPr>
        <w:contextualSpacing/>
      </w:pPr>
      <w:r w:rsidRPr="00930FF2">
        <w:t xml:space="preserve">obveznice, trezorski zapisi i druge dužničke </w:t>
      </w:r>
      <w:r w:rsidR="00086988" w:rsidRPr="00930FF2">
        <w:t>hartije od vrijednosti do 22,00</w:t>
      </w:r>
      <w:r w:rsidRPr="00930FF2">
        <w:t xml:space="preserve">% imovine Fonda, </w:t>
      </w:r>
    </w:p>
    <w:p w:rsidR="004C4367" w:rsidRPr="00930FF2" w:rsidRDefault="004C4367" w:rsidP="00F553CF">
      <w:pPr>
        <w:pStyle w:val="BodyText"/>
        <w:numPr>
          <w:ilvl w:val="0"/>
          <w:numId w:val="9"/>
        </w:numPr>
        <w:contextualSpacing/>
      </w:pPr>
      <w:r w:rsidRPr="00930FF2">
        <w:t>depoziti i plas</w:t>
      </w:r>
      <w:r w:rsidR="00086988" w:rsidRPr="00930FF2">
        <w:t>mani do 10,00</w:t>
      </w:r>
      <w:r w:rsidRPr="00930FF2">
        <w:t>% imovine Fonda,</w:t>
      </w:r>
    </w:p>
    <w:p w:rsidR="004C4367" w:rsidRPr="00930FF2" w:rsidRDefault="004C4367" w:rsidP="00F553CF">
      <w:pPr>
        <w:pStyle w:val="BodyText"/>
        <w:numPr>
          <w:ilvl w:val="0"/>
          <w:numId w:val="9"/>
        </w:numPr>
        <w:contextualSpacing/>
      </w:pPr>
      <w:r w:rsidRPr="00930FF2">
        <w:t>gotovina i</w:t>
      </w:r>
      <w:r w:rsidR="00086988" w:rsidRPr="00930FF2">
        <w:t xml:space="preserve"> gotovinski ekvivalenti do 1,00</w:t>
      </w:r>
      <w:r w:rsidRPr="00930FF2">
        <w:t>% imovine Fonda i</w:t>
      </w:r>
    </w:p>
    <w:p w:rsidR="004C4367" w:rsidRPr="00930FF2" w:rsidRDefault="00086988" w:rsidP="00F553CF">
      <w:pPr>
        <w:pStyle w:val="BodyText"/>
        <w:numPr>
          <w:ilvl w:val="0"/>
          <w:numId w:val="9"/>
        </w:numPr>
        <w:contextualSpacing/>
      </w:pPr>
      <w:r w:rsidRPr="00930FF2">
        <w:t>potraživanja do 1,00</w:t>
      </w:r>
      <w:r w:rsidR="004C4367" w:rsidRPr="00930FF2">
        <w:t xml:space="preserve">% imovine Fonda. </w:t>
      </w:r>
    </w:p>
    <w:p w:rsidR="004C4367" w:rsidRPr="00930FF2" w:rsidRDefault="00086988" w:rsidP="004C4367">
      <w:pPr>
        <w:pStyle w:val="BodyText"/>
        <w:ind w:left="720"/>
        <w:contextualSpacing/>
      </w:pPr>
      <w:r w:rsidRPr="00930FF2">
        <w:t>UKUPNO: 100,00</w:t>
      </w:r>
      <w:r w:rsidR="004C4367" w:rsidRPr="00930FF2">
        <w:t>%</w:t>
      </w:r>
    </w:p>
    <w:p w:rsidR="004C4367" w:rsidRPr="00930FF2" w:rsidRDefault="004C4367" w:rsidP="004C4367">
      <w:pPr>
        <w:pStyle w:val="BodyText"/>
        <w:contextualSpacing/>
      </w:pPr>
      <w:r w:rsidRPr="00930FF2">
        <w:t>Zacrtani investicioni ciljevi Fonda će se osvarivati putem:</w:t>
      </w:r>
    </w:p>
    <w:p w:rsidR="004C4367" w:rsidRPr="00930FF2" w:rsidRDefault="004C4367" w:rsidP="00F553CF">
      <w:pPr>
        <w:pStyle w:val="BodyText"/>
        <w:numPr>
          <w:ilvl w:val="0"/>
          <w:numId w:val="13"/>
        </w:numPr>
        <w:contextualSpacing/>
      </w:pPr>
      <w:r w:rsidRPr="00930FF2">
        <w:t>Prodaje hartija od vrijednosti iz portfelja Fonda, i to:</w:t>
      </w:r>
    </w:p>
    <w:p w:rsidR="004C4367" w:rsidRPr="00930FF2" w:rsidRDefault="004C4367" w:rsidP="00F553CF">
      <w:pPr>
        <w:pStyle w:val="ListParagraph"/>
        <w:numPr>
          <w:ilvl w:val="0"/>
          <w:numId w:val="9"/>
        </w:numPr>
        <w:autoSpaceDE w:val="0"/>
        <w:autoSpaceDN w:val="0"/>
        <w:adjustRightInd w:val="0"/>
        <w:rPr>
          <w:color w:val="000000"/>
        </w:rPr>
      </w:pPr>
      <w:r w:rsidRPr="00930FF2">
        <w:rPr>
          <w:color w:val="000000"/>
        </w:rPr>
        <w:t>Prodaje u cilju usaglašavanja portfelja u skladu sa Zakonom o investicionim fondovima,</w:t>
      </w:r>
    </w:p>
    <w:p w:rsidR="004C4367" w:rsidRPr="00930FF2" w:rsidRDefault="004C4367" w:rsidP="00F553CF">
      <w:pPr>
        <w:pStyle w:val="ListParagraph"/>
        <w:numPr>
          <w:ilvl w:val="0"/>
          <w:numId w:val="9"/>
        </w:numPr>
        <w:autoSpaceDE w:val="0"/>
        <w:autoSpaceDN w:val="0"/>
        <w:adjustRightInd w:val="0"/>
        <w:rPr>
          <w:color w:val="000000"/>
        </w:rPr>
      </w:pPr>
      <w:r w:rsidRPr="00930FF2">
        <w:rPr>
          <w:color w:val="000000"/>
        </w:rPr>
        <w:t>Prodaje akcija emitenata iz portfelja Fonda sa lošim poslovnim i finansijskim rezultatima, i</w:t>
      </w:r>
    </w:p>
    <w:p w:rsidR="004C4367" w:rsidRPr="00930FF2" w:rsidRDefault="004C4367" w:rsidP="00F553CF">
      <w:pPr>
        <w:pStyle w:val="ListParagraph"/>
        <w:numPr>
          <w:ilvl w:val="0"/>
          <w:numId w:val="9"/>
        </w:numPr>
        <w:autoSpaceDE w:val="0"/>
        <w:autoSpaceDN w:val="0"/>
        <w:adjustRightInd w:val="0"/>
        <w:rPr>
          <w:color w:val="000000"/>
        </w:rPr>
      </w:pPr>
      <w:r w:rsidRPr="00930FF2">
        <w:rPr>
          <w:color w:val="000000"/>
        </w:rPr>
        <w:t xml:space="preserve">Prodaje hartija od vrijednosti koje su u sklopu redovnih aktivnosti (realizacija kapitalne dobiti, neplanirane prodaje uzrokovane izrazito lošim informacijama vezanim za emitente iz portfelja i sl.) </w:t>
      </w:r>
    </w:p>
    <w:p w:rsidR="00086988" w:rsidRPr="00930FF2" w:rsidRDefault="004C4367" w:rsidP="00086988">
      <w:pPr>
        <w:autoSpaceDE w:val="0"/>
        <w:autoSpaceDN w:val="0"/>
        <w:adjustRightInd w:val="0"/>
        <w:rPr>
          <w:color w:val="000000"/>
        </w:rPr>
      </w:pPr>
      <w:r w:rsidRPr="00930FF2">
        <w:rPr>
          <w:color w:val="000000"/>
        </w:rPr>
        <w:t>Pod lošim poslovnim i finansijskim rezultatima podrazu</w:t>
      </w:r>
      <w:r w:rsidR="00086988" w:rsidRPr="00930FF2">
        <w:rPr>
          <w:color w:val="000000"/>
        </w:rPr>
        <w:t>mijeva se negativan finansijski</w:t>
      </w:r>
    </w:p>
    <w:p w:rsidR="00086988" w:rsidRPr="00930FF2" w:rsidRDefault="004C4367" w:rsidP="00086988">
      <w:pPr>
        <w:autoSpaceDE w:val="0"/>
        <w:autoSpaceDN w:val="0"/>
        <w:adjustRightInd w:val="0"/>
        <w:rPr>
          <w:color w:val="000000"/>
        </w:rPr>
      </w:pPr>
      <w:r w:rsidRPr="00930FF2">
        <w:rPr>
          <w:color w:val="000000"/>
        </w:rPr>
        <w:t>rezultat u posljednje dvije uzastopne poslovne godine, uz</w:t>
      </w:r>
      <w:r w:rsidR="00086988" w:rsidRPr="00930FF2">
        <w:rPr>
          <w:color w:val="000000"/>
        </w:rPr>
        <w:t>astopni pad poslovnih prihoda u</w:t>
      </w:r>
    </w:p>
    <w:p w:rsidR="00086988" w:rsidRPr="00930FF2" w:rsidRDefault="004C4367" w:rsidP="00086988">
      <w:pPr>
        <w:autoSpaceDE w:val="0"/>
        <w:autoSpaceDN w:val="0"/>
        <w:adjustRightInd w:val="0"/>
        <w:rPr>
          <w:color w:val="000000"/>
        </w:rPr>
      </w:pPr>
      <w:r w:rsidRPr="00930FF2">
        <w:rPr>
          <w:color w:val="000000"/>
        </w:rPr>
        <w:t>zadnje tri poslovne godine. Navedeni kriterij se ne odnosi na akcije emitenata ko</w:t>
      </w:r>
      <w:r w:rsidR="00086988" w:rsidRPr="00930FF2">
        <w:rPr>
          <w:color w:val="000000"/>
        </w:rPr>
        <w:t>ji se</w:t>
      </w:r>
    </w:p>
    <w:p w:rsidR="00086988" w:rsidRPr="00930FF2" w:rsidRDefault="004C4367" w:rsidP="00086988">
      <w:pPr>
        <w:autoSpaceDE w:val="0"/>
        <w:autoSpaceDN w:val="0"/>
        <w:adjustRightInd w:val="0"/>
        <w:rPr>
          <w:color w:val="000000"/>
        </w:rPr>
      </w:pPr>
      <w:r w:rsidRPr="00930FF2">
        <w:rPr>
          <w:color w:val="000000"/>
        </w:rPr>
        <w:t>smatraju emitentima od strateškog značaja u skladu sa pro</w:t>
      </w:r>
      <w:r w:rsidR="00086988" w:rsidRPr="00930FF2">
        <w:rPr>
          <w:color w:val="000000"/>
        </w:rPr>
        <w:t>pisima o privatizaciji državnog</w:t>
      </w:r>
    </w:p>
    <w:p w:rsidR="004C4367" w:rsidRPr="00930FF2" w:rsidRDefault="004C4367" w:rsidP="00086988">
      <w:pPr>
        <w:autoSpaceDE w:val="0"/>
        <w:autoSpaceDN w:val="0"/>
        <w:adjustRightInd w:val="0"/>
        <w:rPr>
          <w:color w:val="000000"/>
        </w:rPr>
      </w:pPr>
      <w:r w:rsidRPr="00930FF2">
        <w:rPr>
          <w:color w:val="000000"/>
        </w:rPr>
        <w:t xml:space="preserve">kapitala u preduzećima. </w:t>
      </w:r>
    </w:p>
    <w:p w:rsidR="004C4367" w:rsidRPr="00930FF2" w:rsidRDefault="004C4367" w:rsidP="00F553CF">
      <w:pPr>
        <w:pStyle w:val="BodyText"/>
        <w:numPr>
          <w:ilvl w:val="0"/>
          <w:numId w:val="13"/>
        </w:numPr>
        <w:contextualSpacing/>
      </w:pPr>
      <w:r w:rsidRPr="00930FF2">
        <w:lastRenderedPageBreak/>
        <w:t>Kupovinom hartija od vrijednosti za Fond, i to:</w:t>
      </w:r>
    </w:p>
    <w:p w:rsidR="004C4367" w:rsidRPr="00930FF2" w:rsidRDefault="004C4367" w:rsidP="00F553CF">
      <w:pPr>
        <w:pStyle w:val="ListParagraph"/>
        <w:numPr>
          <w:ilvl w:val="0"/>
          <w:numId w:val="20"/>
        </w:numPr>
      </w:pPr>
      <w:r w:rsidRPr="00930FF2">
        <w:t>Na domaćem tržištu kapitala će se najveći dio slobodnih novčanih sredstava ulagati u</w:t>
      </w:r>
    </w:p>
    <w:p w:rsidR="00086988" w:rsidRPr="00930FF2" w:rsidRDefault="004C4367" w:rsidP="00086988">
      <w:r w:rsidRPr="00930FF2">
        <w:t xml:space="preserve">kupovinu dužničkih instumenata (prvenstveno obveznica </w:t>
      </w:r>
      <w:r w:rsidR="00086988" w:rsidRPr="00930FF2">
        <w:t>koje emituje Republika Srpska),</w:t>
      </w:r>
    </w:p>
    <w:p w:rsidR="004C4367" w:rsidRPr="00930FF2" w:rsidRDefault="004C4367" w:rsidP="00086988">
      <w:r w:rsidRPr="00930FF2">
        <w:t xml:space="preserve">kao i kupovinu trezorskih zapisa. </w:t>
      </w:r>
    </w:p>
    <w:p w:rsidR="00086988" w:rsidRPr="00930FF2" w:rsidRDefault="004C4367" w:rsidP="00086988">
      <w:pPr>
        <w:contextualSpacing/>
      </w:pPr>
      <w:r w:rsidRPr="00930FF2">
        <w:t>Osnovni kriterij prilikom kupovine državnih obveznica je</w:t>
      </w:r>
      <w:r w:rsidR="00086988" w:rsidRPr="00930FF2">
        <w:t xml:space="preserve"> prinos do dospijeća koji treba</w:t>
      </w:r>
    </w:p>
    <w:p w:rsidR="00086988" w:rsidRPr="00930FF2" w:rsidRDefault="004C4367" w:rsidP="00086988">
      <w:pPr>
        <w:contextualSpacing/>
      </w:pPr>
      <w:r w:rsidRPr="00930FF2">
        <w:t>da bude jednak ili veći od prosječne kamatne stope</w:t>
      </w:r>
      <w:r w:rsidR="00086988" w:rsidRPr="00930FF2">
        <w:t xml:space="preserve"> koju Fond ostvaruje na oročene</w:t>
      </w:r>
    </w:p>
    <w:p w:rsidR="004C4367" w:rsidRPr="00930FF2" w:rsidRDefault="004C4367" w:rsidP="00086988">
      <w:pPr>
        <w:contextualSpacing/>
      </w:pPr>
      <w:r w:rsidRPr="00930FF2">
        <w:t xml:space="preserve">depozite kod poslovnih banaka. </w:t>
      </w:r>
    </w:p>
    <w:p w:rsidR="00086988" w:rsidRPr="00930FF2" w:rsidRDefault="004C4367" w:rsidP="00086988">
      <w:pPr>
        <w:contextualSpacing/>
      </w:pPr>
      <w:r w:rsidRPr="00930FF2">
        <w:t>Osnovni kriterij prilikom kupovine trezorskih zapisa</w:t>
      </w:r>
      <w:r w:rsidR="00086988" w:rsidRPr="00930FF2">
        <w:t xml:space="preserve"> je veći prinos od odgovarajuće</w:t>
      </w:r>
    </w:p>
    <w:p w:rsidR="004C4367" w:rsidRPr="00930FF2" w:rsidRDefault="004C4367" w:rsidP="00086988">
      <w:pPr>
        <w:contextualSpacing/>
      </w:pPr>
      <w:r w:rsidRPr="00930FF2">
        <w:t xml:space="preserve">kamatne stope banaka na tržištu Republike Srpske. </w:t>
      </w:r>
    </w:p>
    <w:p w:rsidR="00086988" w:rsidRPr="00930FF2" w:rsidRDefault="004C4367" w:rsidP="00086988">
      <w:pPr>
        <w:contextualSpacing/>
      </w:pPr>
      <w:r w:rsidRPr="00930FF2">
        <w:t>Na domaćem tržištu kapitala određeni iznos novčanih sr</w:t>
      </w:r>
      <w:r w:rsidR="00086988" w:rsidRPr="00930FF2">
        <w:t>edstava uložiće se i u kupovinu</w:t>
      </w:r>
    </w:p>
    <w:p w:rsidR="004C4367" w:rsidRPr="00930FF2" w:rsidRDefault="004C4367" w:rsidP="00086988">
      <w:pPr>
        <w:contextualSpacing/>
      </w:pPr>
      <w:r w:rsidRPr="00930FF2">
        <w:t xml:space="preserve">akcija privrednih društava koje imaju: </w:t>
      </w:r>
    </w:p>
    <w:p w:rsidR="00086988" w:rsidRPr="00930FF2" w:rsidRDefault="004C4367" w:rsidP="00F553CF">
      <w:pPr>
        <w:pStyle w:val="ListParagraph"/>
        <w:numPr>
          <w:ilvl w:val="0"/>
          <w:numId w:val="9"/>
        </w:numPr>
      </w:pPr>
      <w:r w:rsidRPr="00930FF2">
        <w:t>Pozitivan finansijski rezultat u najmanje dvije od zadnje tri poslovne godine,</w:t>
      </w:r>
    </w:p>
    <w:p w:rsidR="004C4367" w:rsidRPr="00930FF2" w:rsidRDefault="004C4367" w:rsidP="00F553CF">
      <w:pPr>
        <w:pStyle w:val="ListParagraph"/>
        <w:numPr>
          <w:ilvl w:val="0"/>
          <w:numId w:val="9"/>
        </w:numPr>
      </w:pPr>
      <w:r w:rsidRPr="00930FF2">
        <w:t>Stabilne poslovne prihode,</w:t>
      </w:r>
    </w:p>
    <w:p w:rsidR="004C4367" w:rsidRPr="00930FF2" w:rsidRDefault="004C4367" w:rsidP="00F553CF">
      <w:pPr>
        <w:pStyle w:val="ListParagraph"/>
        <w:numPr>
          <w:ilvl w:val="0"/>
          <w:numId w:val="9"/>
        </w:numPr>
      </w:pPr>
      <w:r w:rsidRPr="00930FF2">
        <w:t xml:space="preserve">Povoljna racia analize tržišta hartija od vrijednosti, poput racia likvidnosti, racia solventnosti, racia strukture kapitala, racia pokrića rashoda na ime kamata, racia profitabilnosti, zarade po akciji (EPS), P/E racio, knjigovodstvena vrijednosti po akciji, te prinos na investirana sredstva (prinos od dividende). </w:t>
      </w:r>
    </w:p>
    <w:p w:rsidR="004C4367" w:rsidRPr="00930FF2" w:rsidRDefault="004C4367" w:rsidP="00086988">
      <w:pPr>
        <w:ind w:left="360" w:firstLine="0"/>
        <w:contextualSpacing/>
      </w:pPr>
      <w:r w:rsidRPr="00930FF2">
        <w:t>Prilikom donošenja odluke o investiranju neophodno j</w:t>
      </w:r>
      <w:r w:rsidR="00086988" w:rsidRPr="00930FF2">
        <w:t xml:space="preserve">e da budu ispunjena minimum dva </w:t>
      </w:r>
      <w:r w:rsidRPr="00930FF2">
        <w:t xml:space="preserve">od navedenih uslova. </w:t>
      </w:r>
    </w:p>
    <w:p w:rsidR="004C4367" w:rsidRPr="00930FF2" w:rsidRDefault="004C4367" w:rsidP="00F553CF">
      <w:pPr>
        <w:pStyle w:val="ListParagraph"/>
        <w:numPr>
          <w:ilvl w:val="0"/>
          <w:numId w:val="20"/>
        </w:numPr>
      </w:pPr>
      <w:r w:rsidRPr="00930FF2">
        <w:t>Na regionalnim tržištima i tržištima kapitala razvijenih zemalja investiraće se dio slobodnih novčanih sredstava prvenstveno u akcije emitenata koji pored prethodno navedene tri osobine ostvaruju i zadovoljavajuću likvidnost trgovanja koja podrazumijeva da je obim trgovanja tom hartijom od vrijednosti u zadnjih godinu dana veći od planiranog iznosa ulaganja, kao i da redovno objavljuju finansijske izvještaje. Obim trgovanja hartijom od vrijednosti treba da omogući da Fond u kratkom vremenskom roku može da proda cjelokupno učešće.</w:t>
      </w:r>
    </w:p>
    <w:p w:rsidR="004C4367" w:rsidRPr="00930FF2" w:rsidRDefault="004C4367" w:rsidP="00086988">
      <w:pPr>
        <w:ind w:left="0" w:firstLine="0"/>
      </w:pPr>
      <w:r w:rsidRPr="00930FF2">
        <w:t>Sve odluke vezane za kupovinu, odnosno prodaju HOV iz</w:t>
      </w:r>
      <w:r w:rsidR="00086988" w:rsidRPr="00930FF2">
        <w:t xml:space="preserve"> portfelja Fonda donosiće se na </w:t>
      </w:r>
      <w:r w:rsidRPr="00930FF2">
        <w:t>osnovu:</w:t>
      </w:r>
    </w:p>
    <w:p w:rsidR="004C4367" w:rsidRPr="00930FF2" w:rsidRDefault="004C4367" w:rsidP="00F553CF">
      <w:pPr>
        <w:pStyle w:val="ListParagraph"/>
        <w:numPr>
          <w:ilvl w:val="0"/>
          <w:numId w:val="9"/>
        </w:numPr>
      </w:pPr>
      <w:r w:rsidRPr="00930FF2">
        <w:t>Tržišnih podataka,</w:t>
      </w:r>
    </w:p>
    <w:p w:rsidR="004C4367" w:rsidRPr="00930FF2" w:rsidRDefault="004C4367" w:rsidP="00F553CF">
      <w:pPr>
        <w:pStyle w:val="ListParagraph"/>
        <w:numPr>
          <w:ilvl w:val="0"/>
          <w:numId w:val="9"/>
        </w:numPr>
      </w:pPr>
      <w:r w:rsidRPr="00930FF2">
        <w:t>Bilansnih pozicija,</w:t>
      </w:r>
    </w:p>
    <w:p w:rsidR="004C4367" w:rsidRPr="00930FF2" w:rsidRDefault="004C4367" w:rsidP="00F553CF">
      <w:pPr>
        <w:pStyle w:val="ListParagraph"/>
        <w:numPr>
          <w:ilvl w:val="0"/>
          <w:numId w:val="9"/>
        </w:numPr>
      </w:pPr>
      <w:r w:rsidRPr="00930FF2">
        <w:t xml:space="preserve">Racio analize finansijkih izvještaja, i </w:t>
      </w:r>
    </w:p>
    <w:p w:rsidR="004C4367" w:rsidRPr="00930FF2" w:rsidRDefault="004C4367" w:rsidP="00F553CF">
      <w:pPr>
        <w:pStyle w:val="ListParagraph"/>
        <w:numPr>
          <w:ilvl w:val="0"/>
          <w:numId w:val="9"/>
        </w:numPr>
      </w:pPr>
      <w:r w:rsidRPr="00930FF2">
        <w:t>Transparentnih podataka o planovima za buduće poslovanje emitenta.</w:t>
      </w:r>
    </w:p>
    <w:p w:rsidR="004C4367" w:rsidRPr="00930FF2" w:rsidRDefault="004C4367" w:rsidP="004C4367">
      <w:r w:rsidRPr="00930FF2">
        <w:t xml:space="preserve">Očekivani prinos kod investiranja u pojedine finansijske instumente iznosio bi: </w:t>
      </w:r>
    </w:p>
    <w:p w:rsidR="004C4367" w:rsidRPr="00930FF2" w:rsidRDefault="004C4367" w:rsidP="00F553CF">
      <w:pPr>
        <w:pStyle w:val="ListParagraph"/>
        <w:numPr>
          <w:ilvl w:val="0"/>
          <w:numId w:val="9"/>
        </w:numPr>
      </w:pPr>
      <w:r w:rsidRPr="00930FF2">
        <w:t>Kod ulaganja u obveznice – minimalno 3% na godišnjem nivou,</w:t>
      </w:r>
    </w:p>
    <w:p w:rsidR="004C4367" w:rsidRPr="00930FF2" w:rsidRDefault="004C4367" w:rsidP="00F553CF">
      <w:pPr>
        <w:pStyle w:val="ListParagraph"/>
        <w:numPr>
          <w:ilvl w:val="0"/>
          <w:numId w:val="9"/>
        </w:numPr>
      </w:pPr>
      <w:r w:rsidRPr="00930FF2">
        <w:t>Kod ulaganja u trezorske zapise - minimalno 1% na godišnjem nivou, i</w:t>
      </w:r>
    </w:p>
    <w:p w:rsidR="004C4367" w:rsidRPr="00930FF2" w:rsidRDefault="004C4367" w:rsidP="00F553CF">
      <w:pPr>
        <w:pStyle w:val="ListParagraph"/>
        <w:numPr>
          <w:ilvl w:val="0"/>
          <w:numId w:val="9"/>
        </w:numPr>
      </w:pPr>
      <w:r w:rsidRPr="00930FF2">
        <w:t>Kod ulaganja u akcije - minimalno 5% na godišnjem nivou u koji je uključen i ostvaren dividendni prinos (kapitalna dobit + prinos od dividende).</w:t>
      </w:r>
    </w:p>
    <w:p w:rsidR="004C4367" w:rsidRPr="00930FF2" w:rsidRDefault="004C4367" w:rsidP="004C4367">
      <w:pPr>
        <w:pStyle w:val="BodyText"/>
        <w:contextualSpacing/>
      </w:pPr>
      <w:r w:rsidRPr="00930FF2">
        <w:t>Imovina Fonda će se ulagati radi ostvarivanja navedenih investicionih ciljeva Fonda, u skladu sa Zakonom o investicionim fondovima, podzakonskim aktima Komisije i odlukama organa Društva i Fonda.</w:t>
      </w:r>
    </w:p>
    <w:p w:rsidR="004C4367" w:rsidRPr="00930FF2" w:rsidRDefault="004C4367" w:rsidP="004C4367">
      <w:pPr>
        <w:pStyle w:val="BodyText"/>
        <w:contextualSpacing/>
      </w:pPr>
      <w:r w:rsidRPr="00930FF2">
        <w:t>Portfelj hartija od vrijednosti Fonda će činiti:</w:t>
      </w:r>
    </w:p>
    <w:p w:rsidR="004C4367" w:rsidRPr="00930FF2" w:rsidRDefault="004C4367" w:rsidP="00F553CF">
      <w:pPr>
        <w:pStyle w:val="BodyText"/>
        <w:numPr>
          <w:ilvl w:val="0"/>
          <w:numId w:val="14"/>
        </w:numPr>
        <w:contextualSpacing/>
      </w:pPr>
      <w:r w:rsidRPr="00930FF2">
        <w:t>Hartije od vrijednosti, kojima se trguje na berzama Republike Srpske i Federacije BiH i na berzama i na drugim uređenim - organizovanim tržištima država članica EU, OECD i  CEFTA,</w:t>
      </w:r>
    </w:p>
    <w:p w:rsidR="004C4367" w:rsidRPr="00930FF2" w:rsidRDefault="004C4367" w:rsidP="00F553CF">
      <w:pPr>
        <w:pStyle w:val="BodyText"/>
        <w:numPr>
          <w:ilvl w:val="0"/>
          <w:numId w:val="14"/>
        </w:numPr>
        <w:contextualSpacing/>
      </w:pPr>
      <w:r w:rsidRPr="00930FF2">
        <w:t>Hartije od vrijednosti, kojima se trguje na berzama ili na drugim uređenim -organizovanim tržištima: Srbije, Crne Gore, Hrvatske i Makedonije,</w:t>
      </w:r>
    </w:p>
    <w:p w:rsidR="004C4367" w:rsidRPr="00930FF2" w:rsidRDefault="007B6900" w:rsidP="00F553CF">
      <w:pPr>
        <w:pStyle w:val="BodyText"/>
        <w:numPr>
          <w:ilvl w:val="0"/>
          <w:numId w:val="14"/>
        </w:numPr>
        <w:contextualSpacing/>
      </w:pPr>
      <w:r w:rsidRPr="00930FF2">
        <w:lastRenderedPageBreak/>
        <w:t>Dužničk</w:t>
      </w:r>
      <w:r w:rsidRPr="00930FF2">
        <w:rPr>
          <w:lang w:val="sr-Latn-BA"/>
        </w:rPr>
        <w:t>e</w:t>
      </w:r>
      <w:r w:rsidR="004C4367" w:rsidRPr="00930FF2">
        <w:t xml:space="preserve"> hartij</w:t>
      </w:r>
      <w:r w:rsidRPr="00930FF2">
        <w:rPr>
          <w:lang w:val="sr-Latn-BA"/>
        </w:rPr>
        <w:t>e</w:t>
      </w:r>
      <w:r w:rsidR="004C4367" w:rsidRPr="00930FF2">
        <w:t xml:space="preserve"> od vrijednosti, koje emituju: Republika Srpska, Federacija BiH i jedinice lokalne uprave Republike Srpske,</w:t>
      </w:r>
    </w:p>
    <w:p w:rsidR="004C4367" w:rsidRPr="00930FF2" w:rsidRDefault="004C4367" w:rsidP="00F553CF">
      <w:pPr>
        <w:pStyle w:val="BodyText"/>
        <w:numPr>
          <w:ilvl w:val="0"/>
          <w:numId w:val="14"/>
        </w:numPr>
        <w:contextualSpacing/>
      </w:pPr>
      <w:r w:rsidRPr="00930FF2">
        <w:t>Drž</w:t>
      </w:r>
      <w:r w:rsidR="007B6900" w:rsidRPr="00930FF2">
        <w:t>avn</w:t>
      </w:r>
      <w:r w:rsidR="007B6900" w:rsidRPr="00930FF2">
        <w:rPr>
          <w:lang w:val="sr-Latn-BA"/>
        </w:rPr>
        <w:t>e</w:t>
      </w:r>
      <w:r w:rsidRPr="00930FF2">
        <w:t xml:space="preserve"> i municipaln</w:t>
      </w:r>
      <w:r w:rsidR="007B6900" w:rsidRPr="00930FF2">
        <w:rPr>
          <w:lang w:val="sr-Latn-BA"/>
        </w:rPr>
        <w:t>e</w:t>
      </w:r>
      <w:r w:rsidRPr="00930FF2">
        <w:t xml:space="preserve"> hartij</w:t>
      </w:r>
      <w:r w:rsidR="007B6900" w:rsidRPr="00930FF2">
        <w:rPr>
          <w:lang w:val="sr-Latn-BA"/>
        </w:rPr>
        <w:t>e</w:t>
      </w:r>
      <w:r w:rsidRPr="00930FF2">
        <w:t xml:space="preserve"> od vrijednosti, emitovan</w:t>
      </w:r>
      <w:r w:rsidR="007B6900" w:rsidRPr="00930FF2">
        <w:rPr>
          <w:lang w:val="sr-Latn-BA"/>
        </w:rPr>
        <w:t>e</w:t>
      </w:r>
      <w:r w:rsidRPr="00930FF2">
        <w:t xml:space="preserve"> u državama članicama EU, OECD i CEFTA,</w:t>
      </w:r>
    </w:p>
    <w:p w:rsidR="004C4367" w:rsidRPr="00930FF2" w:rsidRDefault="007B6900" w:rsidP="00F553CF">
      <w:pPr>
        <w:pStyle w:val="BodyText"/>
        <w:numPr>
          <w:ilvl w:val="0"/>
          <w:numId w:val="14"/>
        </w:numPr>
        <w:contextualSpacing/>
      </w:pPr>
      <w:r w:rsidRPr="00930FF2">
        <w:t>Dužničk</w:t>
      </w:r>
      <w:r w:rsidRPr="00930FF2">
        <w:rPr>
          <w:lang w:val="sr-Latn-BA"/>
        </w:rPr>
        <w:t>e</w:t>
      </w:r>
      <w:r w:rsidR="004C4367" w:rsidRPr="00930FF2">
        <w:t xml:space="preserve"> hartij</w:t>
      </w:r>
      <w:r w:rsidRPr="00930FF2">
        <w:rPr>
          <w:lang w:val="sr-Latn-BA"/>
        </w:rPr>
        <w:t>e</w:t>
      </w:r>
      <w:r w:rsidR="004C4367" w:rsidRPr="00930FF2">
        <w:t xml:space="preserve"> od vrijednosti, koje izdaju pravna lica sa sjedištem u Republici Srpskoj i Fed</w:t>
      </w:r>
      <w:r w:rsidRPr="00930FF2">
        <w:rPr>
          <w:lang w:val="sr-Latn-BA"/>
        </w:rPr>
        <w:t>e</w:t>
      </w:r>
      <w:r w:rsidR="004C4367" w:rsidRPr="00930FF2">
        <w:t>raciji BiH,</w:t>
      </w:r>
    </w:p>
    <w:p w:rsidR="004C4367" w:rsidRPr="00930FF2" w:rsidRDefault="004C4367" w:rsidP="00F553CF">
      <w:pPr>
        <w:pStyle w:val="BodyText"/>
        <w:numPr>
          <w:ilvl w:val="0"/>
          <w:numId w:val="14"/>
        </w:numPr>
        <w:contextualSpacing/>
      </w:pPr>
      <w:r w:rsidRPr="00930FF2">
        <w:t>Akcij</w:t>
      </w:r>
      <w:r w:rsidR="005C5E56" w:rsidRPr="00930FF2">
        <w:rPr>
          <w:lang w:val="sr-Latn-BA"/>
        </w:rPr>
        <w:t>e</w:t>
      </w:r>
      <w:r w:rsidRPr="00930FF2">
        <w:t xml:space="preserve"> i udjel</w:t>
      </w:r>
      <w:r w:rsidR="005C5E56" w:rsidRPr="00930FF2">
        <w:rPr>
          <w:lang w:val="sr-Latn-BA"/>
        </w:rPr>
        <w:t>i</w:t>
      </w:r>
      <w:r w:rsidRPr="00930FF2">
        <w:t xml:space="preserve"> investicionih fondova, kojima se trguje na berzama ili na drugim uređenim - organizovanim tržištima u: Republici Srpskoj, Federaciji BiH i državama članicama EU, OECD i CEFTA, i</w:t>
      </w:r>
    </w:p>
    <w:p w:rsidR="004C4367" w:rsidRPr="00930FF2" w:rsidRDefault="00086988" w:rsidP="00F553CF">
      <w:pPr>
        <w:pStyle w:val="BodyText"/>
        <w:numPr>
          <w:ilvl w:val="0"/>
          <w:numId w:val="14"/>
        </w:numPr>
        <w:contextualSpacing/>
      </w:pPr>
      <w:r w:rsidRPr="00930FF2">
        <w:rPr>
          <w:lang w:val="sr-Latn-BA"/>
        </w:rPr>
        <w:t>U</w:t>
      </w:r>
      <w:r w:rsidR="004C4367" w:rsidRPr="00930FF2">
        <w:t>djel</w:t>
      </w:r>
      <w:r w:rsidR="005C5E56" w:rsidRPr="00930FF2">
        <w:rPr>
          <w:lang w:val="sr-Latn-BA"/>
        </w:rPr>
        <w:t>i</w:t>
      </w:r>
      <w:r w:rsidR="004C4367" w:rsidRPr="00930FF2">
        <w:t xml:space="preserve"> u otvorenim investicionim fondovima osnovanim u: Republici Srpskoj, Federaciji BiH, Srbiji, Crnoj Gori, Hrvatskoj, Makedoniji i državama članicama EU, OECD i CEFTA.</w:t>
      </w:r>
    </w:p>
    <w:p w:rsidR="004C4367" w:rsidRPr="00930FF2" w:rsidRDefault="004C4367" w:rsidP="004C4367">
      <w:pPr>
        <w:pStyle w:val="BodyText"/>
        <w:contextualSpacing/>
      </w:pPr>
      <w:r w:rsidRPr="00930FF2">
        <w:t>Ulaganje imovine Fonda biće usklađeno sa Planom preoblikovanja, kojim je predviđeno  preoblikovanje Fonda u otvoreni investicioni fond, u rokovima i na način utvrđen Zakonom.</w:t>
      </w:r>
    </w:p>
    <w:p w:rsidR="004C4367" w:rsidRPr="00930FF2" w:rsidRDefault="004C4367" w:rsidP="00395D0A">
      <w:pPr>
        <w:ind w:left="0" w:firstLine="0"/>
        <w:rPr>
          <w:b/>
          <w:lang w:val="sr-Latn-BA"/>
        </w:rPr>
      </w:pPr>
    </w:p>
    <w:p w:rsidR="004B5F1F" w:rsidRPr="00930FF2" w:rsidRDefault="004B5F1F" w:rsidP="00395D0A">
      <w:pPr>
        <w:ind w:left="0" w:firstLine="0"/>
        <w:rPr>
          <w:b/>
          <w:lang w:val="sr-Latn-BA"/>
        </w:rPr>
      </w:pPr>
      <w:r w:rsidRPr="00930FF2">
        <w:rPr>
          <w:b/>
          <w:lang w:val="sr-Latn-BA"/>
        </w:rPr>
        <w:t>Naznaku da mu je investicioni cilj repliciranje indeksa, ako fond nastoji replicirati neki akcijski indeks dužničkih hartija od vrijednosti:</w:t>
      </w:r>
    </w:p>
    <w:p w:rsidR="005C4F86" w:rsidRPr="00930FF2" w:rsidRDefault="005C4F86" w:rsidP="00395D0A">
      <w:pPr>
        <w:ind w:left="0" w:firstLine="0"/>
        <w:contextualSpacing/>
      </w:pPr>
      <w:r w:rsidRPr="00930FF2">
        <w:t>Investicioni cilj Fonda neće biti repliciranje indeksa.</w:t>
      </w:r>
    </w:p>
    <w:p w:rsidR="005C4F86" w:rsidRPr="00930FF2" w:rsidRDefault="005C4F86" w:rsidP="00395D0A">
      <w:pPr>
        <w:ind w:left="0" w:firstLine="0"/>
        <w:contextualSpacing/>
      </w:pPr>
    </w:p>
    <w:p w:rsidR="002F528D" w:rsidRPr="00930FF2" w:rsidRDefault="002F528D" w:rsidP="00395D0A">
      <w:pPr>
        <w:ind w:left="0" w:firstLine="0"/>
        <w:contextualSpacing/>
        <w:rPr>
          <w:b/>
        </w:rPr>
      </w:pPr>
      <w:r w:rsidRPr="00930FF2">
        <w:rPr>
          <w:b/>
        </w:rPr>
        <w:t>Ograničenja u zaduživanju i finansiranju zaduživanjem koja važe za zatvoreni investicioni fond:</w:t>
      </w:r>
    </w:p>
    <w:p w:rsidR="002F528D" w:rsidRPr="00930FF2" w:rsidRDefault="002F528D" w:rsidP="00395D0A">
      <w:pPr>
        <w:ind w:left="0" w:firstLine="0"/>
        <w:contextualSpacing/>
      </w:pPr>
      <w:r w:rsidRPr="00930FF2">
        <w:t>Fond se ne može kreditno zaduživati kod poslovnih banaka i kod drugih finansijskih organizacija.</w:t>
      </w:r>
    </w:p>
    <w:p w:rsidR="002F528D" w:rsidRPr="00930FF2" w:rsidRDefault="002F528D" w:rsidP="00395D0A">
      <w:pPr>
        <w:ind w:left="0" w:firstLine="0"/>
        <w:contextualSpacing/>
      </w:pPr>
    </w:p>
    <w:p w:rsidR="00395D0A" w:rsidRPr="00930FF2" w:rsidRDefault="00395D0A" w:rsidP="00395D0A">
      <w:pPr>
        <w:ind w:left="0" w:firstLine="0"/>
        <w:contextualSpacing/>
        <w:rPr>
          <w:b/>
          <w:bCs/>
        </w:rPr>
      </w:pPr>
      <w:r w:rsidRPr="00930FF2">
        <w:rPr>
          <w:b/>
          <w:bCs/>
        </w:rPr>
        <w:t>Regulatorni status Fonda i naziv regulatora koji nadzire osnivanje i rad Fonda</w:t>
      </w:r>
      <w:r w:rsidR="004B5F1F" w:rsidRPr="00930FF2">
        <w:rPr>
          <w:b/>
          <w:bCs/>
        </w:rPr>
        <w:t>:</w:t>
      </w:r>
    </w:p>
    <w:p w:rsidR="00395D0A" w:rsidRPr="00930FF2" w:rsidRDefault="00395D0A" w:rsidP="00395D0A">
      <w:pPr>
        <w:ind w:left="0" w:firstLine="0"/>
        <w:contextualSpacing/>
        <w:rPr>
          <w:bCs/>
        </w:rPr>
      </w:pPr>
      <w:r w:rsidRPr="00930FF2">
        <w:rPr>
          <w:bCs/>
        </w:rPr>
        <w:t>Regulator za nadziranje osnivanja i rada Fonda je Komisija za hartije od vrijednosti Republike Srpske, Banja Luka.</w:t>
      </w:r>
    </w:p>
    <w:p w:rsidR="00395D0A" w:rsidRPr="00930FF2" w:rsidRDefault="00395D0A" w:rsidP="00395D0A">
      <w:pPr>
        <w:ind w:left="0" w:firstLine="0"/>
        <w:contextualSpacing/>
        <w:rPr>
          <w:bCs/>
        </w:rPr>
      </w:pPr>
      <w:r w:rsidRPr="00930FF2">
        <w:rPr>
          <w:bCs/>
        </w:rPr>
        <w:t>Komisija je nezavisno pravno lice osnovano radi uređivanja i kontrole emitovanja i prometa hartija od vrijednosti, čije su nadležnosti i obaveze utvrđene Zakonom o tržištu hartija od vrijednosti.</w:t>
      </w:r>
    </w:p>
    <w:p w:rsidR="00BC5B30" w:rsidRPr="00930FF2" w:rsidRDefault="00BC5B30" w:rsidP="00395D0A">
      <w:pPr>
        <w:ind w:left="0" w:firstLine="0"/>
        <w:contextualSpacing/>
        <w:jc w:val="left"/>
        <w:rPr>
          <w:b/>
          <w:bCs/>
        </w:rPr>
      </w:pPr>
    </w:p>
    <w:p w:rsidR="004B5F1F" w:rsidRPr="00930FF2" w:rsidRDefault="004B5F1F" w:rsidP="00B86298">
      <w:pPr>
        <w:ind w:left="0" w:firstLine="0"/>
        <w:jc w:val="left"/>
        <w:rPr>
          <w:b/>
          <w:iCs/>
          <w:lang w:val="hr-HR"/>
        </w:rPr>
      </w:pPr>
      <w:r w:rsidRPr="00930FF2">
        <w:rPr>
          <w:b/>
          <w:iCs/>
          <w:lang w:val="hr-HR"/>
        </w:rPr>
        <w:t>Istorijski prinos fonda i profil tipičnog investitora kome je fond namjenjen:</w:t>
      </w:r>
    </w:p>
    <w:p w:rsidR="00BC5B30" w:rsidRPr="00930FF2" w:rsidRDefault="00BC5B30" w:rsidP="00BC5B30">
      <w:pPr>
        <w:ind w:left="0" w:firstLine="0"/>
        <w:rPr>
          <w:bCs/>
        </w:rPr>
      </w:pPr>
      <w:r w:rsidRPr="00930FF2">
        <w:rPr>
          <w:bCs/>
        </w:rPr>
        <w:t>Istorijska stopa prinosa na neto imovinu fonda (KM)</w:t>
      </w:r>
    </w:p>
    <w:tbl>
      <w:tblPr>
        <w:tblW w:w="4800" w:type="dxa"/>
        <w:tblInd w:w="250" w:type="dxa"/>
        <w:tblLook w:val="04A0"/>
      </w:tblPr>
      <w:tblGrid>
        <w:gridCol w:w="960"/>
        <w:gridCol w:w="960"/>
        <w:gridCol w:w="960"/>
        <w:gridCol w:w="960"/>
        <w:gridCol w:w="960"/>
      </w:tblGrid>
      <w:tr w:rsidR="00BC5B30" w:rsidRPr="00930FF2" w:rsidTr="00BC5B3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B30" w:rsidRPr="00930FF2" w:rsidRDefault="00BC5B30" w:rsidP="00BC5B30">
            <w:pPr>
              <w:ind w:left="0" w:firstLine="0"/>
              <w:contextualSpacing/>
              <w:rPr>
                <w:sz w:val="22"/>
                <w:szCs w:val="22"/>
                <w:lang w:eastAsia="sr-Latn-BA"/>
              </w:rPr>
            </w:pPr>
            <w:r w:rsidRPr="00930FF2">
              <w:rPr>
                <w:sz w:val="22"/>
                <w:szCs w:val="22"/>
                <w:lang w:eastAsia="sr-Latn-BA"/>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5B30" w:rsidRPr="00930FF2" w:rsidRDefault="00BC5B30" w:rsidP="00BC5B30">
            <w:pPr>
              <w:ind w:left="0" w:firstLine="0"/>
              <w:contextualSpacing/>
              <w:rPr>
                <w:sz w:val="22"/>
                <w:szCs w:val="22"/>
                <w:lang w:eastAsia="sr-Latn-BA"/>
              </w:rPr>
            </w:pPr>
            <w:r w:rsidRPr="00930FF2">
              <w:rPr>
                <w:sz w:val="22"/>
                <w:szCs w:val="22"/>
                <w:lang w:eastAsia="sr-Latn-BA"/>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5B30" w:rsidRPr="00930FF2" w:rsidRDefault="00BC5B30" w:rsidP="00BC5B30">
            <w:pPr>
              <w:ind w:left="0" w:firstLine="0"/>
              <w:contextualSpacing/>
              <w:rPr>
                <w:sz w:val="22"/>
                <w:szCs w:val="22"/>
                <w:lang w:eastAsia="sr-Latn-BA"/>
              </w:rPr>
            </w:pPr>
            <w:r w:rsidRPr="00930FF2">
              <w:rPr>
                <w:sz w:val="22"/>
                <w:szCs w:val="22"/>
                <w:lang w:eastAsia="sr-Latn-BA"/>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5B30" w:rsidRPr="00930FF2" w:rsidRDefault="00BC5B30" w:rsidP="00BC5B30">
            <w:pPr>
              <w:ind w:left="0" w:firstLine="0"/>
              <w:contextualSpacing/>
              <w:rPr>
                <w:sz w:val="22"/>
                <w:szCs w:val="22"/>
                <w:lang w:eastAsia="sr-Latn-BA"/>
              </w:rPr>
            </w:pPr>
            <w:r w:rsidRPr="00930FF2">
              <w:rPr>
                <w:sz w:val="22"/>
                <w:szCs w:val="22"/>
                <w:lang w:eastAsia="sr-Latn-BA"/>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5B30" w:rsidRPr="00930FF2" w:rsidRDefault="00BC5B30" w:rsidP="00BC5B30">
            <w:pPr>
              <w:ind w:left="0" w:firstLine="0"/>
              <w:contextualSpacing/>
              <w:rPr>
                <w:sz w:val="22"/>
                <w:szCs w:val="22"/>
                <w:lang w:eastAsia="sr-Latn-BA"/>
              </w:rPr>
            </w:pPr>
            <w:r w:rsidRPr="00930FF2">
              <w:rPr>
                <w:sz w:val="22"/>
                <w:szCs w:val="22"/>
                <w:lang w:eastAsia="sr-Latn-BA"/>
              </w:rPr>
              <w:t>2011</w:t>
            </w:r>
          </w:p>
        </w:tc>
      </w:tr>
      <w:tr w:rsidR="00BC5B30" w:rsidRPr="00930FF2" w:rsidTr="00BC5B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5B30" w:rsidRPr="00930FF2" w:rsidRDefault="00862CFC" w:rsidP="00BC5B30">
            <w:pPr>
              <w:ind w:left="0" w:firstLine="0"/>
              <w:contextualSpacing/>
              <w:rPr>
                <w:color w:val="000000"/>
                <w:sz w:val="22"/>
                <w:szCs w:val="22"/>
                <w:lang w:eastAsia="sr-Latn-BA"/>
              </w:rPr>
            </w:pPr>
            <w:r w:rsidRPr="00930FF2">
              <w:rPr>
                <w:color w:val="000000"/>
                <w:sz w:val="22"/>
                <w:szCs w:val="22"/>
                <w:lang w:eastAsia="sr-Latn-BA"/>
              </w:rPr>
              <w:t>-16,77</w:t>
            </w:r>
          </w:p>
        </w:tc>
        <w:tc>
          <w:tcPr>
            <w:tcW w:w="960" w:type="dxa"/>
            <w:tcBorders>
              <w:top w:val="nil"/>
              <w:left w:val="nil"/>
              <w:bottom w:val="single" w:sz="4" w:space="0" w:color="auto"/>
              <w:right w:val="single" w:sz="4" w:space="0" w:color="auto"/>
            </w:tcBorders>
            <w:shd w:val="clear" w:color="auto" w:fill="auto"/>
            <w:noWrap/>
            <w:vAlign w:val="bottom"/>
            <w:hideMark/>
          </w:tcPr>
          <w:p w:rsidR="00BC5B30" w:rsidRPr="00930FF2" w:rsidRDefault="00862CFC" w:rsidP="00BC5B30">
            <w:pPr>
              <w:ind w:left="0" w:firstLine="0"/>
              <w:contextualSpacing/>
              <w:rPr>
                <w:color w:val="000000"/>
                <w:sz w:val="22"/>
                <w:szCs w:val="22"/>
                <w:lang w:eastAsia="sr-Latn-BA"/>
              </w:rPr>
            </w:pPr>
            <w:r w:rsidRPr="00930FF2">
              <w:rPr>
                <w:color w:val="000000"/>
                <w:sz w:val="22"/>
                <w:szCs w:val="22"/>
                <w:lang w:eastAsia="sr-Latn-BA"/>
              </w:rPr>
              <w:t>-4,27</w:t>
            </w:r>
          </w:p>
        </w:tc>
        <w:tc>
          <w:tcPr>
            <w:tcW w:w="960" w:type="dxa"/>
            <w:tcBorders>
              <w:top w:val="nil"/>
              <w:left w:val="nil"/>
              <w:bottom w:val="single" w:sz="4" w:space="0" w:color="auto"/>
              <w:right w:val="single" w:sz="4" w:space="0" w:color="auto"/>
            </w:tcBorders>
            <w:shd w:val="clear" w:color="auto" w:fill="auto"/>
            <w:noWrap/>
            <w:vAlign w:val="bottom"/>
            <w:hideMark/>
          </w:tcPr>
          <w:p w:rsidR="00BC5B30" w:rsidRPr="00930FF2" w:rsidRDefault="00862CFC" w:rsidP="00BC5B30">
            <w:pPr>
              <w:ind w:left="0" w:firstLine="0"/>
              <w:contextualSpacing/>
              <w:rPr>
                <w:color w:val="000000"/>
                <w:sz w:val="22"/>
                <w:szCs w:val="22"/>
                <w:lang w:eastAsia="sr-Latn-BA"/>
              </w:rPr>
            </w:pPr>
            <w:r w:rsidRPr="00930FF2">
              <w:rPr>
                <w:color w:val="000000"/>
                <w:sz w:val="22"/>
                <w:szCs w:val="22"/>
                <w:lang w:eastAsia="sr-Latn-BA"/>
              </w:rPr>
              <w:t>2,91</w:t>
            </w:r>
          </w:p>
        </w:tc>
        <w:tc>
          <w:tcPr>
            <w:tcW w:w="960" w:type="dxa"/>
            <w:tcBorders>
              <w:top w:val="nil"/>
              <w:left w:val="nil"/>
              <w:bottom w:val="single" w:sz="4" w:space="0" w:color="auto"/>
              <w:right w:val="single" w:sz="4" w:space="0" w:color="auto"/>
            </w:tcBorders>
            <w:shd w:val="clear" w:color="auto" w:fill="auto"/>
            <w:noWrap/>
            <w:vAlign w:val="bottom"/>
            <w:hideMark/>
          </w:tcPr>
          <w:p w:rsidR="00BC5B30" w:rsidRPr="00930FF2" w:rsidRDefault="00862CFC" w:rsidP="00BC5B30">
            <w:pPr>
              <w:ind w:left="0" w:firstLine="0"/>
              <w:contextualSpacing/>
              <w:rPr>
                <w:color w:val="000000"/>
                <w:sz w:val="22"/>
                <w:szCs w:val="22"/>
                <w:lang w:eastAsia="sr-Latn-BA"/>
              </w:rPr>
            </w:pPr>
            <w:r w:rsidRPr="00930FF2">
              <w:rPr>
                <w:color w:val="000000"/>
                <w:sz w:val="22"/>
                <w:szCs w:val="22"/>
                <w:lang w:eastAsia="sr-Latn-BA"/>
              </w:rPr>
              <w:t>-3,59</w:t>
            </w:r>
          </w:p>
        </w:tc>
        <w:tc>
          <w:tcPr>
            <w:tcW w:w="960" w:type="dxa"/>
            <w:tcBorders>
              <w:top w:val="nil"/>
              <w:left w:val="nil"/>
              <w:bottom w:val="single" w:sz="4" w:space="0" w:color="auto"/>
              <w:right w:val="single" w:sz="4" w:space="0" w:color="auto"/>
            </w:tcBorders>
            <w:shd w:val="clear" w:color="auto" w:fill="auto"/>
            <w:noWrap/>
            <w:vAlign w:val="bottom"/>
            <w:hideMark/>
          </w:tcPr>
          <w:p w:rsidR="00BC5B30" w:rsidRPr="00930FF2" w:rsidRDefault="00862CFC" w:rsidP="00BC5B30">
            <w:pPr>
              <w:ind w:left="0" w:firstLine="0"/>
              <w:contextualSpacing/>
              <w:rPr>
                <w:color w:val="000000"/>
                <w:sz w:val="22"/>
                <w:szCs w:val="22"/>
                <w:lang w:eastAsia="sr-Latn-BA"/>
              </w:rPr>
            </w:pPr>
            <w:r w:rsidRPr="00930FF2">
              <w:rPr>
                <w:color w:val="000000"/>
                <w:sz w:val="22"/>
                <w:szCs w:val="22"/>
                <w:lang w:eastAsia="sr-Latn-BA"/>
              </w:rPr>
              <w:t>-12,28</w:t>
            </w:r>
          </w:p>
        </w:tc>
      </w:tr>
    </w:tbl>
    <w:p w:rsidR="00BC5B30" w:rsidRPr="00930FF2" w:rsidRDefault="00BC5B30" w:rsidP="00395D0A">
      <w:pPr>
        <w:ind w:left="0" w:firstLine="0"/>
        <w:contextualSpacing/>
        <w:jc w:val="left"/>
        <w:rPr>
          <w:b/>
          <w:bCs/>
        </w:rPr>
      </w:pPr>
    </w:p>
    <w:p w:rsidR="00860D12" w:rsidRPr="00930FF2" w:rsidRDefault="00B65AD8" w:rsidP="00395D0A">
      <w:pPr>
        <w:autoSpaceDE w:val="0"/>
        <w:autoSpaceDN w:val="0"/>
        <w:adjustRightInd w:val="0"/>
        <w:ind w:left="0" w:firstLine="0"/>
        <w:contextualSpacing/>
        <w:rPr>
          <w:bCs/>
        </w:rPr>
      </w:pPr>
      <w:r w:rsidRPr="00930FF2">
        <w:rPr>
          <w:bCs/>
        </w:rPr>
        <w:t xml:space="preserve">Za poslednjih pet godina </w:t>
      </w:r>
      <w:r w:rsidR="008D3462" w:rsidRPr="00930FF2">
        <w:rPr>
          <w:bCs/>
        </w:rPr>
        <w:t xml:space="preserve">fond je imao pozitivnu stopu prinosa samo u 2013. </w:t>
      </w:r>
      <w:r w:rsidR="00860D12" w:rsidRPr="00930FF2">
        <w:rPr>
          <w:bCs/>
        </w:rPr>
        <w:t>g</w:t>
      </w:r>
      <w:r w:rsidR="002F528D" w:rsidRPr="00930FF2">
        <w:rPr>
          <w:bCs/>
        </w:rPr>
        <w:t>odini i</w:t>
      </w:r>
      <w:r w:rsidR="008D3462" w:rsidRPr="00930FF2">
        <w:rPr>
          <w:bCs/>
        </w:rPr>
        <w:t xml:space="preserve"> ona je iznosila </w:t>
      </w:r>
      <w:r w:rsidR="00860D12" w:rsidRPr="00930FF2">
        <w:rPr>
          <w:bCs/>
        </w:rPr>
        <w:t>2,91%, dok su prinosi fonda za četiri poslovne godine bili negativni.</w:t>
      </w:r>
    </w:p>
    <w:p w:rsidR="00860D12" w:rsidRPr="00930FF2" w:rsidRDefault="00860D12" w:rsidP="00395D0A">
      <w:pPr>
        <w:autoSpaceDE w:val="0"/>
        <w:autoSpaceDN w:val="0"/>
        <w:adjustRightInd w:val="0"/>
        <w:ind w:left="0" w:firstLine="0"/>
        <w:contextualSpacing/>
        <w:rPr>
          <w:bCs/>
        </w:rPr>
      </w:pPr>
      <w:r w:rsidRPr="00930FF2">
        <w:rPr>
          <w:bCs/>
        </w:rPr>
        <w:t>Stopa prinosa u 2015. godini je bil</w:t>
      </w:r>
      <w:r w:rsidR="00934046" w:rsidRPr="00930FF2">
        <w:rPr>
          <w:bCs/>
        </w:rPr>
        <w:t>a negativna i iznosila je 16,77</w:t>
      </w:r>
      <w:r w:rsidRPr="00930FF2">
        <w:rPr>
          <w:bCs/>
        </w:rPr>
        <w:t xml:space="preserve">%, u </w:t>
      </w:r>
      <w:r w:rsidR="00934046" w:rsidRPr="00930FF2">
        <w:rPr>
          <w:bCs/>
        </w:rPr>
        <w:t>odnosu na nultu stopu od 100,00</w:t>
      </w:r>
      <w:r w:rsidRPr="00930FF2">
        <w:rPr>
          <w:bCs/>
        </w:rPr>
        <w:t>%, iz čega slijedi da je u prethodnoj poslovnoj godini došlo do značajnog pada vrijednosti neto imovine fonda, koja je dovela do negativne stope prinosa na fond.</w:t>
      </w:r>
    </w:p>
    <w:p w:rsidR="00764D4C" w:rsidRPr="00930FF2" w:rsidRDefault="00860D12" w:rsidP="00395D0A">
      <w:pPr>
        <w:autoSpaceDE w:val="0"/>
        <w:autoSpaceDN w:val="0"/>
        <w:adjustRightInd w:val="0"/>
        <w:ind w:left="0" w:firstLine="0"/>
        <w:contextualSpacing/>
        <w:rPr>
          <w:bCs/>
        </w:rPr>
      </w:pPr>
      <w:r w:rsidRPr="00930FF2">
        <w:rPr>
          <w:bCs/>
        </w:rPr>
        <w:t xml:space="preserve">Negativan trend stope prinosa je zabilježen takodje 2011.i 2014. </w:t>
      </w:r>
      <w:r w:rsidR="00086988" w:rsidRPr="00930FF2">
        <w:rPr>
          <w:bCs/>
        </w:rPr>
        <w:t>g</w:t>
      </w:r>
      <w:r w:rsidRPr="00930FF2">
        <w:rPr>
          <w:bCs/>
        </w:rPr>
        <w:t>odine</w:t>
      </w:r>
      <w:r w:rsidR="00C409FE" w:rsidRPr="00930FF2">
        <w:rPr>
          <w:bCs/>
        </w:rPr>
        <w:t xml:space="preserve">, a mnogo je razloga koji su doveli do smanjenja neto imvine fonda </w:t>
      </w:r>
      <w:r w:rsidR="00764D4C" w:rsidRPr="00930FF2">
        <w:rPr>
          <w:bCs/>
        </w:rPr>
        <w:t>i</w:t>
      </w:r>
      <w:r w:rsidR="00C409FE" w:rsidRPr="00930FF2">
        <w:rPr>
          <w:bCs/>
        </w:rPr>
        <w:t xml:space="preserve"> do smanjenja istorijske stope prinosa</w:t>
      </w:r>
      <w:r w:rsidR="00764D4C" w:rsidRPr="00930FF2">
        <w:rPr>
          <w:bCs/>
        </w:rPr>
        <w:t xml:space="preserve"> fonda</w:t>
      </w:r>
      <w:r w:rsidR="00C409FE" w:rsidRPr="00930FF2">
        <w:rPr>
          <w:bCs/>
        </w:rPr>
        <w:t xml:space="preserve"> u ovom period</w:t>
      </w:r>
      <w:r w:rsidR="00764D4C" w:rsidRPr="00930FF2">
        <w:rPr>
          <w:bCs/>
        </w:rPr>
        <w:t>u.</w:t>
      </w:r>
    </w:p>
    <w:p w:rsidR="00395D0A" w:rsidRPr="00930FF2" w:rsidRDefault="00395D0A" w:rsidP="00395D0A">
      <w:pPr>
        <w:autoSpaceDE w:val="0"/>
        <w:autoSpaceDN w:val="0"/>
        <w:adjustRightInd w:val="0"/>
        <w:ind w:left="0" w:firstLine="0"/>
        <w:contextualSpacing/>
      </w:pPr>
      <w:r w:rsidRPr="00930FF2">
        <w:rPr>
          <w:bCs/>
        </w:rPr>
        <w:t xml:space="preserve">Fond je namijenjen podjednako individualnim i institucionalnim ulagačima, što znači da u njega mogu ulagati i fizičke i pravne osobe zainteresovane da se njihova slobodna novčana sredstva </w:t>
      </w:r>
      <w:r w:rsidRPr="00930FF2">
        <w:rPr>
          <w:bCs/>
        </w:rPr>
        <w:lastRenderedPageBreak/>
        <w:t xml:space="preserve">ulažu na odabranim finansijskim tržištima, tj. </w:t>
      </w:r>
      <w:r w:rsidRPr="00930FF2">
        <w:t>svim fizičkim i pravnim osobama sa dugoročnim horizontom ulaganja i većom tolerancijom prema riziku, koji žele iskoristiti mogućnost ostvarivanja viših prinosa koje pružaju</w:t>
      </w:r>
    </w:p>
    <w:p w:rsidR="00395D0A" w:rsidRPr="00930FF2" w:rsidRDefault="00395D0A" w:rsidP="00395D0A">
      <w:pPr>
        <w:autoSpaceDE w:val="0"/>
        <w:autoSpaceDN w:val="0"/>
        <w:adjustRightInd w:val="0"/>
        <w:ind w:left="0" w:firstLine="0"/>
        <w:contextualSpacing/>
      </w:pPr>
      <w:r w:rsidRPr="00930FF2">
        <w:t xml:space="preserve">akcije uz stabilnost koju nude ulaganja u obveznice, iskusnijim investitorima koji žele </w:t>
      </w:r>
      <w:r w:rsidR="0074596E" w:rsidRPr="00930FF2">
        <w:t>postići specifične investicione</w:t>
      </w:r>
      <w:r w:rsidRPr="00930FF2">
        <w:t xml:space="preserve"> ciljeve te investitorima koji žele diverzifikovati strukturu svoje imovine.</w:t>
      </w:r>
    </w:p>
    <w:p w:rsidR="00395D0A" w:rsidRPr="00930FF2" w:rsidRDefault="00395D0A" w:rsidP="00395D0A">
      <w:pPr>
        <w:autoSpaceDE w:val="0"/>
        <w:autoSpaceDN w:val="0"/>
        <w:adjustRightInd w:val="0"/>
        <w:ind w:left="0" w:firstLine="0"/>
        <w:contextualSpacing/>
      </w:pPr>
      <w:r w:rsidRPr="00930FF2">
        <w:t>Iznos koji je razumno investirati u Fond prvenstveno zavisi o ličnim preferencijama i materijalnim mogućnostima svakog investitora. Prije ulaganja potencijalnim se investitorima preporučuje da sagledaju cjelokupnu ličnu imovinu, trenutne i buduće potrebe za novčanim sredstvima te sklonost preuzimanja rizika povezanih s određenom vrstom ulaganja. Pri tome je prikladno svoju imovinu primjereno diverzifikovati kako ne bi bila izložena riziku ulaganja u samo jednu vrstu imovine, hartije od vrijednosti, odnosno investicijskog fonda.</w:t>
      </w:r>
    </w:p>
    <w:p w:rsidR="00395D0A" w:rsidRPr="00930FF2" w:rsidRDefault="00395D0A" w:rsidP="00395D0A">
      <w:pPr>
        <w:ind w:left="0" w:firstLine="0"/>
        <w:contextualSpacing/>
        <w:rPr>
          <w:bCs/>
        </w:rPr>
      </w:pPr>
      <w:r w:rsidRPr="00930FF2">
        <w:rPr>
          <w:bCs/>
        </w:rPr>
        <w:t>Premda je strategijom ulaganja dozvoljeno da se dio imovine Fonda ulaže u obveznice i kratkoročne vrijednosne papire, težište ulaganja je na akcijama. Ulaganje u Fond sadrži određeni stepen rizika.</w:t>
      </w:r>
    </w:p>
    <w:p w:rsidR="00B86298" w:rsidRPr="00930FF2" w:rsidRDefault="00B86298" w:rsidP="00B86298">
      <w:pPr>
        <w:ind w:left="0" w:firstLine="0"/>
        <w:rPr>
          <w:bCs/>
        </w:rPr>
      </w:pPr>
    </w:p>
    <w:p w:rsidR="00FD2A0C" w:rsidRPr="00930FF2" w:rsidRDefault="00362BC2" w:rsidP="00F553CF">
      <w:pPr>
        <w:pStyle w:val="ListParagraph"/>
        <w:numPr>
          <w:ilvl w:val="0"/>
          <w:numId w:val="10"/>
        </w:numPr>
        <w:autoSpaceDE w:val="0"/>
        <w:autoSpaceDN w:val="0"/>
        <w:adjustRightInd w:val="0"/>
        <w:rPr>
          <w:b/>
          <w:bCs/>
        </w:rPr>
      </w:pPr>
      <w:r w:rsidRPr="00930FF2">
        <w:rPr>
          <w:b/>
        </w:rPr>
        <w:t>OGRANIČENJA ULAGANJA</w:t>
      </w:r>
    </w:p>
    <w:p w:rsidR="0040633F" w:rsidRPr="00930FF2" w:rsidRDefault="0040633F" w:rsidP="0040633F">
      <w:pPr>
        <w:pStyle w:val="BodyText"/>
        <w:contextualSpacing/>
      </w:pPr>
      <w:r w:rsidRPr="00930FF2">
        <w:t>Investiciona politika Fonda se sprovodi ulaganjima u: akcije do 66,00% neto vrijednosti imovine Fonda, u obveznice,  trezorske zapise i druge dužničke hartije najviše do 22,00% neto vrijednosti imovine Fonda, u depozite i plasmane najviše do 10,00%, u gotovinu i gotovinske ekvivalente najviše do 1,00% neto vrijednosti imovine Fonda, dok će najviše do 1,00% vrijednosti neto imovine Fonda biti u potraživanjima Fonda.</w:t>
      </w:r>
    </w:p>
    <w:p w:rsidR="009B375D" w:rsidRPr="00930FF2" w:rsidRDefault="009B375D" w:rsidP="009B375D">
      <w:pPr>
        <w:ind w:left="0" w:firstLine="0"/>
        <w:contextualSpacing/>
        <w:rPr>
          <w:lang w:val="sr-Latn-BA"/>
        </w:rPr>
      </w:pPr>
      <w:r w:rsidRPr="00930FF2">
        <w:t>U portfelju fonda se nalazi, ili se može nalaziti sljedeća imovina:</w:t>
      </w:r>
    </w:p>
    <w:p w:rsidR="009B375D" w:rsidRPr="00930FF2" w:rsidRDefault="009B375D" w:rsidP="00F553CF">
      <w:pPr>
        <w:pStyle w:val="ListParagraph"/>
        <w:numPr>
          <w:ilvl w:val="0"/>
          <w:numId w:val="9"/>
        </w:numPr>
        <w:rPr>
          <w:lang w:val="sr-Latn-BA"/>
        </w:rPr>
      </w:pPr>
      <w:r w:rsidRPr="00930FF2">
        <w:rPr>
          <w:lang w:val="sr-Latn-BA"/>
        </w:rPr>
        <w:t>akcije – hartije od vrijednosti emitenata sa liste privatizovanih strateških preduzeća, srednjih i malih preduzeća, sa sjedištem u Republici Srpskoj, koje su prenosive bez ograničenja i kojima se trguje na uređenim tržištima Republike Srpske,</w:t>
      </w:r>
    </w:p>
    <w:p w:rsidR="009B375D" w:rsidRPr="00930FF2" w:rsidRDefault="009B375D" w:rsidP="00F553CF">
      <w:pPr>
        <w:pStyle w:val="ListParagraph"/>
        <w:numPr>
          <w:ilvl w:val="0"/>
          <w:numId w:val="9"/>
        </w:numPr>
        <w:rPr>
          <w:lang w:val="sr-Latn-BA"/>
        </w:rPr>
      </w:pPr>
      <w:r w:rsidRPr="00930FF2">
        <w:rPr>
          <w:lang w:val="sr-Latn-BA"/>
        </w:rPr>
        <w:t xml:space="preserve">hartije od vrijednosti emitovanim novim emisijama akcija, koje su prenosive bez ograničenja, i koje se uvrštavaju na berze ili na druga uređena tržišta: Republike Srpske, Federacije BiH, EU, OECD i CEFTA, pod uslovom da je prospektima emisija predviđena takva mogućnost, </w:t>
      </w:r>
    </w:p>
    <w:p w:rsidR="009B375D" w:rsidRPr="00930FF2" w:rsidRDefault="009B375D" w:rsidP="00F553CF">
      <w:pPr>
        <w:pStyle w:val="ListParagraph"/>
        <w:numPr>
          <w:ilvl w:val="0"/>
          <w:numId w:val="9"/>
        </w:numPr>
        <w:rPr>
          <w:lang w:val="sr-Latn-BA"/>
        </w:rPr>
      </w:pPr>
      <w:r w:rsidRPr="00930FF2">
        <w:rPr>
          <w:lang w:val="sr-Latn-BA"/>
        </w:rPr>
        <w:t>oročeni novčani depoziti kod poslovnih banaka sa sjedištem u Republici Srpskoj, koji se u svakom trenutku mogu razročiti,</w:t>
      </w:r>
    </w:p>
    <w:p w:rsidR="009B375D" w:rsidRPr="00930FF2" w:rsidRDefault="009B375D" w:rsidP="00F553CF">
      <w:pPr>
        <w:pStyle w:val="ListParagraph"/>
        <w:numPr>
          <w:ilvl w:val="0"/>
          <w:numId w:val="9"/>
        </w:numPr>
        <w:rPr>
          <w:lang w:val="sr-Latn-BA"/>
        </w:rPr>
      </w:pPr>
      <w:r w:rsidRPr="00930FF2">
        <w:rPr>
          <w:lang w:val="sr-Latn-BA"/>
        </w:rPr>
        <w:t>akcije zatvorenih investicionih fondova, i udjele otvorenih investicionih fondova, kojima se trguje na uređenim tržištima: BiH, EU, OECD i CEFTA, pod uslovom da se obezbijedi adekvatna zaštita investitora, tako da nivo zaštite investitora i obaveza izvještavanja i informisanja fonda bude jednaka zaštiti propisanoj zakonom, naročito u pogledu ograničenja ulaganja, i da ovi fondovi imaju ovlašćenja regulatorne Komisije, ili drugog odgovarajućeg organa države u kojoj imaju sjedište i</w:t>
      </w:r>
    </w:p>
    <w:p w:rsidR="009B375D" w:rsidRPr="00930FF2" w:rsidRDefault="009B375D" w:rsidP="00F553CF">
      <w:pPr>
        <w:pStyle w:val="ListParagraph"/>
        <w:numPr>
          <w:ilvl w:val="0"/>
          <w:numId w:val="9"/>
        </w:numPr>
        <w:rPr>
          <w:lang w:val="sr-Latn-BA"/>
        </w:rPr>
      </w:pPr>
      <w:r w:rsidRPr="00930FF2">
        <w:rPr>
          <w:lang w:val="sr-Latn-BA"/>
        </w:rPr>
        <w:t>novčana sredstva na računima fonda – gotovina fonda.</w:t>
      </w:r>
    </w:p>
    <w:p w:rsidR="009B375D" w:rsidRPr="00930FF2" w:rsidRDefault="009B375D" w:rsidP="009B375D">
      <w:pPr>
        <w:contextualSpacing/>
        <w:rPr>
          <w:lang w:val="sr-Latn-BA"/>
        </w:rPr>
      </w:pPr>
      <w:r w:rsidRPr="00930FF2">
        <w:rPr>
          <w:lang w:val="sr-Latn-BA"/>
        </w:rPr>
        <w:t>Dozvoljena ulaganja u fond se vrše po kriterijumima, kojima se obezbijeđuje:</w:t>
      </w:r>
    </w:p>
    <w:p w:rsidR="009B375D" w:rsidRPr="00930FF2" w:rsidRDefault="009B375D" w:rsidP="00F553CF">
      <w:pPr>
        <w:pStyle w:val="ListParagraph"/>
        <w:numPr>
          <w:ilvl w:val="0"/>
          <w:numId w:val="9"/>
        </w:numPr>
        <w:rPr>
          <w:lang w:val="sr-Latn-BA"/>
        </w:rPr>
      </w:pPr>
      <w:r w:rsidRPr="00930FF2">
        <w:rPr>
          <w:lang w:val="sr-Latn-BA"/>
        </w:rPr>
        <w:t>ostvarivanje planirane stope prinosa na uložena sredstva, za svako ulaganje pojedinačno,</w:t>
      </w:r>
    </w:p>
    <w:p w:rsidR="009B375D" w:rsidRPr="00930FF2" w:rsidRDefault="009B375D" w:rsidP="00F553CF">
      <w:pPr>
        <w:pStyle w:val="ListParagraph"/>
        <w:numPr>
          <w:ilvl w:val="0"/>
          <w:numId w:val="9"/>
        </w:numPr>
        <w:rPr>
          <w:lang w:val="sr-Latn-BA"/>
        </w:rPr>
      </w:pPr>
      <w:r w:rsidRPr="00930FF2">
        <w:rPr>
          <w:lang w:val="sr-Latn-BA"/>
        </w:rPr>
        <w:t>smanjivanje rizika ulaganjem sredstava u dužničke hartije, koje emituju ili za koje garantuju: Republika Srpska, Federacija BiH i države EU,</w:t>
      </w:r>
    </w:p>
    <w:p w:rsidR="009B375D" w:rsidRPr="00930FF2" w:rsidRDefault="009B375D" w:rsidP="00F553CF">
      <w:pPr>
        <w:pStyle w:val="ListParagraph"/>
        <w:numPr>
          <w:ilvl w:val="0"/>
          <w:numId w:val="9"/>
        </w:numPr>
        <w:rPr>
          <w:lang w:val="sr-Latn-BA"/>
        </w:rPr>
      </w:pPr>
      <w:r w:rsidRPr="00930FF2">
        <w:rPr>
          <w:lang w:val="sr-Latn-BA"/>
        </w:rPr>
        <w:t>promjena strukture portfelja fonda,</w:t>
      </w:r>
    </w:p>
    <w:p w:rsidR="009B375D" w:rsidRPr="00930FF2" w:rsidRDefault="009B375D" w:rsidP="00F553CF">
      <w:pPr>
        <w:pStyle w:val="ListParagraph"/>
        <w:numPr>
          <w:ilvl w:val="0"/>
          <w:numId w:val="9"/>
        </w:numPr>
        <w:rPr>
          <w:lang w:val="sr-Latn-BA"/>
        </w:rPr>
      </w:pPr>
      <w:r w:rsidRPr="00930FF2">
        <w:rPr>
          <w:lang w:val="sr-Latn-BA"/>
        </w:rPr>
        <w:t>velika vjerovatnoću naplate dospjelih kamata i anuiteta na dužničke hartije,</w:t>
      </w:r>
    </w:p>
    <w:p w:rsidR="009B375D" w:rsidRPr="00930FF2" w:rsidRDefault="009B375D" w:rsidP="00F553CF">
      <w:pPr>
        <w:pStyle w:val="ListParagraph"/>
        <w:numPr>
          <w:ilvl w:val="0"/>
          <w:numId w:val="9"/>
        </w:numPr>
        <w:rPr>
          <w:lang w:val="sr-Latn-BA"/>
        </w:rPr>
      </w:pPr>
      <w:r w:rsidRPr="00930FF2">
        <w:rPr>
          <w:lang w:val="sr-Latn-BA"/>
        </w:rPr>
        <w:t>mogućnost relativno brze prodaje ulaganja iz portfelja fonda, radi blagovremene isplate vlasnika udjela,</w:t>
      </w:r>
    </w:p>
    <w:p w:rsidR="009B375D" w:rsidRPr="00930FF2" w:rsidRDefault="009B375D" w:rsidP="00F553CF">
      <w:pPr>
        <w:pStyle w:val="ListParagraph"/>
        <w:numPr>
          <w:ilvl w:val="0"/>
          <w:numId w:val="9"/>
        </w:numPr>
        <w:rPr>
          <w:lang w:val="sr-Latn-BA"/>
        </w:rPr>
      </w:pPr>
      <w:r w:rsidRPr="00930FF2">
        <w:rPr>
          <w:lang w:val="sr-Latn-BA"/>
        </w:rPr>
        <w:lastRenderedPageBreak/>
        <w:t>planirani rast vrijednosti imovine fonda, i</w:t>
      </w:r>
    </w:p>
    <w:p w:rsidR="009B375D" w:rsidRPr="00930FF2" w:rsidRDefault="009B375D" w:rsidP="00F553CF">
      <w:pPr>
        <w:pStyle w:val="ListParagraph"/>
        <w:numPr>
          <w:ilvl w:val="0"/>
          <w:numId w:val="9"/>
        </w:numPr>
        <w:rPr>
          <w:lang w:val="sr-Latn-BA"/>
        </w:rPr>
      </w:pPr>
      <w:r w:rsidRPr="00930FF2">
        <w:rPr>
          <w:lang w:val="sr-Latn-BA"/>
        </w:rPr>
        <w:t>kratkoročna i dugoročna likvidnost fonda, radi blagovremenog izmirenja dospjelih obaveza fonda.</w:t>
      </w:r>
    </w:p>
    <w:p w:rsidR="009B375D" w:rsidRPr="00930FF2" w:rsidRDefault="009B375D" w:rsidP="009B375D">
      <w:pPr>
        <w:ind w:left="0" w:firstLine="0"/>
        <w:contextualSpacing/>
      </w:pPr>
      <w:r w:rsidRPr="00930FF2">
        <w:t>Ulaganje imovine Fonda podliježe sljedećim ograničenjima:</w:t>
      </w:r>
    </w:p>
    <w:p w:rsidR="009B375D" w:rsidRPr="00930FF2" w:rsidRDefault="009B375D" w:rsidP="00F553CF">
      <w:pPr>
        <w:pStyle w:val="ListParagraph"/>
        <w:numPr>
          <w:ilvl w:val="0"/>
          <w:numId w:val="16"/>
        </w:numPr>
        <w:rPr>
          <w:color w:val="000000"/>
        </w:rPr>
      </w:pPr>
      <w:r w:rsidRPr="00930FF2">
        <w:rPr>
          <w:color w:val="000000"/>
        </w:rPr>
        <w:t xml:space="preserve">najviše 10% neto vrijednosti imovine može biti uloženo u prenosive hartije od vrijednosti i instrumente tržišta novca, osim u slučajevim utvrđenim zakonom, te u novoemitovane prenosive hartije od vrijednosti pod uslovima utvrđenim zakonom. </w:t>
      </w:r>
    </w:p>
    <w:p w:rsidR="009B375D" w:rsidRPr="00930FF2" w:rsidRDefault="009B375D" w:rsidP="00F553CF">
      <w:pPr>
        <w:pStyle w:val="ListParagraph"/>
        <w:numPr>
          <w:ilvl w:val="0"/>
          <w:numId w:val="16"/>
        </w:numPr>
        <w:rPr>
          <w:color w:val="000000"/>
        </w:rPr>
      </w:pPr>
      <w:r w:rsidRPr="00930FF2">
        <w:t xml:space="preserve">najviše 10% neto vrijednosti imovine fonda može biti uloženo u prenosive hartije od vrijednosti ili instrumente tržišta novca jednog emitenta, pod uslovom da, ako je vrijednost prenosivih hartija od vrijednosti ili instrumenata tržišta novca jednog emitenta koji čine imovinu fonda veća od 5% neto vrijednosti imovine fonda, zbir vrijednosti tih ulaganja za sve takve emitente ne može preći 40% neto vrijednosti imovine fonda. </w:t>
      </w:r>
    </w:p>
    <w:p w:rsidR="009B375D" w:rsidRPr="00930FF2" w:rsidRDefault="009B375D" w:rsidP="009B375D">
      <w:pPr>
        <w:contextualSpacing/>
      </w:pPr>
      <w:r w:rsidRPr="00930FF2">
        <w:t xml:space="preserve">Izuzetno od prethodnog stava, može se ulagati: </w:t>
      </w:r>
    </w:p>
    <w:p w:rsidR="009B375D" w:rsidRPr="00930FF2" w:rsidRDefault="009B375D" w:rsidP="00F553CF">
      <w:pPr>
        <w:pStyle w:val="ListParagraph"/>
        <w:numPr>
          <w:ilvl w:val="0"/>
          <w:numId w:val="17"/>
        </w:numPr>
      </w:pPr>
      <w:r w:rsidRPr="00930FF2">
        <w:t xml:space="preserve">bez ograničenja u prenosive hartije od vrijednosti ili instrumente tržišta novca čiji je emitent ili za koje garantuje Republika Srpska, Bosna i Hercegovina ili jedinica lokalne samouprave Republike Srpske, država članica ili jedinica lokalne uprave države članice, država koja nije članica Evropske unije ili međunarodna javna organizacija čije su članice jedna ili više država članica, pod uslovom da: </w:t>
      </w:r>
    </w:p>
    <w:p w:rsidR="009B375D" w:rsidRPr="00930FF2" w:rsidRDefault="009B375D" w:rsidP="00F553CF">
      <w:pPr>
        <w:pStyle w:val="ListParagraph"/>
        <w:numPr>
          <w:ilvl w:val="0"/>
          <w:numId w:val="15"/>
        </w:numPr>
      </w:pPr>
      <w:r w:rsidRPr="00930FF2">
        <w:t xml:space="preserve">u prospektu, statutu i promotivnim materijalima fonda budu jasno navedene države, jedinice lokalne uprave ili međunarodne organizacije u čije se hartije od vrijednosti i instrumente tržišta novca može ulagati više od 35% neto vrijednosti imovine fonda, </w:t>
      </w:r>
    </w:p>
    <w:p w:rsidR="009B375D" w:rsidRPr="00930FF2" w:rsidRDefault="009B375D" w:rsidP="00F553CF">
      <w:pPr>
        <w:pStyle w:val="ListParagraph"/>
        <w:numPr>
          <w:ilvl w:val="0"/>
          <w:numId w:val="15"/>
        </w:numPr>
      </w:pPr>
      <w:r w:rsidRPr="00930FF2">
        <w:t xml:space="preserve">se imovina fonda sastoji od najmanje šest različitih hartija od vrijednosti ili instrumenata tržišta novca, i </w:t>
      </w:r>
    </w:p>
    <w:p w:rsidR="009B375D" w:rsidRPr="00930FF2" w:rsidRDefault="009B375D" w:rsidP="00F553CF">
      <w:pPr>
        <w:pStyle w:val="ListParagraph"/>
        <w:numPr>
          <w:ilvl w:val="0"/>
          <w:numId w:val="15"/>
        </w:numPr>
      </w:pPr>
      <w:r w:rsidRPr="00930FF2">
        <w:t>da vrijednost nijedne pojedinačne hartije od vrijednosti ili instrumenta tržišta novca ne prelazi 30% neto vrijednosti imovine fonda.</w:t>
      </w:r>
    </w:p>
    <w:p w:rsidR="009B375D" w:rsidRPr="00930FF2" w:rsidRDefault="009B375D" w:rsidP="00F553CF">
      <w:pPr>
        <w:pStyle w:val="ListParagraph"/>
        <w:numPr>
          <w:ilvl w:val="0"/>
          <w:numId w:val="17"/>
        </w:numPr>
      </w:pPr>
      <w:r w:rsidRPr="00930FF2">
        <w:t xml:space="preserve">do 25% neto vrijednosti imovine fonda u obveznice koje odobri Komisija, a koje emituju banke registrovane u Republici Srpskoj ili državi članici koje su na osnovu nekog zakona ili propisa predmet posebnog javnog nadzora sa svrhom zaštite investitora u te obveznice. Sredstva prikupljena emisijom takvih obveznica moraju biti uložena u skladu sa zakonom u imovinu koja će do dospijeća obveznica omogućiti ispunjenje obaveza koje proizlaze iz obveznica, i koja bi u slučaju nesolventnosti emitenta prioritetno poslužila za povrat glavnice i kamata iz tih obaveznica. Ako je više od 5% neto vrijednosti imovine fonda uloženo u takve obveznice jednog emitenta, ukupna vrijednost tih ulaganja koja čine više od 5% neto vrijednosti imovine fonda ne može preći 80% neto vrijednosti imovine fonda, </w:t>
      </w:r>
    </w:p>
    <w:p w:rsidR="009B375D" w:rsidRPr="00930FF2" w:rsidRDefault="009B375D" w:rsidP="00F553CF">
      <w:pPr>
        <w:pStyle w:val="ListParagraph"/>
        <w:numPr>
          <w:ilvl w:val="0"/>
          <w:numId w:val="17"/>
        </w:numPr>
      </w:pPr>
      <w:r w:rsidRPr="00930FF2">
        <w:t xml:space="preserve">do 20% neto vrijednosti imovine fonda u hartije od vrijednosti ili instrumente tržišta novca čiji su emitenti lica koja čine povezana društva, u skladu sa odredbama zakona kojima se uređuje poslovanje privrednih društava i zakona o investicionim fondovima. </w:t>
      </w:r>
    </w:p>
    <w:p w:rsidR="009B375D" w:rsidRPr="00930FF2" w:rsidRDefault="009B375D" w:rsidP="009B375D">
      <w:pPr>
        <w:ind w:left="720" w:firstLine="0"/>
        <w:contextualSpacing/>
      </w:pPr>
      <w:r w:rsidRPr="00930FF2">
        <w:t xml:space="preserve">Ovo ograničenje ne odnosi se na emitente koji se smatraju emitentima od strateškog značaja u skladu sa propisima o privatizaciji državnog kapitala u preduzećima. </w:t>
      </w:r>
      <w:r w:rsidRPr="00930FF2">
        <w:tab/>
      </w:r>
    </w:p>
    <w:p w:rsidR="009B375D" w:rsidRPr="00930FF2" w:rsidRDefault="009B375D" w:rsidP="00F553CF">
      <w:pPr>
        <w:pStyle w:val="ListParagraph"/>
        <w:numPr>
          <w:ilvl w:val="0"/>
          <w:numId w:val="16"/>
        </w:numPr>
      </w:pPr>
      <w:r w:rsidRPr="00930FF2">
        <w:t>najviše 20% neto vrijednosti imovine fonda može se položiti kao depozit u istu banku.</w:t>
      </w:r>
    </w:p>
    <w:p w:rsidR="009B375D" w:rsidRPr="00930FF2" w:rsidRDefault="009B375D" w:rsidP="00F553CF">
      <w:pPr>
        <w:pStyle w:val="ListParagraph"/>
        <w:numPr>
          <w:ilvl w:val="0"/>
          <w:numId w:val="16"/>
        </w:numPr>
      </w:pPr>
      <w:r w:rsidRPr="00930FF2">
        <w:t xml:space="preserve">izloženost prema jednom licu na osnovu finansijskih derivata ugovorenih s tim licem na drugom organizovanom tržištu (OTC) ne može biti veća od: </w:t>
      </w:r>
    </w:p>
    <w:p w:rsidR="009B375D" w:rsidRPr="00930FF2" w:rsidRDefault="009B375D" w:rsidP="00F553CF">
      <w:pPr>
        <w:pStyle w:val="ListParagraph"/>
        <w:numPr>
          <w:ilvl w:val="0"/>
          <w:numId w:val="18"/>
        </w:numPr>
      </w:pPr>
      <w:r w:rsidRPr="00930FF2">
        <w:t>10% neto vrijednosti imovine, ako se radi o banci,</w:t>
      </w:r>
    </w:p>
    <w:p w:rsidR="009B375D" w:rsidRPr="00930FF2" w:rsidRDefault="009B375D" w:rsidP="00F553CF">
      <w:pPr>
        <w:pStyle w:val="ListParagraph"/>
        <w:numPr>
          <w:ilvl w:val="0"/>
          <w:numId w:val="18"/>
        </w:numPr>
      </w:pPr>
      <w:r w:rsidRPr="00930FF2">
        <w:t xml:space="preserve"> 5% neto vrijednosti imovine, ako se radi o nekom drugom pravnom licu, </w:t>
      </w:r>
    </w:p>
    <w:p w:rsidR="009B375D" w:rsidRPr="00930FF2" w:rsidRDefault="009B375D" w:rsidP="00F553CF">
      <w:pPr>
        <w:pStyle w:val="ListParagraph"/>
        <w:numPr>
          <w:ilvl w:val="0"/>
          <w:numId w:val="16"/>
        </w:numPr>
      </w:pPr>
      <w:r w:rsidRPr="00930FF2">
        <w:t xml:space="preserve">ukupna vrijednost ulaganja u prenosive hartije od vrijednosti ili instrumente tržišta novca </w:t>
      </w:r>
    </w:p>
    <w:p w:rsidR="009B375D" w:rsidRPr="00930FF2" w:rsidRDefault="009B375D" w:rsidP="009B375D">
      <w:pPr>
        <w:pStyle w:val="ListParagraph"/>
        <w:ind w:left="360" w:firstLine="0"/>
      </w:pPr>
      <w:r w:rsidRPr="00930FF2">
        <w:lastRenderedPageBreak/>
        <w:t xml:space="preserve">čiji je emitent isto lice, i vrijednosti depozita položenih kod tog lica i izloženosti na osnovu finansijskih derivata kojima se trguje na drugom organizovanom tržištu (OTC) ugovorenih sa </w:t>
      </w:r>
    </w:p>
    <w:p w:rsidR="009B375D" w:rsidRPr="00930FF2" w:rsidRDefault="009B375D" w:rsidP="009B375D">
      <w:pPr>
        <w:pStyle w:val="ListParagraph"/>
        <w:ind w:left="0" w:firstLine="360"/>
      </w:pPr>
      <w:r w:rsidRPr="00930FF2">
        <w:t xml:space="preserve">tim licem, ne može preći 20% neto vrijednosti imovine fonda, </w:t>
      </w:r>
    </w:p>
    <w:p w:rsidR="009B375D" w:rsidRPr="00930FF2" w:rsidRDefault="009B375D" w:rsidP="00F553CF">
      <w:pPr>
        <w:pStyle w:val="ListParagraph"/>
        <w:numPr>
          <w:ilvl w:val="0"/>
          <w:numId w:val="16"/>
        </w:numPr>
      </w:pPr>
      <w:r w:rsidRPr="00930FF2">
        <w:t>najviše 20% neto vrijednosti imovine fonda može biti uloženo u udjele ili akcije jednog investicionog fonda, uz uslov da najviše 30% neto vrijednosti imovine fonda može biti uloženo u fondove.</w:t>
      </w:r>
    </w:p>
    <w:p w:rsidR="009B375D" w:rsidRPr="00930FF2" w:rsidRDefault="009B375D" w:rsidP="00F553CF">
      <w:pPr>
        <w:pStyle w:val="ListParagraph"/>
        <w:numPr>
          <w:ilvl w:val="0"/>
          <w:numId w:val="16"/>
        </w:numPr>
      </w:pPr>
      <w:r w:rsidRPr="00930FF2">
        <w:t>ako se imovina fonda ulaže u udjele ili akcije investicionih fondova kojima direktno ili indirektno upravlja isto društvo za upravljanje, ili kojima upravlja drugo društvo sa kojim je to društvo povezano zajedničkom upravom ili vladajućim uticajem, ili direktnim ili indirektnim međusobnim vlasničkim udjelom, na takva se ulaganja fondu ne može naplatiti ulazna ili izlazna naknada.</w:t>
      </w:r>
    </w:p>
    <w:p w:rsidR="009B375D" w:rsidRPr="00930FF2" w:rsidRDefault="009B375D" w:rsidP="00F553CF">
      <w:pPr>
        <w:pStyle w:val="ListParagraph"/>
        <w:numPr>
          <w:ilvl w:val="0"/>
          <w:numId w:val="16"/>
        </w:numPr>
      </w:pPr>
      <w:r w:rsidRPr="00930FF2">
        <w:t>ako se imovina fonda ulaže u udjele ili akcije drugih investicionih fondova, u prospektu fonda, uz maksimalnu naknadu za upravljanje koja se može naplatiti na imovinu tog fonda, mora biti jasno naznačena i maksimalna naknada za upravljanje koja se može naplatiti na imovinu fondova u koje namjerava ulagati, a u godišnjim izvještajima fonda mora jasno biti navedena maksimalna ukupna naknada za upravljanje koja je bila naplaćena tom fondu i drugom fondu u koji je taj fond uložio, izražena u procentu imovine fonda koji je uložio u udjele ili akcije drugog investicionog fonda,</w:t>
      </w:r>
    </w:p>
    <w:p w:rsidR="009B375D" w:rsidRPr="00930FF2" w:rsidRDefault="009B375D" w:rsidP="00F553CF">
      <w:pPr>
        <w:pStyle w:val="ListParagraph"/>
        <w:numPr>
          <w:ilvl w:val="0"/>
          <w:numId w:val="16"/>
        </w:numPr>
      </w:pPr>
      <w:r w:rsidRPr="00930FF2">
        <w:t xml:space="preserve"> Fond ne može biti vlasnik: </w:t>
      </w:r>
    </w:p>
    <w:p w:rsidR="009B375D" w:rsidRPr="00930FF2" w:rsidRDefault="009B375D" w:rsidP="00F553CF">
      <w:pPr>
        <w:pStyle w:val="ListParagraph"/>
        <w:numPr>
          <w:ilvl w:val="0"/>
          <w:numId w:val="19"/>
        </w:numPr>
      </w:pPr>
      <w:r w:rsidRPr="00930FF2">
        <w:t>više od 10% akcija sa pravom glasa jednog emitenta,</w:t>
      </w:r>
    </w:p>
    <w:p w:rsidR="009B375D" w:rsidRPr="00930FF2" w:rsidRDefault="009B375D" w:rsidP="00F553CF">
      <w:pPr>
        <w:pStyle w:val="ListParagraph"/>
        <w:numPr>
          <w:ilvl w:val="0"/>
          <w:numId w:val="19"/>
        </w:numPr>
      </w:pPr>
      <w:r w:rsidRPr="00930FF2">
        <w:t>više od 10% akcija bez prava glasa jednog emitenta,</w:t>
      </w:r>
    </w:p>
    <w:p w:rsidR="009B375D" w:rsidRPr="00930FF2" w:rsidRDefault="009B375D" w:rsidP="00F553CF">
      <w:pPr>
        <w:pStyle w:val="ListParagraph"/>
        <w:numPr>
          <w:ilvl w:val="0"/>
          <w:numId w:val="19"/>
        </w:numPr>
      </w:pPr>
      <w:r w:rsidRPr="00930FF2">
        <w:t>10% dužničkih hartija od vrijednosti emitovanih od strane jednog emitenta,</w:t>
      </w:r>
    </w:p>
    <w:p w:rsidR="009B375D" w:rsidRPr="00930FF2" w:rsidRDefault="009B375D" w:rsidP="00F553CF">
      <w:pPr>
        <w:pStyle w:val="ListParagraph"/>
        <w:numPr>
          <w:ilvl w:val="0"/>
          <w:numId w:val="19"/>
        </w:numPr>
      </w:pPr>
      <w:r w:rsidRPr="00930FF2">
        <w:t>25% udjela pojedinog investicionog fonda,</w:t>
      </w:r>
    </w:p>
    <w:p w:rsidR="009B375D" w:rsidRPr="00930FF2" w:rsidRDefault="009B375D" w:rsidP="00F553CF">
      <w:pPr>
        <w:pStyle w:val="ListParagraph"/>
        <w:numPr>
          <w:ilvl w:val="0"/>
          <w:numId w:val="19"/>
        </w:numPr>
      </w:pPr>
      <w:r w:rsidRPr="00930FF2">
        <w:t xml:space="preserve">10% instrumenata tržišta novca jednog emitenta, uz izuzetak za dužničke hartije od </w:t>
      </w:r>
      <w:r w:rsidR="0040633F" w:rsidRPr="00930FF2">
        <w:t xml:space="preserve"> </w:t>
      </w:r>
      <w:r w:rsidRPr="00930FF2">
        <w:t xml:space="preserve">vrijednosti i instrumente tržišta novca čiji su emitent Republika Srpska, Bosna </w:t>
      </w:r>
      <w:r w:rsidR="0040633F" w:rsidRPr="00930FF2">
        <w:t xml:space="preserve">i </w:t>
      </w:r>
      <w:r w:rsidRPr="00930FF2">
        <w:t>Hercegovina, jedinica lokalne samouprave Republike Srpske, država članica, jedinica</w:t>
      </w:r>
      <w:r w:rsidR="0040633F" w:rsidRPr="00930FF2">
        <w:t xml:space="preserve"> </w:t>
      </w:r>
      <w:r w:rsidRPr="00930FF2">
        <w:t>lokalne uprave države članice, države koja nije članica Evropske unije, međunarodna</w:t>
      </w:r>
      <w:r w:rsidR="0040633F" w:rsidRPr="00930FF2">
        <w:t xml:space="preserve"> </w:t>
      </w:r>
      <w:r w:rsidRPr="00930FF2">
        <w:t xml:space="preserve">javna organizacija čije su članice jedna ili više država članica, </w:t>
      </w:r>
    </w:p>
    <w:p w:rsidR="009B375D" w:rsidRPr="00930FF2" w:rsidRDefault="009B375D" w:rsidP="00F553CF">
      <w:pPr>
        <w:pStyle w:val="ListParagraph"/>
        <w:numPr>
          <w:ilvl w:val="0"/>
          <w:numId w:val="16"/>
        </w:numPr>
      </w:pPr>
      <w:r w:rsidRPr="00930FF2">
        <w:t xml:space="preserve">ukupna izloženost Fonda prema finansijskim derivatima ni u kom slučaju ne može biti veća od neto vrijednosti imovine fonda, </w:t>
      </w:r>
    </w:p>
    <w:p w:rsidR="009B375D" w:rsidRPr="00930FF2" w:rsidRDefault="009B375D" w:rsidP="00F553CF">
      <w:pPr>
        <w:pStyle w:val="ListParagraph"/>
        <w:numPr>
          <w:ilvl w:val="0"/>
          <w:numId w:val="16"/>
        </w:numPr>
      </w:pPr>
      <w:r w:rsidRPr="00930FF2">
        <w:t xml:space="preserve">Fond ne može ulagati u plemenite metale ni u hartije od vrijednosti ili druge instrumente emitovane na osnovu plemenitih metala. </w:t>
      </w:r>
    </w:p>
    <w:p w:rsidR="009B375D" w:rsidRPr="00930FF2" w:rsidRDefault="009B375D" w:rsidP="0040633F">
      <w:pPr>
        <w:ind w:left="720" w:firstLine="0"/>
        <w:contextualSpacing/>
      </w:pPr>
      <w:r w:rsidRPr="00930FF2">
        <w:t>Izuzetno od prethodno navedenog, Fond može bez ograničenja biti vlasnik hartija od</w:t>
      </w:r>
      <w:r w:rsidR="0040633F" w:rsidRPr="00930FF2">
        <w:t xml:space="preserve"> </w:t>
      </w:r>
      <w:r w:rsidRPr="00930FF2">
        <w:t>vrijednosti koje emituje jedan emitent koji se smatra malim preduzećem u smislu propisa</w:t>
      </w:r>
      <w:r w:rsidR="0040633F" w:rsidRPr="00930FF2">
        <w:t xml:space="preserve"> </w:t>
      </w:r>
      <w:r w:rsidRPr="00930FF2">
        <w:t>o razvoju malih i srednjih preduzeća, pri čemu zbir svih ulaganja u hartije od vrijednosti</w:t>
      </w:r>
      <w:r w:rsidR="0040633F" w:rsidRPr="00930FF2">
        <w:t xml:space="preserve"> </w:t>
      </w:r>
      <w:r w:rsidRPr="00930FF2">
        <w:t>ovih emitenata ne može biti veći od 15% neto vrijednosti imovine fonda.</w:t>
      </w:r>
    </w:p>
    <w:p w:rsidR="009B375D" w:rsidRPr="00930FF2" w:rsidRDefault="009B375D" w:rsidP="009B375D">
      <w:pPr>
        <w:pStyle w:val="BodyText"/>
        <w:contextualSpacing/>
        <w:jc w:val="center"/>
        <w:rPr>
          <w:szCs w:val="24"/>
        </w:rPr>
      </w:pPr>
    </w:p>
    <w:p w:rsidR="009B375D" w:rsidRPr="00930FF2" w:rsidRDefault="009B375D" w:rsidP="00362BC2">
      <w:pPr>
        <w:ind w:left="0" w:firstLine="0"/>
        <w:rPr>
          <w:b/>
          <w:lang w:val="sr-Latn-BA"/>
        </w:rPr>
      </w:pPr>
      <w:r w:rsidRPr="00930FF2">
        <w:rPr>
          <w:b/>
          <w:lang w:val="sr-Latn-BA"/>
        </w:rPr>
        <w:t>Dozvoljenost ulaganja u terminske i opcijske ugovore i druge finansijske derivate, u slučaju dozvoljenosti takvog ulaganja, mora sadržavati izjavu mogu li se takve transakcije zaključivati sa svrhom zaštite ili sa svrhom postizanja investicionih ciljeva, te uticaj takvih transakcija na stepen rizičnosti fonda:</w:t>
      </w:r>
    </w:p>
    <w:p w:rsidR="00362BC2" w:rsidRPr="00930FF2" w:rsidRDefault="001D7A26" w:rsidP="005C4F86">
      <w:pPr>
        <w:ind w:left="0" w:firstLine="0"/>
      </w:pPr>
      <w:r w:rsidRPr="00930FF2">
        <w:t xml:space="preserve">Fond ne </w:t>
      </w:r>
      <w:r w:rsidR="00FD2A0C" w:rsidRPr="00930FF2">
        <w:t>ulaže</w:t>
      </w:r>
      <w:r w:rsidRPr="00930FF2">
        <w:t xml:space="preserve"> u terminske i opcijske ugovore i druge finansijske derivate.</w:t>
      </w:r>
    </w:p>
    <w:p w:rsidR="001D7A26" w:rsidRPr="00930FF2" w:rsidRDefault="001D7A26" w:rsidP="00362BC2">
      <w:pPr>
        <w:rPr>
          <w:lang w:val="sr-Latn-BA"/>
        </w:rPr>
      </w:pPr>
    </w:p>
    <w:p w:rsidR="009B375D" w:rsidRPr="00930FF2" w:rsidRDefault="009B375D" w:rsidP="009B375D">
      <w:pPr>
        <w:ind w:left="0" w:firstLine="0"/>
        <w:contextualSpacing/>
        <w:rPr>
          <w:b/>
        </w:rPr>
      </w:pPr>
      <w:r w:rsidRPr="00930FF2">
        <w:rPr>
          <w:b/>
          <w:lang w:val="sr-Latn-BA"/>
        </w:rPr>
        <w:t xml:space="preserve">Naznaka država, jedinica lokalne uprave ili međunarodnih organizacija u čije se hartije od vrijednosti i intrumente tržišta novca može ulagati više od 35,00% imovine Fonda: </w:t>
      </w:r>
    </w:p>
    <w:p w:rsidR="009B375D" w:rsidRPr="00930FF2" w:rsidRDefault="009B375D" w:rsidP="009B375D">
      <w:pPr>
        <w:pStyle w:val="ListParagraph"/>
        <w:ind w:left="0" w:firstLine="0"/>
      </w:pPr>
      <w:r w:rsidRPr="00930FF2">
        <w:lastRenderedPageBreak/>
        <w:t>Fond može više od 35,00% svoje imovine ulagati u dužničke hartije, koje izdaje ili za koje garantuje Republika Srpska, poštujući ograničenja koja se odnose na ciljnu stukturu portfelja.</w:t>
      </w:r>
    </w:p>
    <w:p w:rsidR="00AE1277" w:rsidRPr="00930FF2" w:rsidRDefault="00AE1277" w:rsidP="00AE1277">
      <w:pPr>
        <w:pStyle w:val="Heading3"/>
        <w:spacing w:before="0" w:after="0"/>
        <w:contextualSpacing/>
        <w:jc w:val="both"/>
        <w:rPr>
          <w:rFonts w:ascii="Times New Roman" w:hAnsi="Times New Roman"/>
        </w:rPr>
      </w:pPr>
    </w:p>
    <w:p w:rsidR="006359D1" w:rsidRPr="00930FF2" w:rsidRDefault="006359D1" w:rsidP="00F553CF">
      <w:pPr>
        <w:pStyle w:val="ListParagraph"/>
        <w:numPr>
          <w:ilvl w:val="0"/>
          <w:numId w:val="10"/>
        </w:numPr>
        <w:rPr>
          <w:b/>
          <w:lang w:val="sr-Latn-BA"/>
        </w:rPr>
      </w:pPr>
      <w:r w:rsidRPr="00930FF2">
        <w:rPr>
          <w:b/>
          <w:lang w:val="sr-Latn-BA"/>
        </w:rPr>
        <w:t>ULAGANJE FONDA DIREKTNO U ROBU, I PROCENAT SREDSTAVA KOJA SE ULAŽU NA TAKAV NAČIN</w:t>
      </w:r>
    </w:p>
    <w:p w:rsidR="006359D1" w:rsidRPr="00930FF2" w:rsidRDefault="006359D1" w:rsidP="006359D1">
      <w:pPr>
        <w:ind w:left="0" w:firstLine="0"/>
        <w:rPr>
          <w:lang w:val="sr-Latn-BA"/>
        </w:rPr>
      </w:pPr>
      <w:r w:rsidRPr="00930FF2">
        <w:rPr>
          <w:lang w:val="sr-Latn-BA"/>
        </w:rPr>
        <w:t>Fond ne ulaže direktno u robu (eng. Commodities).</w:t>
      </w:r>
    </w:p>
    <w:p w:rsidR="006359D1" w:rsidRPr="00930FF2" w:rsidRDefault="006359D1" w:rsidP="006359D1">
      <w:pPr>
        <w:ind w:left="0" w:firstLine="0"/>
        <w:rPr>
          <w:lang w:val="sr-Latn-BA"/>
        </w:rPr>
      </w:pPr>
    </w:p>
    <w:p w:rsidR="006359D1" w:rsidRPr="00930FF2" w:rsidRDefault="006359D1" w:rsidP="00F553CF">
      <w:pPr>
        <w:pStyle w:val="ListParagraph"/>
        <w:numPr>
          <w:ilvl w:val="0"/>
          <w:numId w:val="10"/>
        </w:numPr>
        <w:rPr>
          <w:b/>
          <w:lang w:val="sr-Latn-BA"/>
        </w:rPr>
      </w:pPr>
      <w:r w:rsidRPr="00930FF2">
        <w:rPr>
          <w:b/>
          <w:lang w:val="sr-Latn-BA"/>
        </w:rPr>
        <w:t xml:space="preserve">ULAGANJE U NEKRETNINE, PROCENAT PORTFELJA KOJI SE ULAŽE U NEKRETNINE, OPIS NEKRETNINA, I SVI ZNAČAJNI TROŠKOVI KOJI </w:t>
      </w:r>
      <w:r w:rsidR="007B1AC4" w:rsidRPr="00930FF2">
        <w:rPr>
          <w:b/>
          <w:lang w:val="sr-Latn-BA"/>
        </w:rPr>
        <w:t>SU POVEZANI SA STICANJEM NEKRETNINE</w:t>
      </w:r>
    </w:p>
    <w:p w:rsidR="007B1AC4" w:rsidRPr="00930FF2" w:rsidRDefault="007B1AC4" w:rsidP="007B1AC4">
      <w:pPr>
        <w:ind w:left="0" w:firstLine="0"/>
        <w:rPr>
          <w:lang w:val="sr-Latn-BA"/>
        </w:rPr>
      </w:pPr>
      <w:r w:rsidRPr="00930FF2">
        <w:rPr>
          <w:lang w:val="sr-Latn-BA"/>
        </w:rPr>
        <w:t>Fond ne ulaže u nekretnine.</w:t>
      </w:r>
    </w:p>
    <w:p w:rsidR="009B375D" w:rsidRPr="00930FF2" w:rsidRDefault="009B375D" w:rsidP="007B1AC4">
      <w:pPr>
        <w:ind w:left="0" w:firstLine="0"/>
        <w:rPr>
          <w:lang w:val="sr-Latn-BA"/>
        </w:rPr>
      </w:pPr>
    </w:p>
    <w:p w:rsidR="007B1AC4" w:rsidRPr="00930FF2" w:rsidRDefault="007B1AC4" w:rsidP="00F553CF">
      <w:pPr>
        <w:pStyle w:val="Heading3"/>
        <w:numPr>
          <w:ilvl w:val="0"/>
          <w:numId w:val="10"/>
        </w:numPr>
        <w:spacing w:before="0" w:after="0"/>
        <w:contextualSpacing/>
        <w:jc w:val="both"/>
        <w:rPr>
          <w:rFonts w:ascii="Times New Roman" w:hAnsi="Times New Roman"/>
        </w:rPr>
      </w:pPr>
      <w:r w:rsidRPr="00930FF2">
        <w:rPr>
          <w:rFonts w:ascii="Times New Roman" w:hAnsi="Times New Roman"/>
        </w:rPr>
        <w:t xml:space="preserve"> PRUŽAOCI USLUGA</w:t>
      </w:r>
    </w:p>
    <w:p w:rsidR="00AE1277" w:rsidRPr="00930FF2" w:rsidRDefault="007B1AC4" w:rsidP="007B1AC4">
      <w:pPr>
        <w:pStyle w:val="Heading3"/>
        <w:spacing w:before="0" w:after="0"/>
        <w:contextualSpacing/>
        <w:jc w:val="both"/>
        <w:rPr>
          <w:rFonts w:ascii="Times New Roman" w:hAnsi="Times New Roman"/>
        </w:rPr>
      </w:pPr>
      <w:r w:rsidRPr="00930FF2">
        <w:rPr>
          <w:rFonts w:ascii="Times New Roman" w:hAnsi="Times New Roman"/>
        </w:rPr>
        <w:t>(visina godišnje naknade za upravljanje i ukupan iznos troškova upravljanja i poslovanja)</w:t>
      </w:r>
    </w:p>
    <w:p w:rsidR="00AE1277" w:rsidRPr="00930FF2" w:rsidRDefault="00AE1277" w:rsidP="00AE1277">
      <w:pPr>
        <w:ind w:left="0" w:firstLine="0"/>
        <w:contextualSpacing/>
      </w:pPr>
      <w:r w:rsidRPr="00930FF2">
        <w:t>Iz imovine Fonda mogu se direktno plaćati sljedeći troškovi:</w:t>
      </w:r>
    </w:p>
    <w:p w:rsidR="00AE1277" w:rsidRPr="00930FF2" w:rsidRDefault="00AE1277" w:rsidP="00F553CF">
      <w:pPr>
        <w:pStyle w:val="ListParagraph"/>
        <w:numPr>
          <w:ilvl w:val="0"/>
          <w:numId w:val="7"/>
        </w:numPr>
        <w:spacing w:after="200" w:line="276" w:lineRule="auto"/>
        <w:rPr>
          <w:bCs/>
        </w:rPr>
      </w:pPr>
      <w:r w:rsidRPr="00930FF2">
        <w:rPr>
          <w:bCs/>
        </w:rPr>
        <w:t>naknada društvu za upravljanje,</w:t>
      </w:r>
    </w:p>
    <w:p w:rsidR="00AE1277" w:rsidRPr="00930FF2" w:rsidRDefault="00AE1277" w:rsidP="00F553CF">
      <w:pPr>
        <w:pStyle w:val="ListParagraph"/>
        <w:numPr>
          <w:ilvl w:val="0"/>
          <w:numId w:val="7"/>
        </w:numPr>
        <w:rPr>
          <w:bCs/>
        </w:rPr>
      </w:pPr>
      <w:r w:rsidRPr="00930FF2">
        <w:rPr>
          <w:color w:val="000000"/>
          <w:lang w:val="hr-HR"/>
        </w:rPr>
        <w:t>naknada depozitaru,</w:t>
      </w:r>
    </w:p>
    <w:p w:rsidR="00AE1277" w:rsidRPr="00930FF2" w:rsidRDefault="00AE1277" w:rsidP="00F553CF">
      <w:pPr>
        <w:pStyle w:val="ListParagraph"/>
        <w:numPr>
          <w:ilvl w:val="0"/>
          <w:numId w:val="7"/>
        </w:numPr>
        <w:rPr>
          <w:bCs/>
        </w:rPr>
      </w:pPr>
      <w:r w:rsidRPr="00930FF2">
        <w:rPr>
          <w:color w:val="000000"/>
          <w:lang w:val="hr-HR"/>
        </w:rPr>
        <w:t>naknada i troškovi članova nadzornog odbora,</w:t>
      </w:r>
    </w:p>
    <w:p w:rsidR="00AE1277" w:rsidRPr="00930FF2" w:rsidRDefault="00AE1277" w:rsidP="00F553CF">
      <w:pPr>
        <w:pStyle w:val="ListParagraph"/>
        <w:numPr>
          <w:ilvl w:val="0"/>
          <w:numId w:val="7"/>
        </w:numPr>
        <w:rPr>
          <w:bCs/>
        </w:rPr>
      </w:pPr>
      <w:r w:rsidRPr="00930FF2">
        <w:rPr>
          <w:color w:val="000000"/>
          <w:lang w:val="hr-HR"/>
        </w:rPr>
        <w:t>troškovi provizije ili takse, neposredno povezene sa sticanjem ili prodajom imovine fonda,</w:t>
      </w:r>
    </w:p>
    <w:p w:rsidR="00AE1277" w:rsidRPr="00930FF2" w:rsidRDefault="00AE1277" w:rsidP="00F553CF">
      <w:pPr>
        <w:pStyle w:val="ListParagraph"/>
        <w:numPr>
          <w:ilvl w:val="0"/>
          <w:numId w:val="7"/>
        </w:numPr>
        <w:rPr>
          <w:bCs/>
        </w:rPr>
      </w:pPr>
      <w:r w:rsidRPr="00930FF2">
        <w:rPr>
          <w:color w:val="000000"/>
          <w:lang w:val="hr-HR"/>
        </w:rPr>
        <w:t>naknada i trošak vođenja registra akcija, te troškovi isplate dividende,</w:t>
      </w:r>
    </w:p>
    <w:p w:rsidR="00AE1277" w:rsidRPr="00930FF2" w:rsidRDefault="00AE1277" w:rsidP="00F553CF">
      <w:pPr>
        <w:pStyle w:val="ListParagraph"/>
        <w:numPr>
          <w:ilvl w:val="0"/>
          <w:numId w:val="7"/>
        </w:numPr>
        <w:rPr>
          <w:bCs/>
        </w:rPr>
      </w:pPr>
      <w:r w:rsidRPr="00930FF2">
        <w:rPr>
          <w:color w:val="000000"/>
          <w:lang w:val="hr-HR"/>
        </w:rPr>
        <w:t>revizorski i advokatski troškovi nastali u poslovanju Fonda,</w:t>
      </w:r>
    </w:p>
    <w:p w:rsidR="00AE1277" w:rsidRPr="00930FF2" w:rsidRDefault="00AE1277" w:rsidP="00F553CF">
      <w:pPr>
        <w:pStyle w:val="ListParagraph"/>
        <w:numPr>
          <w:ilvl w:val="0"/>
          <w:numId w:val="7"/>
        </w:numPr>
        <w:rPr>
          <w:bCs/>
        </w:rPr>
      </w:pPr>
      <w:r w:rsidRPr="00930FF2">
        <w:rPr>
          <w:color w:val="000000"/>
          <w:lang w:val="hr-HR"/>
        </w:rPr>
        <w:t>troškovi izrade, štampanja i poštarine vezani uz objavljivanje i dostavljanje izvještaja, koji se prema zakonu podnose akcionarima,</w:t>
      </w:r>
    </w:p>
    <w:p w:rsidR="00AE1277" w:rsidRPr="00930FF2" w:rsidRDefault="00AE1277" w:rsidP="00F553CF">
      <w:pPr>
        <w:pStyle w:val="ListParagraph"/>
        <w:numPr>
          <w:ilvl w:val="0"/>
          <w:numId w:val="7"/>
        </w:numPr>
        <w:rPr>
          <w:bCs/>
        </w:rPr>
      </w:pPr>
      <w:r w:rsidRPr="00930FF2">
        <w:rPr>
          <w:color w:val="000000"/>
          <w:lang w:val="hr-HR"/>
        </w:rPr>
        <w:t>troškovi održavanja Glavne skupštine, osim u slučaju vanredne skupštine, koju sazove društvo za upravljanje, u kom slučaju te troškove snosi društvo za upravljanje,</w:t>
      </w:r>
    </w:p>
    <w:p w:rsidR="00AE1277" w:rsidRPr="00930FF2" w:rsidRDefault="00AE1277" w:rsidP="00F553CF">
      <w:pPr>
        <w:pStyle w:val="ListParagraph"/>
        <w:numPr>
          <w:ilvl w:val="0"/>
          <w:numId w:val="7"/>
        </w:numPr>
        <w:rPr>
          <w:bCs/>
        </w:rPr>
      </w:pPr>
      <w:r w:rsidRPr="00930FF2">
        <w:rPr>
          <w:color w:val="000000"/>
          <w:lang w:val="hr-HR"/>
        </w:rPr>
        <w:t>sve propisane naknade, koje se plaćaju Komsiji za hartije od vrijednosti Republike Srpske (u daljem tekstu Komisija), u vezi izdavanja dozvole zatvorenom investicionom fondu,</w:t>
      </w:r>
    </w:p>
    <w:p w:rsidR="00AE1277" w:rsidRPr="00930FF2" w:rsidRDefault="00AE1277" w:rsidP="00F553CF">
      <w:pPr>
        <w:pStyle w:val="ListParagraph"/>
        <w:numPr>
          <w:ilvl w:val="0"/>
          <w:numId w:val="7"/>
        </w:numPr>
        <w:rPr>
          <w:bCs/>
        </w:rPr>
      </w:pPr>
      <w:r w:rsidRPr="00930FF2">
        <w:rPr>
          <w:color w:val="000000"/>
          <w:lang w:val="hr-HR"/>
        </w:rPr>
        <w:t>troškovi uvrštenja hartija na berzu, ili na drugo uređeno javno tržište,</w:t>
      </w:r>
    </w:p>
    <w:p w:rsidR="00AE1277" w:rsidRPr="00930FF2" w:rsidRDefault="00AE1277" w:rsidP="00F553CF">
      <w:pPr>
        <w:pStyle w:val="ListParagraph"/>
        <w:numPr>
          <w:ilvl w:val="0"/>
          <w:numId w:val="7"/>
        </w:numPr>
        <w:rPr>
          <w:bCs/>
        </w:rPr>
      </w:pPr>
      <w:r w:rsidRPr="00930FF2">
        <w:rPr>
          <w:lang w:val="hr-HR"/>
        </w:rPr>
        <w:t>troškovi oglašavanja, ali samo kada je to Fond obavezan u skladu sa zakonom,</w:t>
      </w:r>
    </w:p>
    <w:p w:rsidR="00AE1277" w:rsidRPr="00930FF2" w:rsidRDefault="00AE1277" w:rsidP="00F553CF">
      <w:pPr>
        <w:pStyle w:val="ListParagraph"/>
        <w:numPr>
          <w:ilvl w:val="0"/>
          <w:numId w:val="7"/>
        </w:numPr>
        <w:rPr>
          <w:bCs/>
        </w:rPr>
      </w:pPr>
      <w:r w:rsidRPr="00930FF2">
        <w:rPr>
          <w:lang w:val="hr-HR"/>
        </w:rPr>
        <w:t xml:space="preserve">ostale naknade, koje Fond plaća u skladu sa zakonom, odnosno drugim propisima.  </w:t>
      </w:r>
    </w:p>
    <w:p w:rsidR="00AE1277" w:rsidRPr="00930FF2" w:rsidRDefault="00AE1277" w:rsidP="00AE1277">
      <w:pPr>
        <w:ind w:left="0" w:firstLine="0"/>
        <w:contextualSpacing/>
        <w:rPr>
          <w:lang w:val="sl-SI"/>
        </w:rPr>
      </w:pPr>
      <w:r w:rsidRPr="00930FF2">
        <w:rPr>
          <w:bCs/>
        </w:rPr>
        <w:t xml:space="preserve">Naknada društvu za upravljanje iznosi </w:t>
      </w:r>
      <w:r w:rsidR="00B03B12" w:rsidRPr="00930FF2">
        <w:rPr>
          <w:bCs/>
        </w:rPr>
        <w:t>2</w:t>
      </w:r>
      <w:r w:rsidRPr="00930FF2">
        <w:rPr>
          <w:bCs/>
        </w:rPr>
        <w:t>,</w:t>
      </w:r>
      <w:r w:rsidR="00B03B12" w:rsidRPr="00930FF2">
        <w:rPr>
          <w:bCs/>
        </w:rPr>
        <w:t>7</w:t>
      </w:r>
      <w:r w:rsidRPr="00930FF2">
        <w:rPr>
          <w:bCs/>
        </w:rPr>
        <w:t xml:space="preserve">% od ponderisane prosječne godišnje tržišne vrijednosti akcija Fonda. </w:t>
      </w:r>
      <w:r w:rsidRPr="00930FF2">
        <w:rPr>
          <w:lang w:val="sl-SI"/>
        </w:rPr>
        <w:t>Naknada za upravljanje fondom se plaća u novcu, akontativno na mjesečnom nivou, a razlika godišnje provizije se plaća po konačnom obračunu depozitara fonda.</w:t>
      </w:r>
    </w:p>
    <w:p w:rsidR="00AE1277" w:rsidRPr="00930FF2" w:rsidRDefault="00AE1277" w:rsidP="00AE1277">
      <w:pPr>
        <w:ind w:left="0" w:firstLine="0"/>
        <w:contextualSpacing/>
        <w:rPr>
          <w:lang w:val="sr-Latn-BA"/>
        </w:rPr>
      </w:pPr>
      <w:r w:rsidRPr="00930FF2">
        <w:rPr>
          <w:lang w:val="sr-Latn-BA"/>
        </w:rPr>
        <w:t xml:space="preserve">Ako je ponderisana prosječna godišnja tržišna vrijednost akcija Fonda veća od prosječne godišnje neto vrijednosti imovine Fonda, kao osnovica za utvrđivanje pokazatelja ukupnih troškova primjenjuje se prosječna godišnja neto vrijednost imovine Fonda. </w:t>
      </w:r>
    </w:p>
    <w:p w:rsidR="00AE1277" w:rsidRPr="00930FF2" w:rsidRDefault="00AE1277" w:rsidP="00AE1277">
      <w:pPr>
        <w:ind w:left="0" w:firstLine="0"/>
        <w:contextualSpacing/>
        <w:rPr>
          <w:color w:val="00B0F0"/>
        </w:rPr>
      </w:pPr>
      <w:r w:rsidRPr="00930FF2">
        <w:rPr>
          <w:color w:val="000000"/>
          <w:lang w:val="hr-HR"/>
        </w:rPr>
        <w:t xml:space="preserve">Naknada depozitaru, </w:t>
      </w:r>
      <w:r w:rsidRPr="00930FF2">
        <w:rPr>
          <w:iCs/>
        </w:rPr>
        <w:t xml:space="preserve">(Centralnom registru hartija od vrijednosti a.d. Banja Luka </w:t>
      </w:r>
      <w:r w:rsidRPr="00930FF2">
        <w:rPr>
          <w:rFonts w:ascii="Cambria Math" w:hAnsi="Cambria Math"/>
          <w:iCs/>
        </w:rPr>
        <w:t>‐</w:t>
      </w:r>
      <w:r w:rsidRPr="00930FF2">
        <w:rPr>
          <w:iCs/>
        </w:rPr>
        <w:t xml:space="preserve"> sektor depozitarnih poslova) izračunava </w:t>
      </w:r>
      <w:r w:rsidRPr="00930FF2">
        <w:t>se mjesečno po isteku</w:t>
      </w:r>
      <w:r w:rsidRPr="00930FF2">
        <w:rPr>
          <w:iCs/>
        </w:rPr>
        <w:t xml:space="preserve"> </w:t>
      </w:r>
      <w:r w:rsidRPr="00930FF2">
        <w:t>obračunskog mjeseca, na način</w:t>
      </w:r>
      <w:r w:rsidRPr="00930FF2">
        <w:rPr>
          <w:iCs/>
        </w:rPr>
        <w:t xml:space="preserve"> </w:t>
      </w:r>
      <w:r w:rsidRPr="00930FF2">
        <w:t>predviđen Ugovorom zaključenim</w:t>
      </w:r>
      <w:r w:rsidRPr="00930FF2">
        <w:rPr>
          <w:iCs/>
        </w:rPr>
        <w:t xml:space="preserve"> </w:t>
      </w:r>
      <w:r w:rsidRPr="00930FF2">
        <w:t>između depozitara i Fonda, te odluke</w:t>
      </w:r>
      <w:r w:rsidRPr="00930FF2">
        <w:rPr>
          <w:i/>
          <w:iCs/>
        </w:rPr>
        <w:t xml:space="preserve"> </w:t>
      </w:r>
      <w:r w:rsidRPr="00930FF2">
        <w:t>Centralnog registra hartija od vrijednosti a.d. Banja Luka o načinu</w:t>
      </w:r>
      <w:r w:rsidRPr="00930FF2">
        <w:rPr>
          <w:i/>
          <w:iCs/>
        </w:rPr>
        <w:t xml:space="preserve"> </w:t>
      </w:r>
      <w:r w:rsidRPr="00930FF2">
        <w:t xml:space="preserve">obračunavanja naknada. </w:t>
      </w:r>
    </w:p>
    <w:p w:rsidR="00AE1277" w:rsidRPr="00930FF2" w:rsidRDefault="00AE1277" w:rsidP="00AE1277">
      <w:pPr>
        <w:autoSpaceDE w:val="0"/>
        <w:autoSpaceDN w:val="0"/>
        <w:adjustRightInd w:val="0"/>
        <w:ind w:left="0" w:firstLine="0"/>
        <w:contextualSpacing/>
        <w:rPr>
          <w:color w:val="00B0F0"/>
        </w:rPr>
      </w:pPr>
      <w:r w:rsidRPr="00930FF2">
        <w:rPr>
          <w:iCs/>
        </w:rPr>
        <w:lastRenderedPageBreak/>
        <w:t xml:space="preserve">Naknada (Centralnom registru hartija od vrijednosti a.d. Banja Luka </w:t>
      </w:r>
      <w:r w:rsidRPr="00930FF2">
        <w:rPr>
          <w:rFonts w:ascii="Cambria Math" w:hAnsi="Cambria Math"/>
          <w:iCs/>
        </w:rPr>
        <w:t>‐</w:t>
      </w:r>
      <w:r w:rsidRPr="00930FF2">
        <w:rPr>
          <w:iCs/>
        </w:rPr>
        <w:t xml:space="preserve"> sektor vođenje knjige akcionara i registra HOV) </w:t>
      </w:r>
      <w:r w:rsidRPr="00930FF2">
        <w:t>podrazumjeva rashode naknada</w:t>
      </w:r>
      <w:r w:rsidRPr="00930FF2">
        <w:rPr>
          <w:iCs/>
        </w:rPr>
        <w:t xml:space="preserve"> </w:t>
      </w:r>
      <w:r w:rsidRPr="00930FF2">
        <w:t>za vođenje knjige</w:t>
      </w:r>
      <w:r w:rsidRPr="00930FF2">
        <w:rPr>
          <w:iCs/>
        </w:rPr>
        <w:t xml:space="preserve"> </w:t>
      </w:r>
      <w:r w:rsidRPr="00930FF2">
        <w:t>akcionara i naknade za vođenje</w:t>
      </w:r>
      <w:r w:rsidRPr="00930FF2">
        <w:rPr>
          <w:iCs/>
        </w:rPr>
        <w:t xml:space="preserve"> </w:t>
      </w:r>
      <w:r w:rsidRPr="00930FF2">
        <w:t>registra investicionog fonda, o ona se obračunava kvartalno.</w:t>
      </w:r>
    </w:p>
    <w:p w:rsidR="00AE1277" w:rsidRPr="00930FF2" w:rsidRDefault="00AE1277" w:rsidP="00AE1277">
      <w:pPr>
        <w:autoSpaceDE w:val="0"/>
        <w:autoSpaceDN w:val="0"/>
        <w:adjustRightInd w:val="0"/>
        <w:ind w:left="0" w:firstLine="0"/>
        <w:contextualSpacing/>
      </w:pPr>
      <w:r w:rsidRPr="00930FF2">
        <w:rPr>
          <w:rFonts w:eastAsia="Calibri"/>
          <w:color w:val="000000"/>
          <w:lang w:val="hr-HR"/>
        </w:rPr>
        <w:t xml:space="preserve">Naknada i troškovi članova Nadzornog odbora </w:t>
      </w:r>
      <w:r w:rsidRPr="00930FF2">
        <w:rPr>
          <w:bCs/>
          <w:iCs/>
        </w:rPr>
        <w:t>Fonda utvrđena je Odlukom Skupštine akcionara Fonda</w:t>
      </w:r>
      <w:r w:rsidRPr="00930FF2">
        <w:t xml:space="preserve"> o visini naknada predsjedniku i članovima Nadzornog odbora Fonda, broj: SK-I-09/2016 od 06.04.2016. godine, u neto iznosu 300,00KM za predsjednika i od po 200,00KM za članove  mjesečno. Naknada se obračunava i isplaćuje mjesečno, a na neto iznos naknade se obračunavaju i plaćaju zakonom propisani porezi i doprinosi na lična primanja.</w:t>
      </w:r>
    </w:p>
    <w:p w:rsidR="00AE1277" w:rsidRPr="00930FF2" w:rsidRDefault="00AE1277" w:rsidP="00AE1277">
      <w:pPr>
        <w:autoSpaceDE w:val="0"/>
        <w:autoSpaceDN w:val="0"/>
        <w:adjustRightInd w:val="0"/>
        <w:ind w:left="0" w:firstLine="0"/>
        <w:contextualSpacing/>
        <w:rPr>
          <w:bCs/>
        </w:rPr>
      </w:pPr>
      <w:r w:rsidRPr="00930FF2">
        <w:rPr>
          <w:rFonts w:eastAsia="Calibri"/>
          <w:color w:val="000000"/>
          <w:lang w:val="hr-HR"/>
        </w:rPr>
        <w:t xml:space="preserve">Troškovi provizije ili takse neposredno povezene sa sticanjem ili prodajom imovine fonda, </w:t>
      </w:r>
      <w:r w:rsidRPr="00930FF2">
        <w:rPr>
          <w:b/>
          <w:bCs/>
          <w:i/>
          <w:iCs/>
        </w:rPr>
        <w:t xml:space="preserve"> </w:t>
      </w:r>
      <w:r w:rsidRPr="00930FF2">
        <w:t>naplaćuju se iz</w:t>
      </w:r>
      <w:r w:rsidRPr="00930FF2">
        <w:rPr>
          <w:lang w:val="sr-Latn-BA"/>
        </w:rPr>
        <w:t xml:space="preserve"> </w:t>
      </w:r>
      <w:r w:rsidRPr="00930FF2">
        <w:t>imovine Fonda u stvarnom iznosu istih, a ovi troškovi obuhvataju proviziju usluge brokerske kuće, naknadu Centralnom registru hartija od vrijednosti i Berze na ime trgovanja. Društvo nastoji smanjiti troškove prodaje hartija od vrijednosti iz portfolija Fonda organizujući zajedničke aukcije, te na taj način raspodjeljujući troškove organizovanja aukcije proporcionalno učešću Fonda u vrijednosti transakcije. Iz imovine Fonda, u stvarnom iznosu istih, naplaćuju se troškovi platnog prometa, porezi i druge fiskalne obaveze Fonda.</w:t>
      </w:r>
    </w:p>
    <w:p w:rsidR="00AE1277" w:rsidRPr="00930FF2" w:rsidRDefault="00AE1277" w:rsidP="00AE1277">
      <w:pPr>
        <w:autoSpaceDE w:val="0"/>
        <w:autoSpaceDN w:val="0"/>
        <w:adjustRightInd w:val="0"/>
        <w:ind w:left="0" w:firstLine="0"/>
        <w:contextualSpacing/>
        <w:rPr>
          <w:b/>
          <w:bCs/>
          <w:i/>
          <w:iCs/>
          <w:color w:val="FF0000"/>
        </w:rPr>
      </w:pPr>
      <w:r w:rsidRPr="00930FF2">
        <w:rPr>
          <w:bCs/>
          <w:iCs/>
        </w:rPr>
        <w:t>Naknada troškova eksterne revizije</w:t>
      </w:r>
      <w:r w:rsidRPr="00930FF2">
        <w:rPr>
          <w:b/>
          <w:bCs/>
          <w:i/>
          <w:iCs/>
        </w:rPr>
        <w:t xml:space="preserve"> </w:t>
      </w:r>
      <w:r w:rsidRPr="00930FF2">
        <w:t>naplaćuje se u stvarnoj visini, a u skladu</w:t>
      </w:r>
      <w:r w:rsidRPr="00930FF2">
        <w:rPr>
          <w:b/>
          <w:bCs/>
          <w:i/>
          <w:iCs/>
        </w:rPr>
        <w:t xml:space="preserve"> </w:t>
      </w:r>
      <w:r w:rsidRPr="00930FF2">
        <w:t>sa Odlukom o izboru nezavisnog</w:t>
      </w:r>
      <w:r w:rsidRPr="00930FF2">
        <w:rPr>
          <w:b/>
          <w:bCs/>
          <w:i/>
          <w:iCs/>
        </w:rPr>
        <w:t xml:space="preserve"> </w:t>
      </w:r>
      <w:r w:rsidRPr="00930FF2">
        <w:t>revizora finansijskih izvještaja Fonda, i</w:t>
      </w:r>
      <w:r w:rsidRPr="00930FF2">
        <w:rPr>
          <w:b/>
          <w:bCs/>
          <w:i/>
          <w:iCs/>
        </w:rPr>
        <w:t xml:space="preserve"> </w:t>
      </w:r>
      <w:r w:rsidRPr="00930FF2">
        <w:t>Ugovora o pružanju usluga revizije</w:t>
      </w:r>
      <w:r w:rsidRPr="00930FF2">
        <w:rPr>
          <w:color w:val="FF0000"/>
        </w:rPr>
        <w:t>.</w:t>
      </w:r>
      <w:r w:rsidRPr="00930FF2">
        <w:rPr>
          <w:b/>
          <w:bCs/>
          <w:i/>
          <w:iCs/>
          <w:color w:val="FF0000"/>
        </w:rPr>
        <w:t xml:space="preserve"> </w:t>
      </w:r>
    </w:p>
    <w:p w:rsidR="00AE1277" w:rsidRPr="00930FF2" w:rsidRDefault="00AE1277" w:rsidP="00AE1277">
      <w:pPr>
        <w:autoSpaceDE w:val="0"/>
        <w:autoSpaceDN w:val="0"/>
        <w:adjustRightInd w:val="0"/>
        <w:ind w:left="0" w:firstLine="0"/>
        <w:contextualSpacing/>
        <w:rPr>
          <w:color w:val="000000"/>
        </w:rPr>
      </w:pPr>
      <w:r w:rsidRPr="00930FF2">
        <w:rPr>
          <w:bCs/>
          <w:iCs/>
        </w:rPr>
        <w:t>Naknada na ime advokatskih troškova i sudskih taksi</w:t>
      </w:r>
      <w:r w:rsidRPr="00930FF2">
        <w:rPr>
          <w:b/>
          <w:bCs/>
          <w:i/>
          <w:iCs/>
        </w:rPr>
        <w:t xml:space="preserve"> </w:t>
      </w:r>
      <w:r w:rsidRPr="00930FF2">
        <w:t>obračunava se i naplaćuje</w:t>
      </w:r>
      <w:r w:rsidRPr="00930FF2">
        <w:rPr>
          <w:b/>
          <w:bCs/>
          <w:i/>
          <w:iCs/>
        </w:rPr>
        <w:t xml:space="preserve"> </w:t>
      </w:r>
      <w:r w:rsidRPr="00930FF2">
        <w:t>prema važećim tarifama organa. Na ove</w:t>
      </w:r>
      <w:r w:rsidRPr="00930FF2">
        <w:rPr>
          <w:b/>
          <w:bCs/>
          <w:i/>
          <w:iCs/>
        </w:rPr>
        <w:t xml:space="preserve"> </w:t>
      </w:r>
      <w:r w:rsidRPr="00930FF2">
        <w:t>troškove Društvo nastoji uticati</w:t>
      </w:r>
      <w:r w:rsidRPr="00930FF2">
        <w:rPr>
          <w:b/>
          <w:bCs/>
          <w:i/>
          <w:iCs/>
        </w:rPr>
        <w:t xml:space="preserve"> </w:t>
      </w:r>
      <w:r w:rsidRPr="00930FF2">
        <w:t xml:space="preserve">direktnim umanjenjem tako što u ime i </w:t>
      </w:r>
      <w:r w:rsidRPr="00930FF2">
        <w:rPr>
          <w:color w:val="000000"/>
        </w:rPr>
        <w:t>za račun Fonda podnosi tzv. zajedničke tužbe sa drugim investicionim fondovima ili akcionarima, te na taj način dijeli troškove cijelokupnog postupka prema vrijednosti sa kojom participira u istom. Na ovaj način Društvo nastoji da smanji troškove Fonda.</w:t>
      </w:r>
    </w:p>
    <w:p w:rsidR="00AE1277" w:rsidRPr="00930FF2" w:rsidRDefault="00AE1277" w:rsidP="00AE1277">
      <w:pPr>
        <w:autoSpaceDE w:val="0"/>
        <w:autoSpaceDN w:val="0"/>
        <w:adjustRightInd w:val="0"/>
        <w:ind w:left="0" w:firstLine="0"/>
        <w:contextualSpacing/>
        <w:rPr>
          <w:bCs/>
        </w:rPr>
      </w:pPr>
      <w:r w:rsidRPr="00930FF2">
        <w:rPr>
          <w:rFonts w:eastAsia="Calibri"/>
          <w:color w:val="000000"/>
          <w:lang w:val="hr-HR"/>
        </w:rPr>
        <w:t xml:space="preserve">Troškovi izrade, štampanja i poštarine, vezani uz objavljivanje i dostavljanje izvještaja koji se prema zakonu podnose akcionarima </w:t>
      </w:r>
      <w:r w:rsidRPr="00930FF2">
        <w:rPr>
          <w:color w:val="000000"/>
        </w:rPr>
        <w:t>Društvo</w:t>
      </w:r>
      <w:r w:rsidRPr="00930FF2">
        <w:rPr>
          <w:b/>
          <w:bCs/>
          <w:i/>
          <w:iCs/>
          <w:color w:val="000000"/>
        </w:rPr>
        <w:t xml:space="preserve"> </w:t>
      </w:r>
      <w:r w:rsidRPr="00930FF2">
        <w:rPr>
          <w:color w:val="000000"/>
        </w:rPr>
        <w:t>samo snosi, te su Fond i akcionari Fonda</w:t>
      </w:r>
      <w:r w:rsidRPr="00930FF2">
        <w:rPr>
          <w:b/>
          <w:bCs/>
          <w:i/>
          <w:iCs/>
          <w:color w:val="000000"/>
        </w:rPr>
        <w:t xml:space="preserve"> </w:t>
      </w:r>
      <w:r w:rsidRPr="00930FF2">
        <w:rPr>
          <w:color w:val="000000"/>
        </w:rPr>
        <w:t>oslobođeni ove vrste izdataka.</w:t>
      </w:r>
    </w:p>
    <w:p w:rsidR="00AE1277" w:rsidRPr="00930FF2" w:rsidRDefault="00AE1277" w:rsidP="00AE1277">
      <w:pPr>
        <w:autoSpaceDE w:val="0"/>
        <w:autoSpaceDN w:val="0"/>
        <w:adjustRightInd w:val="0"/>
        <w:ind w:left="0" w:firstLine="0"/>
        <w:contextualSpacing/>
        <w:rPr>
          <w:b/>
          <w:bCs/>
          <w:i/>
          <w:iCs/>
          <w:color w:val="000000"/>
        </w:rPr>
      </w:pPr>
      <w:r w:rsidRPr="00930FF2">
        <w:rPr>
          <w:bCs/>
          <w:iCs/>
          <w:color w:val="000000"/>
        </w:rPr>
        <w:t>Naknade Komisiji,</w:t>
      </w:r>
      <w:r w:rsidRPr="00930FF2">
        <w:rPr>
          <w:color w:val="000000"/>
        </w:rPr>
        <w:t xml:space="preserve"> koje Komisija</w:t>
      </w:r>
      <w:r w:rsidRPr="00930FF2">
        <w:rPr>
          <w:b/>
          <w:bCs/>
          <w:i/>
          <w:iCs/>
          <w:color w:val="000000"/>
        </w:rPr>
        <w:t xml:space="preserve"> </w:t>
      </w:r>
      <w:r w:rsidRPr="00930FF2">
        <w:rPr>
          <w:color w:val="000000"/>
        </w:rPr>
        <w:t>obračunava u skladu sa Tarifama</w:t>
      </w:r>
      <w:r w:rsidRPr="00930FF2">
        <w:rPr>
          <w:b/>
          <w:bCs/>
          <w:i/>
          <w:iCs/>
          <w:color w:val="000000"/>
        </w:rPr>
        <w:t xml:space="preserve"> </w:t>
      </w:r>
      <w:r w:rsidRPr="00930FF2">
        <w:rPr>
          <w:color w:val="000000"/>
        </w:rPr>
        <w:t>naknada objavljenim u „Službenom</w:t>
      </w:r>
      <w:r w:rsidRPr="00930FF2">
        <w:rPr>
          <w:b/>
          <w:bCs/>
          <w:i/>
          <w:iCs/>
          <w:color w:val="000000"/>
        </w:rPr>
        <w:t xml:space="preserve"> </w:t>
      </w:r>
      <w:r w:rsidRPr="00930FF2">
        <w:rPr>
          <w:color w:val="000000"/>
        </w:rPr>
        <w:t>glasniku Republike Srpske“, broj: 58/10, 22/13 i 28/16.</w:t>
      </w:r>
      <w:r w:rsidRPr="00930FF2">
        <w:rPr>
          <w:b/>
          <w:bCs/>
          <w:i/>
          <w:iCs/>
          <w:color w:val="000000"/>
        </w:rPr>
        <w:t xml:space="preserve"> </w:t>
      </w:r>
    </w:p>
    <w:p w:rsidR="00AE1277" w:rsidRPr="00930FF2" w:rsidRDefault="00AE1277" w:rsidP="00AE1277">
      <w:pPr>
        <w:autoSpaceDE w:val="0"/>
        <w:autoSpaceDN w:val="0"/>
        <w:adjustRightInd w:val="0"/>
        <w:ind w:left="0" w:firstLine="0"/>
        <w:contextualSpacing/>
        <w:rPr>
          <w:color w:val="000000"/>
        </w:rPr>
      </w:pPr>
      <w:r w:rsidRPr="00930FF2">
        <w:rPr>
          <w:bCs/>
          <w:iCs/>
          <w:color w:val="000000"/>
        </w:rPr>
        <w:t>Naknada troškova uvrštenja na Banjalučku berzu a.d. Banja Luka</w:t>
      </w:r>
      <w:r w:rsidRPr="00930FF2">
        <w:rPr>
          <w:b/>
          <w:bCs/>
          <w:i/>
          <w:iCs/>
          <w:color w:val="000000"/>
        </w:rPr>
        <w:t xml:space="preserve"> </w:t>
      </w:r>
      <w:r w:rsidRPr="00930FF2">
        <w:rPr>
          <w:color w:val="000000"/>
        </w:rPr>
        <w:t>plaćaju se sa računa Fonda u stvarnom</w:t>
      </w:r>
      <w:r w:rsidRPr="00930FF2">
        <w:rPr>
          <w:b/>
          <w:bCs/>
          <w:i/>
          <w:iCs/>
          <w:color w:val="000000"/>
        </w:rPr>
        <w:t xml:space="preserve"> </w:t>
      </w:r>
      <w:r w:rsidRPr="00930FF2">
        <w:rPr>
          <w:color w:val="000000"/>
        </w:rPr>
        <w:t>iznosu, a prema Tarifama Berze na</w:t>
      </w:r>
      <w:r w:rsidRPr="00930FF2">
        <w:rPr>
          <w:b/>
          <w:bCs/>
          <w:i/>
          <w:iCs/>
          <w:color w:val="000000"/>
        </w:rPr>
        <w:t xml:space="preserve"> </w:t>
      </w:r>
      <w:r w:rsidRPr="00930FF2">
        <w:rPr>
          <w:color w:val="000000"/>
        </w:rPr>
        <w:t>godišnjem nivou.</w:t>
      </w:r>
    </w:p>
    <w:p w:rsidR="00AE1277" w:rsidRPr="00930FF2" w:rsidRDefault="00AE1277" w:rsidP="00AE1277">
      <w:pPr>
        <w:pStyle w:val="PlainText"/>
        <w:contextualSpacing/>
        <w:jc w:val="both"/>
        <w:rPr>
          <w:rFonts w:ascii="Times New Roman" w:hAnsi="Times New Roman" w:cs="Times New Roman"/>
          <w:sz w:val="24"/>
          <w:szCs w:val="24"/>
          <w:lang w:val="hr-HR"/>
        </w:rPr>
      </w:pPr>
      <w:r w:rsidRPr="00930FF2">
        <w:rPr>
          <w:rFonts w:ascii="Times New Roman" w:hAnsi="Times New Roman" w:cs="Times New Roman"/>
          <w:sz w:val="24"/>
          <w:szCs w:val="24"/>
          <w:lang w:val="hr-HR"/>
        </w:rPr>
        <w:t>Troškovi poreza koje je Fond dužan platiti na imovinu ili dobit i ostale naknade koje Fond plaća u skladu sa Zakonom, odnosno drugim propisima, po osnovu člana 66. stav 1. tačke j. i l. Zakona o investicionim fondovima snosi direktno Fond u skladu sa članom 67. Zakona o investicionim fondovima.</w:t>
      </w:r>
    </w:p>
    <w:p w:rsidR="00AE1277" w:rsidRPr="00930FF2" w:rsidRDefault="00AE1277" w:rsidP="00AE1277">
      <w:pPr>
        <w:pStyle w:val="PlainText"/>
        <w:contextualSpacing/>
        <w:jc w:val="both"/>
        <w:rPr>
          <w:rFonts w:ascii="Times New Roman" w:hAnsi="Times New Roman" w:cs="Times New Roman"/>
          <w:sz w:val="24"/>
          <w:szCs w:val="24"/>
          <w:lang w:val="hr-HR"/>
        </w:rPr>
      </w:pPr>
      <w:r w:rsidRPr="00930FF2">
        <w:rPr>
          <w:rFonts w:ascii="Times New Roman" w:hAnsi="Times New Roman" w:cs="Times New Roman"/>
          <w:color w:val="000000"/>
          <w:sz w:val="24"/>
          <w:szCs w:val="24"/>
        </w:rPr>
        <w:t xml:space="preserve">Troškovi navedeni u </w:t>
      </w:r>
      <w:r w:rsidRPr="00930FF2">
        <w:rPr>
          <w:rFonts w:ascii="Times New Roman" w:hAnsi="Times New Roman" w:cs="Times New Roman"/>
          <w:sz w:val="24"/>
          <w:szCs w:val="24"/>
        </w:rPr>
        <w:t>članu 67.</w:t>
      </w:r>
      <w:r w:rsidRPr="00930FF2">
        <w:rPr>
          <w:rFonts w:ascii="Times New Roman" w:hAnsi="Times New Roman" w:cs="Times New Roman"/>
          <w:color w:val="000000"/>
          <w:sz w:val="24"/>
          <w:szCs w:val="24"/>
        </w:rPr>
        <w:t xml:space="preserve"> Statuta</w:t>
      </w:r>
      <w:r w:rsidRPr="00930FF2">
        <w:rPr>
          <w:rFonts w:ascii="Times New Roman" w:hAnsi="Times New Roman" w:cs="Times New Roman"/>
          <w:b/>
          <w:bCs/>
          <w:i/>
          <w:iCs/>
          <w:color w:val="000000"/>
          <w:sz w:val="24"/>
          <w:szCs w:val="24"/>
        </w:rPr>
        <w:t xml:space="preserve"> </w:t>
      </w:r>
      <w:r w:rsidRPr="00930FF2">
        <w:rPr>
          <w:rFonts w:ascii="Times New Roman" w:hAnsi="Times New Roman" w:cs="Times New Roman"/>
          <w:color w:val="000000"/>
          <w:sz w:val="24"/>
          <w:szCs w:val="24"/>
        </w:rPr>
        <w:t>Fonda obračunavaju se i naplaćuju u</w:t>
      </w:r>
      <w:r w:rsidRPr="00930FF2">
        <w:rPr>
          <w:rFonts w:ascii="Times New Roman" w:hAnsi="Times New Roman" w:cs="Times New Roman"/>
          <w:b/>
          <w:bCs/>
          <w:i/>
          <w:iCs/>
          <w:color w:val="000000"/>
          <w:sz w:val="24"/>
          <w:szCs w:val="24"/>
        </w:rPr>
        <w:t xml:space="preserve"> </w:t>
      </w:r>
      <w:r w:rsidRPr="00930FF2">
        <w:rPr>
          <w:rFonts w:ascii="Times New Roman" w:hAnsi="Times New Roman" w:cs="Times New Roman"/>
          <w:color w:val="000000"/>
          <w:sz w:val="24"/>
          <w:szCs w:val="24"/>
        </w:rPr>
        <w:t>stvarnom fakturisanom iznosu.</w:t>
      </w:r>
    </w:p>
    <w:p w:rsidR="00AE1277" w:rsidRPr="00930FF2" w:rsidRDefault="00AE1277" w:rsidP="00AE1277">
      <w:pPr>
        <w:autoSpaceDE w:val="0"/>
        <w:autoSpaceDN w:val="0"/>
        <w:adjustRightInd w:val="0"/>
        <w:ind w:left="0" w:firstLine="0"/>
        <w:contextualSpacing/>
        <w:rPr>
          <w:rFonts w:eastAsia="Calibri"/>
          <w:bCs/>
        </w:rPr>
      </w:pPr>
      <w:r w:rsidRPr="00930FF2">
        <w:rPr>
          <w:bCs/>
        </w:rPr>
        <w:t>Pokazatelji ukupnih naknada i troškova Fonda, u koje ne ulaze troškovi poreza koje je fond dužan platiti na imovinu ili dobit, i ostale naknade određene posebnim zakonima (naknade Komisije), ne smiju prelaziti 3,5% ponderisane prosječne godišnje tržišne vrijednosti akcija Fonda po završetku godišnjeg obračunskog perioda. Društvo snosi sve nastale troškove koji u određenoj poslovnoj godini pređu najviši dopušteni pokazatelj ukupnih troškova u visini od 3,5% ponderisane prosječne godišnje tržišne vrijednosti akcija Fonda.</w:t>
      </w:r>
    </w:p>
    <w:p w:rsidR="00125BCC" w:rsidRPr="00930FF2" w:rsidRDefault="00125BCC" w:rsidP="006C2B2C">
      <w:pPr>
        <w:ind w:left="0" w:firstLine="0"/>
        <w:rPr>
          <w:lang w:val="sr-Latn-BA"/>
        </w:rPr>
      </w:pPr>
    </w:p>
    <w:p w:rsidR="00A96AD2" w:rsidRPr="00930FF2" w:rsidRDefault="009129FD" w:rsidP="00F553CF">
      <w:pPr>
        <w:pStyle w:val="ListParagraph"/>
        <w:numPr>
          <w:ilvl w:val="0"/>
          <w:numId w:val="10"/>
        </w:numPr>
        <w:rPr>
          <w:b/>
        </w:rPr>
      </w:pPr>
      <w:r w:rsidRPr="00930FF2">
        <w:rPr>
          <w:b/>
        </w:rPr>
        <w:t>PODACI O DRUŠTVU ZA UPRAVLJANJE</w:t>
      </w:r>
    </w:p>
    <w:p w:rsidR="00A96AD2" w:rsidRPr="00930FF2" w:rsidRDefault="00A96AD2" w:rsidP="00A96AD2">
      <w:pPr>
        <w:ind w:left="0" w:firstLine="0"/>
        <w:contextualSpacing/>
        <w:rPr>
          <w:lang w:val="sl-SI"/>
        </w:rPr>
      </w:pPr>
      <w:r w:rsidRPr="00930FF2">
        <w:rPr>
          <w:lang w:val="sl-SI"/>
        </w:rPr>
        <w:t>Fondom upravlja Društvo za upravljanje investicionim fondovima »INVEST NOVA« a.d. Bijeljina.</w:t>
      </w:r>
    </w:p>
    <w:p w:rsidR="00A96AD2" w:rsidRPr="00930FF2" w:rsidRDefault="00A96AD2" w:rsidP="00A96AD2">
      <w:pPr>
        <w:ind w:left="0" w:firstLine="0"/>
        <w:contextualSpacing/>
        <w:rPr>
          <w:lang w:val="sl-SI"/>
        </w:rPr>
      </w:pPr>
      <w:r w:rsidRPr="00930FF2">
        <w:rPr>
          <w:lang w:val="sl-SI"/>
        </w:rPr>
        <w:lastRenderedPageBreak/>
        <w:t>Firma društva glasi: Društvo za upravljanje investicionim fondovima »INVEST NOVA« a.d. Bijeljina.</w:t>
      </w:r>
    </w:p>
    <w:p w:rsidR="00A96AD2" w:rsidRPr="00930FF2" w:rsidRDefault="00A96AD2" w:rsidP="00A96AD2">
      <w:pPr>
        <w:ind w:left="0" w:firstLine="0"/>
        <w:contextualSpacing/>
        <w:rPr>
          <w:lang w:val="sl-SI"/>
        </w:rPr>
      </w:pPr>
      <w:r w:rsidRPr="00930FF2">
        <w:rPr>
          <w:lang w:val="sl-SI"/>
        </w:rPr>
        <w:t>Skraćeni naziv firme društva glasi: »INVEST NOVA« a.d. Bijeljina.</w:t>
      </w:r>
    </w:p>
    <w:p w:rsidR="00A96AD2" w:rsidRPr="00930FF2" w:rsidRDefault="00A96AD2" w:rsidP="00A96AD2">
      <w:pPr>
        <w:autoSpaceDE w:val="0"/>
        <w:autoSpaceDN w:val="0"/>
        <w:adjustRightInd w:val="0"/>
        <w:ind w:left="0" w:firstLine="0"/>
        <w:contextualSpacing/>
      </w:pPr>
      <w:r w:rsidRPr="00930FF2">
        <w:t>Matični broj: 01935321</w:t>
      </w:r>
    </w:p>
    <w:p w:rsidR="00A96AD2" w:rsidRPr="00930FF2" w:rsidRDefault="00A96AD2" w:rsidP="00A96AD2">
      <w:pPr>
        <w:autoSpaceDE w:val="0"/>
        <w:autoSpaceDN w:val="0"/>
        <w:adjustRightInd w:val="0"/>
        <w:ind w:left="0" w:firstLine="0"/>
        <w:contextualSpacing/>
      </w:pPr>
      <w:r w:rsidRPr="00930FF2">
        <w:t>Registarski sud: osnovni sud u Bijeljini</w:t>
      </w:r>
    </w:p>
    <w:p w:rsidR="00A96AD2" w:rsidRPr="00930FF2" w:rsidRDefault="00A96AD2" w:rsidP="00A96AD2">
      <w:pPr>
        <w:autoSpaceDE w:val="0"/>
        <w:autoSpaceDN w:val="0"/>
        <w:adjustRightInd w:val="0"/>
        <w:ind w:left="0" w:firstLine="0"/>
        <w:contextualSpacing/>
      </w:pPr>
      <w:r w:rsidRPr="00930FF2">
        <w:t>Djelatnost: 66.30 – djelatnost upravljanja fondovima</w:t>
      </w:r>
    </w:p>
    <w:p w:rsidR="00A96AD2" w:rsidRPr="00930FF2" w:rsidRDefault="00A96AD2" w:rsidP="00A96AD2">
      <w:pPr>
        <w:autoSpaceDE w:val="0"/>
        <w:autoSpaceDN w:val="0"/>
        <w:adjustRightInd w:val="0"/>
        <w:ind w:left="0" w:firstLine="0"/>
        <w:contextualSpacing/>
      </w:pPr>
      <w:r w:rsidRPr="00930FF2">
        <w:t xml:space="preserve">Forma organizovanja: zatvoreno akcionarsko društvo </w:t>
      </w:r>
    </w:p>
    <w:p w:rsidR="00A96AD2" w:rsidRPr="00930FF2" w:rsidRDefault="00A96AD2" w:rsidP="00A96AD2">
      <w:pPr>
        <w:autoSpaceDE w:val="0"/>
        <w:autoSpaceDN w:val="0"/>
        <w:adjustRightInd w:val="0"/>
        <w:ind w:left="0" w:firstLine="0"/>
        <w:contextualSpacing/>
      </w:pPr>
      <w:r w:rsidRPr="00930FF2">
        <w:t>Regulatorno tijelo ovlašćeno za nadzor nad radom društva za upravljanje je: Komisija za hartije od vrijednosti Republike Srpske.</w:t>
      </w:r>
    </w:p>
    <w:p w:rsidR="00A96AD2" w:rsidRPr="00930FF2" w:rsidRDefault="00A96AD2" w:rsidP="00A96AD2">
      <w:pPr>
        <w:ind w:left="0" w:firstLine="0"/>
        <w:contextualSpacing/>
        <w:rPr>
          <w:lang w:val="sl-SI"/>
        </w:rPr>
      </w:pPr>
      <w:r w:rsidRPr="00930FF2">
        <w:rPr>
          <w:lang w:val="sl-SI"/>
        </w:rPr>
        <w:t>Društvo je akcionarsko.</w:t>
      </w:r>
    </w:p>
    <w:p w:rsidR="00A96AD2" w:rsidRPr="00930FF2" w:rsidRDefault="00A96AD2" w:rsidP="00A96AD2">
      <w:pPr>
        <w:ind w:left="0" w:firstLine="0"/>
        <w:contextualSpacing/>
        <w:rPr>
          <w:lang w:val="sl-SI"/>
        </w:rPr>
      </w:pPr>
      <w:r w:rsidRPr="00930FF2">
        <w:rPr>
          <w:lang w:val="sl-SI"/>
        </w:rPr>
        <w:t>Sjedište društva i mjesto uprave društva je u Bijeljini, u Ulici Gavrila Principa, broj 11.</w:t>
      </w:r>
    </w:p>
    <w:p w:rsidR="00A96AD2" w:rsidRPr="00930FF2" w:rsidRDefault="00A96AD2" w:rsidP="00A96AD2">
      <w:pPr>
        <w:ind w:left="0" w:firstLine="0"/>
        <w:contextualSpacing/>
        <w:rPr>
          <w:lang w:val="sl-SI"/>
        </w:rPr>
      </w:pPr>
      <w:r w:rsidRPr="00930FF2">
        <w:rPr>
          <w:lang w:val="sl-SI"/>
        </w:rPr>
        <w:t>Društvo je osnovano dana 01.03.2007. godine, a dozvolu za nastavak poslovanja je dobilo dana 05.04.2007. godine Rešenjem Komisije za hartije od vrijednosti Republike Srpske, broj: 01-UP-041-1215/07.</w:t>
      </w:r>
    </w:p>
    <w:p w:rsidR="00A96AD2" w:rsidRPr="00930FF2" w:rsidRDefault="00A96AD2" w:rsidP="00A96AD2">
      <w:pPr>
        <w:ind w:left="0" w:firstLine="0"/>
        <w:contextualSpacing/>
        <w:rPr>
          <w:lang w:val="sr-Latn-BA"/>
        </w:rPr>
      </w:pPr>
      <w:r w:rsidRPr="00930FF2">
        <w:rPr>
          <w:lang w:val="sr-Latn-BA"/>
        </w:rPr>
        <w:t xml:space="preserve">Društvo upravlja drugim investicionim fondom i to Zatvorenim </w:t>
      </w:r>
      <w:r w:rsidR="002B77E6" w:rsidRPr="00930FF2">
        <w:rPr>
          <w:lang w:val="sr-Latn-BA"/>
        </w:rPr>
        <w:t xml:space="preserve">mješovitim </w:t>
      </w:r>
      <w:r w:rsidRPr="00930FF2">
        <w:rPr>
          <w:lang w:val="sr-Latn-BA"/>
        </w:rPr>
        <w:t xml:space="preserve">investicionim fondom sa javnom ponudom </w:t>
      </w:r>
      <w:r w:rsidR="002B77E6" w:rsidRPr="00930FF2">
        <w:rPr>
          <w:lang w:val="sr-Latn-BA"/>
        </w:rPr>
        <w:t xml:space="preserve">u preoblikovanju </w:t>
      </w:r>
      <w:r w:rsidRPr="00930FF2">
        <w:rPr>
          <w:lang w:val="sr-Latn-BA"/>
        </w:rPr>
        <w:t>„Unioinvest fond“ a.d. Bijeljina, u skladu sa Ugovorom o upravljanju, broj: 01/2007  koji je zaključilo sa fondom, dana 06.12.2007. godine</w:t>
      </w:r>
      <w:r w:rsidRPr="00930FF2">
        <w:rPr>
          <w:color w:val="FF0000"/>
          <w:lang w:val="sr-Latn-BA"/>
        </w:rPr>
        <w:t>.</w:t>
      </w:r>
    </w:p>
    <w:p w:rsidR="00A96AD2" w:rsidRPr="00930FF2" w:rsidRDefault="00A96AD2" w:rsidP="00A96AD2">
      <w:pPr>
        <w:ind w:left="0" w:firstLine="0"/>
        <w:contextualSpacing/>
        <w:rPr>
          <w:lang w:val="sl-SI"/>
        </w:rPr>
      </w:pPr>
      <w:r w:rsidRPr="00930FF2">
        <w:rPr>
          <w:lang w:val="sl-SI"/>
        </w:rPr>
        <w:t>Akcijski kapital društva je 1.560.000,00KM i podijeljen je na 1.560 akcija, nominalne vrijednosti od 1.000,00KM po akciji.</w:t>
      </w:r>
    </w:p>
    <w:p w:rsidR="00A96AD2" w:rsidRPr="00930FF2" w:rsidRDefault="00A96AD2" w:rsidP="00A96AD2">
      <w:pPr>
        <w:ind w:left="0" w:firstLine="0"/>
        <w:contextualSpacing/>
        <w:rPr>
          <w:lang w:val="sl-SI"/>
        </w:rPr>
      </w:pPr>
      <w:r w:rsidRPr="00930FF2">
        <w:rPr>
          <w:lang w:val="sl-SI"/>
        </w:rPr>
        <w:t>Osim upravljanja fondom, kao osnovnom djelatnošću društvo investira u hartije od vrijednosti u svoje ime i za svoj račun.</w:t>
      </w:r>
    </w:p>
    <w:p w:rsidR="00A96AD2" w:rsidRPr="00930FF2" w:rsidRDefault="00A96AD2" w:rsidP="00A96AD2">
      <w:pPr>
        <w:autoSpaceDE w:val="0"/>
        <w:autoSpaceDN w:val="0"/>
        <w:adjustRightInd w:val="0"/>
        <w:ind w:left="0" w:firstLine="0"/>
        <w:contextualSpacing/>
        <w:jc w:val="left"/>
      </w:pPr>
      <w:r w:rsidRPr="00930FF2">
        <w:t>Lista akcionara Društva sa st</w:t>
      </w:r>
      <w:r w:rsidR="00702EA6" w:rsidRPr="00930FF2">
        <w:t>anjem na dan 19</w:t>
      </w:r>
      <w:r w:rsidRPr="00930FF2">
        <w:t>.0</w:t>
      </w:r>
      <w:r w:rsidR="00702EA6" w:rsidRPr="00930FF2">
        <w:t>6</w:t>
      </w:r>
      <w:r w:rsidRPr="00930FF2">
        <w:t>.2016. godine: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520"/>
        <w:gridCol w:w="2397"/>
        <w:gridCol w:w="1915"/>
        <w:gridCol w:w="1916"/>
      </w:tblGrid>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Redni broj</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Član skupštine društva - akcionar</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Identifikacioni broj</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Broj akcija sa pravom glasa</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 xml:space="preserve">% učešće u osnovnom kapitalu </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Stevan Radić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2910958183945</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587</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37,628205</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Goran Avlijaš</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2603955171504</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364</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23,333333</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Progres AD d.o.o. Zvornik</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01874390</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177</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11,346154</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4</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Unicep group d.o.o. Banja Luka</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01986082</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140</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8,974359</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5</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Otrantkomerc a.d. Podgorica</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149900135671746</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68</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4,358974</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6</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Radovan Vučković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1411951153951</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32</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2,051282</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7</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Dragan Šolaja</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1203955131551</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28</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1,794872</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8</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Jelenko Dragičević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1202986180864</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24</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1,538462</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9</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Rajko Vuković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2304949153971</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16</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1,025641</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10</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Veljko Vasiljević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1405956153968</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12</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0,769231</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11</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Brčko Gas Osiguranje d.d. Brčko</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4600013830004</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8</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0,512821</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12</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Obrad Batinić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0709951151008</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13</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Risto Ćeranić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1301957171501</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Srboljub Golubović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0401943100017</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15</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Jovo Gudelj</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0108963153959</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w:t>
            </w:r>
            <w:r w:rsidR="00356181" w:rsidRPr="00930FF2">
              <w:t>6</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Miro Klepić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0602957171508</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17</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Anđelko Kozomara</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2111952100037</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lastRenderedPageBreak/>
              <w:t>18</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Mirjana Maksimović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0812974188583</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19</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Stana Marković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1009961185859</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20</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Radmila Mićić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1411960185866</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21</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Svetozar Mihajlović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1811949180869</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22</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Dragutin Mirović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2710947171423</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23</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Veljko Papaz</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0205949171508</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24</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Petra Perić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2807971186516</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25</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Ljubiša Rakić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1709977180867</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26</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Dragan Savić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2005972180857</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27</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Miloš Savić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1410949183731</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28</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Slavica Savić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1912958187508</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29</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Svetozar Sladojević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0605947100032</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30</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Slavica Stević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2408966185852</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31</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Mira Stojanović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1309955185859</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32</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Vladimir Trišić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2810969180854</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33</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Saša Vasiljević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1707967100013</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34</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Milan Vidić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1106948120042</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35</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Boris Vidović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0602954183734</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36</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Danilo Vujat</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0211957101470</w:t>
            </w:r>
          </w:p>
        </w:tc>
        <w:tc>
          <w:tcPr>
            <w:tcW w:w="1915" w:type="dxa"/>
          </w:tcPr>
          <w:p w:rsidR="002B77E6" w:rsidRPr="00930FF2" w:rsidRDefault="002B77E6" w:rsidP="002B77E6">
            <w:pPr>
              <w:tabs>
                <w:tab w:val="center" w:pos="4320"/>
                <w:tab w:val="right" w:pos="8640"/>
              </w:tabs>
              <w:ind w:left="0" w:firstLine="0"/>
              <w:contextualSpacing/>
            </w:pPr>
            <w:r w:rsidRPr="00930FF2">
              <w:t>4</w:t>
            </w:r>
          </w:p>
        </w:tc>
        <w:tc>
          <w:tcPr>
            <w:tcW w:w="1916" w:type="dxa"/>
          </w:tcPr>
          <w:p w:rsidR="002B77E6" w:rsidRPr="00930FF2" w:rsidRDefault="002B77E6" w:rsidP="002B77E6">
            <w:pPr>
              <w:tabs>
                <w:tab w:val="center" w:pos="4320"/>
                <w:tab w:val="right" w:pos="8640"/>
              </w:tabs>
              <w:ind w:left="0" w:firstLine="0"/>
              <w:contextualSpacing/>
            </w:pPr>
            <w:r w:rsidRPr="00930FF2">
              <w:t>0,256410</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37</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Bojan Marković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0407985180868</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0,128205</w:t>
            </w:r>
          </w:p>
        </w:tc>
      </w:tr>
      <w:tr w:rsidR="002B77E6" w:rsidRPr="00930FF2" w:rsidTr="002B77E6">
        <w:tc>
          <w:tcPr>
            <w:tcW w:w="828"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38</w:t>
            </w:r>
          </w:p>
        </w:tc>
        <w:tc>
          <w:tcPr>
            <w:tcW w:w="2520"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Dejan Marković</w:t>
            </w:r>
          </w:p>
        </w:tc>
        <w:tc>
          <w:tcPr>
            <w:tcW w:w="2397"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2001983180888</w:t>
            </w:r>
          </w:p>
        </w:tc>
        <w:tc>
          <w:tcPr>
            <w:tcW w:w="1915"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2</w:t>
            </w:r>
          </w:p>
        </w:tc>
        <w:tc>
          <w:tcPr>
            <w:tcW w:w="1916" w:type="dxa"/>
          </w:tcPr>
          <w:p w:rsidR="002B77E6" w:rsidRPr="00930FF2" w:rsidRDefault="002B77E6" w:rsidP="002B77E6">
            <w:pPr>
              <w:tabs>
                <w:tab w:val="center" w:pos="4320"/>
                <w:tab w:val="right" w:pos="8640"/>
              </w:tabs>
              <w:autoSpaceDE w:val="0"/>
              <w:autoSpaceDN w:val="0"/>
              <w:adjustRightInd w:val="0"/>
              <w:ind w:left="0" w:firstLine="0"/>
              <w:contextualSpacing/>
            </w:pPr>
            <w:r w:rsidRPr="00930FF2">
              <w:t>0,128205</w:t>
            </w:r>
          </w:p>
        </w:tc>
      </w:tr>
    </w:tbl>
    <w:p w:rsidR="00A96AD2" w:rsidRPr="00930FF2" w:rsidRDefault="00A96AD2" w:rsidP="00A96AD2">
      <w:pPr>
        <w:ind w:left="0" w:firstLine="0"/>
        <w:contextualSpacing/>
        <w:rPr>
          <w:lang w:val="sr-Latn-BA"/>
        </w:rPr>
      </w:pPr>
      <w:r w:rsidRPr="00930FF2">
        <w:rPr>
          <w:lang w:val="sr-Latn-BA"/>
        </w:rPr>
        <w:t>Akcionari povezani sa Društvom su: Stevan Radić, direktor Društva i „Progres AD d.o.o. Zvornik.</w:t>
      </w:r>
    </w:p>
    <w:p w:rsidR="00A96AD2" w:rsidRPr="00930FF2" w:rsidRDefault="00A96AD2" w:rsidP="00A96AD2">
      <w:pPr>
        <w:pStyle w:val="BodyTextIndent2"/>
        <w:spacing w:after="0" w:line="240" w:lineRule="auto"/>
        <w:ind w:left="0"/>
        <w:jc w:val="both"/>
        <w:rPr>
          <w:rFonts w:ascii="Times New Roman" w:hAnsi="Times New Roman"/>
          <w:sz w:val="24"/>
        </w:rPr>
      </w:pPr>
      <w:r w:rsidRPr="00930FF2">
        <w:rPr>
          <w:rFonts w:ascii="Times New Roman" w:hAnsi="Times New Roman"/>
          <w:sz w:val="24"/>
        </w:rPr>
        <w:t>U odnosu na imovinu Fonda Društvo za upravljanje ne koristi usluge investicionog savjetovanja nekog trećeg lica.</w:t>
      </w:r>
    </w:p>
    <w:p w:rsidR="002B77E6" w:rsidRPr="00930FF2" w:rsidRDefault="002B77E6" w:rsidP="00A96AD2">
      <w:pPr>
        <w:pStyle w:val="BodyTextIndent2"/>
        <w:spacing w:after="0" w:line="240" w:lineRule="auto"/>
        <w:ind w:left="0"/>
        <w:jc w:val="both"/>
        <w:rPr>
          <w:rFonts w:ascii="Times New Roman" w:hAnsi="Times New Roman"/>
          <w:sz w:val="24"/>
        </w:rPr>
      </w:pPr>
    </w:p>
    <w:p w:rsidR="00371127" w:rsidRPr="00930FF2" w:rsidRDefault="00264A7E" w:rsidP="00F553CF">
      <w:pPr>
        <w:pStyle w:val="ListParagraph"/>
        <w:numPr>
          <w:ilvl w:val="0"/>
          <w:numId w:val="10"/>
        </w:numPr>
        <w:rPr>
          <w:b/>
          <w:lang w:val="sr-Latn-BA"/>
        </w:rPr>
      </w:pPr>
      <w:r w:rsidRPr="00930FF2">
        <w:rPr>
          <w:b/>
          <w:lang w:val="sr-Latn-BA"/>
        </w:rPr>
        <w:t>ČUVANJE I VOĐENJE IMOVINE</w:t>
      </w:r>
    </w:p>
    <w:p w:rsidR="002D4CC5" w:rsidRPr="00930FF2" w:rsidRDefault="004217C0" w:rsidP="005838B8">
      <w:pPr>
        <w:autoSpaceDE w:val="0"/>
        <w:autoSpaceDN w:val="0"/>
        <w:adjustRightInd w:val="0"/>
        <w:ind w:left="0" w:firstLine="0"/>
        <w:contextualSpacing/>
      </w:pPr>
      <w:r w:rsidRPr="00930FF2">
        <w:t>Depozitar Fonda je Centralni registar hartija od vrijednosti</w:t>
      </w:r>
      <w:r w:rsidR="00A04D72" w:rsidRPr="00930FF2">
        <w:rPr>
          <w:shd w:val="clear" w:color="auto" w:fill="FFFFFF"/>
        </w:rPr>
        <w:t xml:space="preserve">, akcionarsko društvo, </w:t>
      </w:r>
      <w:r w:rsidRPr="00930FF2">
        <w:t xml:space="preserve">Ulica Sime Šolaje 1, Banja Luka. </w:t>
      </w:r>
    </w:p>
    <w:p w:rsidR="00A04D72" w:rsidRPr="00930FF2" w:rsidRDefault="00A04D72" w:rsidP="005838B8">
      <w:pPr>
        <w:autoSpaceDE w:val="0"/>
        <w:autoSpaceDN w:val="0"/>
        <w:adjustRightInd w:val="0"/>
        <w:ind w:left="0" w:firstLine="0"/>
        <w:contextualSpacing/>
      </w:pPr>
      <w:r w:rsidRPr="00930FF2">
        <w:t>Skraćeno poslovno ime: Centralni registar hartija od vrijednosti a.d. Banja Luka</w:t>
      </w:r>
    </w:p>
    <w:p w:rsidR="00A04D72" w:rsidRPr="00930FF2" w:rsidRDefault="00A04D72" w:rsidP="005838B8">
      <w:pPr>
        <w:autoSpaceDE w:val="0"/>
        <w:autoSpaceDN w:val="0"/>
        <w:adjustRightInd w:val="0"/>
        <w:ind w:left="0" w:firstLine="0"/>
        <w:contextualSpacing/>
      </w:pPr>
      <w:r w:rsidRPr="00930FF2">
        <w:t>Matični broj: 01942026</w:t>
      </w:r>
    </w:p>
    <w:p w:rsidR="00A04D72" w:rsidRPr="00930FF2" w:rsidRDefault="00A04D72" w:rsidP="005838B8">
      <w:pPr>
        <w:autoSpaceDE w:val="0"/>
        <w:autoSpaceDN w:val="0"/>
        <w:adjustRightInd w:val="0"/>
        <w:ind w:left="0" w:firstLine="0"/>
        <w:contextualSpacing/>
      </w:pPr>
      <w:r w:rsidRPr="00930FF2">
        <w:t>Telefon/Faks: 051/348-710; 051/348-718</w:t>
      </w:r>
    </w:p>
    <w:p w:rsidR="00A04D72" w:rsidRPr="00930FF2" w:rsidRDefault="00A04D72" w:rsidP="005838B8">
      <w:pPr>
        <w:autoSpaceDE w:val="0"/>
        <w:autoSpaceDN w:val="0"/>
        <w:adjustRightInd w:val="0"/>
        <w:ind w:left="0" w:firstLine="0"/>
        <w:contextualSpacing/>
      </w:pPr>
      <w:r w:rsidRPr="00930FF2">
        <w:t xml:space="preserve">e-mail: </w:t>
      </w:r>
      <w:hyperlink r:id="rId14" w:history="1">
        <w:r w:rsidRPr="00930FF2">
          <w:rPr>
            <w:rStyle w:val="Hyperlink"/>
          </w:rPr>
          <w:t>info@crhovrs.org</w:t>
        </w:r>
      </w:hyperlink>
    </w:p>
    <w:p w:rsidR="00A04D72" w:rsidRPr="00930FF2" w:rsidRDefault="00A04D72" w:rsidP="005838B8">
      <w:pPr>
        <w:autoSpaceDE w:val="0"/>
        <w:autoSpaceDN w:val="0"/>
        <w:adjustRightInd w:val="0"/>
        <w:ind w:left="0" w:firstLine="0"/>
        <w:contextualSpacing/>
      </w:pPr>
      <w:r w:rsidRPr="00930FF2">
        <w:t>Registar suda: Okružni privredni sud Banja Luka, reg. uložak, broj: 1-11975-00, broj rješenja: 057-0-Reg-11-001862</w:t>
      </w:r>
    </w:p>
    <w:p w:rsidR="00A04D72" w:rsidRPr="00930FF2" w:rsidRDefault="00A04D72" w:rsidP="005838B8">
      <w:pPr>
        <w:autoSpaceDE w:val="0"/>
        <w:autoSpaceDN w:val="0"/>
        <w:adjustRightInd w:val="0"/>
        <w:ind w:left="0" w:firstLine="0"/>
        <w:contextualSpacing/>
      </w:pPr>
      <w:r w:rsidRPr="00930FF2">
        <w:t>Datum osnivanja: 26.02.2001. godine</w:t>
      </w:r>
    </w:p>
    <w:tbl>
      <w:tblPr>
        <w:tblW w:w="0" w:type="auto"/>
        <w:shd w:val="clear" w:color="auto" w:fill="FFFFFF"/>
        <w:tblCellMar>
          <w:left w:w="0" w:type="dxa"/>
          <w:right w:w="0" w:type="dxa"/>
        </w:tblCellMar>
        <w:tblLook w:val="04A0"/>
      </w:tblPr>
      <w:tblGrid>
        <w:gridCol w:w="126"/>
        <w:gridCol w:w="126"/>
      </w:tblGrid>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spacing w:line="252" w:lineRule="atLeast"/>
              <w:ind w:left="0" w:firstLine="0"/>
              <w:jc w:val="left"/>
              <w:rPr>
                <w:rFonts w:eastAsia="Times New Roman"/>
                <w:bCs/>
              </w:rPr>
            </w:pPr>
          </w:p>
        </w:tc>
        <w:tc>
          <w:tcPr>
            <w:tcW w:w="0" w:type="auto"/>
            <w:shd w:val="clear" w:color="auto" w:fill="FFFFFF"/>
            <w:tcMar>
              <w:top w:w="0" w:type="dxa"/>
              <w:left w:w="60" w:type="dxa"/>
              <w:bottom w:w="0" w:type="dxa"/>
              <w:right w:w="60" w:type="dxa"/>
            </w:tcMar>
            <w:hideMark/>
          </w:tcPr>
          <w:p w:rsidR="00A04D72" w:rsidRPr="00930FF2" w:rsidRDefault="00A04D72" w:rsidP="00A04D72">
            <w:pPr>
              <w:spacing w:line="252" w:lineRule="atLeast"/>
              <w:ind w:left="0" w:firstLine="0"/>
              <w:jc w:val="left"/>
              <w:rPr>
                <w:rFonts w:eastAsia="Times New Roman"/>
              </w:rPr>
            </w:pPr>
          </w:p>
        </w:tc>
      </w:tr>
      <w:tr w:rsidR="000A299C" w:rsidRPr="00930FF2" w:rsidTr="000A299C">
        <w:tc>
          <w:tcPr>
            <w:tcW w:w="0" w:type="auto"/>
            <w:shd w:val="clear" w:color="auto" w:fill="FFFFFF"/>
            <w:tcMar>
              <w:top w:w="0" w:type="dxa"/>
              <w:left w:w="60" w:type="dxa"/>
              <w:bottom w:w="0" w:type="dxa"/>
              <w:right w:w="60" w:type="dxa"/>
            </w:tcMar>
            <w:hideMark/>
          </w:tcPr>
          <w:p w:rsidR="000A299C" w:rsidRPr="00930FF2" w:rsidRDefault="000A299C" w:rsidP="000A299C">
            <w:pPr>
              <w:spacing w:line="252" w:lineRule="atLeast"/>
              <w:ind w:left="0" w:firstLine="0"/>
              <w:jc w:val="left"/>
              <w:rPr>
                <w:rFonts w:eastAsia="Times New Roman"/>
              </w:rPr>
            </w:pPr>
          </w:p>
        </w:tc>
        <w:tc>
          <w:tcPr>
            <w:tcW w:w="0" w:type="auto"/>
            <w:shd w:val="clear" w:color="auto" w:fill="FFFFFF"/>
            <w:tcMar>
              <w:top w:w="0" w:type="dxa"/>
              <w:left w:w="60" w:type="dxa"/>
              <w:bottom w:w="0" w:type="dxa"/>
              <w:right w:w="60" w:type="dxa"/>
            </w:tcMar>
            <w:hideMark/>
          </w:tcPr>
          <w:p w:rsidR="000A299C" w:rsidRPr="00930FF2" w:rsidRDefault="000A299C" w:rsidP="000A299C">
            <w:pPr>
              <w:spacing w:line="252" w:lineRule="atLeast"/>
              <w:ind w:left="0" w:firstLine="0"/>
              <w:jc w:val="left"/>
              <w:rPr>
                <w:rFonts w:eastAsia="Times New Roman"/>
              </w:rPr>
            </w:pPr>
          </w:p>
        </w:tc>
      </w:tr>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r>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r>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r>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r>
      <w:tr w:rsidR="00A04D72" w:rsidRPr="00930FF2" w:rsidTr="00A04D72">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c>
          <w:tcPr>
            <w:tcW w:w="0" w:type="auto"/>
            <w:shd w:val="clear" w:color="auto" w:fill="FFFFFF"/>
            <w:tcMar>
              <w:top w:w="0" w:type="dxa"/>
              <w:left w:w="60" w:type="dxa"/>
              <w:bottom w:w="0" w:type="dxa"/>
              <w:right w:w="60" w:type="dxa"/>
            </w:tcMar>
            <w:hideMark/>
          </w:tcPr>
          <w:p w:rsidR="00A04D72" w:rsidRPr="00930FF2" w:rsidRDefault="00A04D72" w:rsidP="00A04D72">
            <w:pPr>
              <w:rPr>
                <w:rFonts w:eastAsia="Times New Roman"/>
              </w:rPr>
            </w:pPr>
          </w:p>
        </w:tc>
      </w:tr>
    </w:tbl>
    <w:p w:rsidR="002D4CC5" w:rsidRPr="00930FF2" w:rsidRDefault="002D4CC5" w:rsidP="002D4CC5">
      <w:pPr>
        <w:pStyle w:val="NormalWeb"/>
        <w:shd w:val="clear" w:color="auto" w:fill="FFFFFF"/>
        <w:spacing w:before="0" w:beforeAutospacing="0" w:after="0" w:afterAutospacing="0" w:line="252" w:lineRule="atLeast"/>
        <w:jc w:val="both"/>
      </w:pPr>
      <w:r w:rsidRPr="00930FF2">
        <w:t>Komisija za hartije od vrijednosti Republike Srpske kao nadležna institucija svojim rješenjem:</w:t>
      </w:r>
      <w:r w:rsidR="000510A0" w:rsidRPr="00930FF2">
        <w:t xml:space="preserve"> </w:t>
      </w:r>
      <w:r w:rsidRPr="00930FF2">
        <w:t>broj: 01-UP-041-1590/07 od 04.05.2007. godine dala je dozvolu Centralnom registru hartija od vrijednosti a.d. Banja Luka za obavljanje poslova depozitara investicionih fondova. Navedena dozvola produžena je rješenjem broj:</w:t>
      </w:r>
      <w:r w:rsidR="003A5632" w:rsidRPr="00930FF2">
        <w:t xml:space="preserve"> </w:t>
      </w:r>
      <w:r w:rsidRPr="00930FF2">
        <w:t>01-UP-041-1403/09 od 08.04.2009. godine, zatim rješenjem, broj: 01-UP-041-950/12 od 20.04.2012. godine, te rješenjem Komisije za hartije od vrijednosti RS broj: 01-UP-55-226-1/15 od 24.04.2015. godine.</w:t>
      </w:r>
    </w:p>
    <w:p w:rsidR="00F63465" w:rsidRPr="00930FF2" w:rsidRDefault="00F63465" w:rsidP="005838B8">
      <w:pPr>
        <w:autoSpaceDE w:val="0"/>
        <w:autoSpaceDN w:val="0"/>
        <w:adjustRightInd w:val="0"/>
        <w:ind w:left="0" w:firstLine="0"/>
        <w:contextualSpacing/>
      </w:pPr>
      <w:r w:rsidRPr="00930FF2">
        <w:t>Depozitar u ime i za račun Fonda:</w:t>
      </w:r>
    </w:p>
    <w:p w:rsidR="00F63465" w:rsidRPr="00930FF2" w:rsidRDefault="00F63465" w:rsidP="00F553CF">
      <w:pPr>
        <w:pStyle w:val="ListParagraph"/>
        <w:numPr>
          <w:ilvl w:val="0"/>
          <w:numId w:val="6"/>
        </w:numPr>
        <w:autoSpaceDE w:val="0"/>
        <w:autoSpaceDN w:val="0"/>
        <w:adjustRightInd w:val="0"/>
      </w:pPr>
      <w:r w:rsidRPr="00930FF2">
        <w:t>čuva imovinu fonda vođenjem na posebnim računima za svaki pojedini fond i odjeljivanjem imovine svakog pojedinog fonda od imovine ostalih fondova,</w:t>
      </w:r>
    </w:p>
    <w:p w:rsidR="00F63465" w:rsidRPr="00930FF2" w:rsidRDefault="00F63465" w:rsidP="00F553CF">
      <w:pPr>
        <w:pStyle w:val="ListParagraph"/>
        <w:numPr>
          <w:ilvl w:val="0"/>
          <w:numId w:val="6"/>
        </w:numPr>
        <w:autoSpaceDE w:val="0"/>
        <w:autoSpaceDN w:val="0"/>
        <w:adjustRightInd w:val="0"/>
      </w:pPr>
      <w:r w:rsidRPr="00930FF2">
        <w:lastRenderedPageBreak/>
        <w:t>vodi računa da je obračun neto vrijednosti imovine Fonda po akciji obavljen u skladu sa zakonom, drugim propisima, te Prospektom i Statutom Fonda,</w:t>
      </w:r>
    </w:p>
    <w:p w:rsidR="00F63465" w:rsidRPr="00930FF2" w:rsidRDefault="00F63465" w:rsidP="00F553CF">
      <w:pPr>
        <w:pStyle w:val="ListParagraph"/>
        <w:numPr>
          <w:ilvl w:val="0"/>
          <w:numId w:val="6"/>
        </w:numPr>
        <w:autoSpaceDE w:val="0"/>
        <w:autoSpaceDN w:val="0"/>
        <w:adjustRightInd w:val="0"/>
      </w:pPr>
      <w:r w:rsidRPr="00930FF2">
        <w:t>kontroliše i odobrava finansijske transakcije u vezi sa poslovanjem Fonda,</w:t>
      </w:r>
    </w:p>
    <w:p w:rsidR="00F63465" w:rsidRPr="00930FF2" w:rsidRDefault="00F63465" w:rsidP="00F553CF">
      <w:pPr>
        <w:pStyle w:val="ListParagraph"/>
        <w:numPr>
          <w:ilvl w:val="0"/>
          <w:numId w:val="6"/>
        </w:numPr>
        <w:autoSpaceDE w:val="0"/>
        <w:autoSpaceDN w:val="0"/>
        <w:adjustRightInd w:val="0"/>
      </w:pPr>
      <w:r w:rsidRPr="00930FF2">
        <w:t>izvještava Društvo o korporativnim radnjama u vezi sa imovinom Fonda koju čuva i izvršava njegove naloge koji iz toga proizilaze,</w:t>
      </w:r>
    </w:p>
    <w:p w:rsidR="00F63465" w:rsidRPr="00930FF2" w:rsidRDefault="00F63465" w:rsidP="00F553CF">
      <w:pPr>
        <w:pStyle w:val="ListParagraph"/>
        <w:numPr>
          <w:ilvl w:val="0"/>
          <w:numId w:val="6"/>
        </w:numPr>
        <w:autoSpaceDE w:val="0"/>
        <w:autoSpaceDN w:val="0"/>
        <w:adjustRightInd w:val="0"/>
      </w:pPr>
      <w:r w:rsidRPr="00930FF2">
        <w:t>naplaćuje prihode i druga prava dospjela u korist Fonda koja proizilaze iz njegove imovine,</w:t>
      </w:r>
    </w:p>
    <w:p w:rsidR="00F63465" w:rsidRPr="00930FF2" w:rsidRDefault="000A299C" w:rsidP="00F553CF">
      <w:pPr>
        <w:pStyle w:val="ListParagraph"/>
        <w:numPr>
          <w:ilvl w:val="0"/>
          <w:numId w:val="6"/>
        </w:numPr>
        <w:autoSpaceDE w:val="0"/>
        <w:autoSpaceDN w:val="0"/>
        <w:adjustRightInd w:val="0"/>
      </w:pPr>
      <w:r w:rsidRPr="00930FF2">
        <w:t>o</w:t>
      </w:r>
      <w:r w:rsidR="00F63465" w:rsidRPr="00930FF2">
        <w:t xml:space="preserve">bezbjeđuje da se prihodi Fonda koriste u skladu sa Zakonom </w:t>
      </w:r>
      <w:r w:rsidRPr="00930FF2">
        <w:t>i</w:t>
      </w:r>
      <w:r w:rsidR="00F63465" w:rsidRPr="00930FF2">
        <w:t xml:space="preserve"> Prospektom ili Statutom Fonda, te da su troškovi koje plaća Fond u skladu sa uslovima iz Prospekta ili Statuta Fonda, odredbama Zakona </w:t>
      </w:r>
      <w:r w:rsidRPr="00930FF2">
        <w:t>i</w:t>
      </w:r>
      <w:r w:rsidR="00F63465" w:rsidRPr="00930FF2">
        <w:t xml:space="preserve"> drugih propisa</w:t>
      </w:r>
    </w:p>
    <w:p w:rsidR="000A299C" w:rsidRPr="00930FF2" w:rsidRDefault="000A299C" w:rsidP="00F553CF">
      <w:pPr>
        <w:numPr>
          <w:ilvl w:val="0"/>
          <w:numId w:val="6"/>
        </w:numPr>
        <w:tabs>
          <w:tab w:val="left" w:pos="709"/>
        </w:tabs>
      </w:pPr>
      <w:r w:rsidRPr="00930FF2">
        <w:t>vodi evidenciju poslovanja koje obavlja kao depozitar Fonda i istu na redovnoj osnovi usklađuje sa evidencijom Društva,</w:t>
      </w:r>
    </w:p>
    <w:p w:rsidR="000A299C" w:rsidRPr="00930FF2" w:rsidRDefault="000A299C" w:rsidP="00F553CF">
      <w:pPr>
        <w:numPr>
          <w:ilvl w:val="0"/>
          <w:numId w:val="6"/>
        </w:numPr>
        <w:tabs>
          <w:tab w:val="left" w:pos="709"/>
        </w:tabs>
      </w:pPr>
      <w:r w:rsidRPr="00930FF2">
        <w:t>prijavljuje Komisiji kršenje Zakona i ugovora koje učini Društvo,</w:t>
      </w:r>
    </w:p>
    <w:p w:rsidR="000A299C" w:rsidRPr="00930FF2" w:rsidRDefault="000A299C" w:rsidP="00F553CF">
      <w:pPr>
        <w:numPr>
          <w:ilvl w:val="0"/>
          <w:numId w:val="6"/>
        </w:numPr>
        <w:tabs>
          <w:tab w:val="left" w:pos="709"/>
        </w:tabs>
      </w:pPr>
      <w:r w:rsidRPr="00930FF2">
        <w:t>revizorima i drugim ovlašćenim licima uključujući i Komisiju, omogućava uvid u evidencije i drugu dokumentaciju u vezi sa poslovima koje obavlja,</w:t>
      </w:r>
    </w:p>
    <w:p w:rsidR="000A299C" w:rsidRPr="00930FF2" w:rsidRDefault="000A299C" w:rsidP="00F553CF">
      <w:pPr>
        <w:numPr>
          <w:ilvl w:val="0"/>
          <w:numId w:val="6"/>
        </w:numPr>
        <w:tabs>
          <w:tab w:val="left" w:pos="709"/>
        </w:tabs>
      </w:pPr>
      <w:r w:rsidRPr="00930FF2">
        <w:t>obavlja druge poslove u skladu sa propisima, predviđenih Ugovorom.</w:t>
      </w:r>
    </w:p>
    <w:p w:rsidR="00F63465" w:rsidRPr="00930FF2" w:rsidRDefault="00A7228A" w:rsidP="00A7228A">
      <w:pPr>
        <w:autoSpaceDE w:val="0"/>
        <w:autoSpaceDN w:val="0"/>
        <w:adjustRightInd w:val="0"/>
        <w:ind w:left="0" w:firstLine="0"/>
      </w:pPr>
      <w:r w:rsidRPr="00930FF2">
        <w:t>Banka Depozitar ima obavezu:</w:t>
      </w:r>
    </w:p>
    <w:p w:rsidR="00A7228A" w:rsidRPr="00930FF2" w:rsidRDefault="00A7228A" w:rsidP="00F553CF">
      <w:pPr>
        <w:pStyle w:val="ListParagraph"/>
        <w:numPr>
          <w:ilvl w:val="0"/>
          <w:numId w:val="6"/>
        </w:numPr>
        <w:autoSpaceDE w:val="0"/>
        <w:autoSpaceDN w:val="0"/>
        <w:adjustRightInd w:val="0"/>
      </w:pPr>
      <w:r w:rsidRPr="00930FF2">
        <w:t>da odbije izvršenje naloga Društva za koji smatra da nije u skladu sa propisima Fonda,</w:t>
      </w:r>
    </w:p>
    <w:p w:rsidR="00A7228A" w:rsidRPr="00930FF2" w:rsidRDefault="00A7228A" w:rsidP="00F553CF">
      <w:pPr>
        <w:pStyle w:val="ListParagraph"/>
        <w:numPr>
          <w:ilvl w:val="0"/>
          <w:numId w:val="6"/>
        </w:numPr>
        <w:autoSpaceDE w:val="0"/>
        <w:autoSpaceDN w:val="0"/>
        <w:adjustRightInd w:val="0"/>
      </w:pPr>
      <w:r w:rsidRPr="00930FF2">
        <w:t>da vrši isplatu dividend</w:t>
      </w:r>
      <w:r w:rsidR="000E14CD" w:rsidRPr="00930FF2">
        <w:t>e</w:t>
      </w:r>
      <w:r w:rsidRPr="00930FF2">
        <w:t xml:space="preserve"> akcionarima Fonda na osnovu naloga Društva,</w:t>
      </w:r>
    </w:p>
    <w:p w:rsidR="00A7228A" w:rsidRPr="00930FF2" w:rsidRDefault="000E14CD" w:rsidP="00F553CF">
      <w:pPr>
        <w:pStyle w:val="ListParagraph"/>
        <w:numPr>
          <w:ilvl w:val="0"/>
          <w:numId w:val="6"/>
        </w:numPr>
        <w:autoSpaceDE w:val="0"/>
        <w:autoSpaceDN w:val="0"/>
        <w:adjustRightInd w:val="0"/>
      </w:pPr>
      <w:r w:rsidRPr="00930FF2">
        <w:t>da dostavlja izvještaje i</w:t>
      </w:r>
      <w:r w:rsidR="00A7228A" w:rsidRPr="00930FF2">
        <w:t xml:space="preserve"> dokumentaciju u vezi sa imovinom </w:t>
      </w:r>
      <w:r w:rsidRPr="00930FF2">
        <w:t>i poslovanjem Fonda.</w:t>
      </w:r>
    </w:p>
    <w:p w:rsidR="00A7228A" w:rsidRPr="00930FF2" w:rsidRDefault="00A7228A" w:rsidP="00A7228A">
      <w:pPr>
        <w:autoSpaceDE w:val="0"/>
        <w:autoSpaceDN w:val="0"/>
        <w:adjustRightInd w:val="0"/>
        <w:ind w:left="0" w:firstLine="0"/>
      </w:pPr>
      <w:r w:rsidRPr="00930FF2">
        <w:t>Društvo ima obavezu:</w:t>
      </w:r>
    </w:p>
    <w:p w:rsidR="00A7228A" w:rsidRPr="00930FF2" w:rsidRDefault="00A7228A" w:rsidP="00F553CF">
      <w:pPr>
        <w:pStyle w:val="ListParagraph"/>
        <w:numPr>
          <w:ilvl w:val="0"/>
          <w:numId w:val="6"/>
        </w:numPr>
        <w:autoSpaceDE w:val="0"/>
        <w:autoSpaceDN w:val="0"/>
        <w:adjustRightInd w:val="0"/>
      </w:pPr>
      <w:r w:rsidRPr="00930FF2">
        <w:t>da dostavlja naloge u vezi sa poslovima koje obavlja Depozitar,</w:t>
      </w:r>
    </w:p>
    <w:p w:rsidR="00A7228A" w:rsidRPr="00930FF2" w:rsidRDefault="00A7228A" w:rsidP="00F553CF">
      <w:pPr>
        <w:pStyle w:val="ListParagraph"/>
        <w:numPr>
          <w:ilvl w:val="0"/>
          <w:numId w:val="6"/>
        </w:numPr>
        <w:autoSpaceDE w:val="0"/>
        <w:autoSpaceDN w:val="0"/>
        <w:adjustRightInd w:val="0"/>
      </w:pPr>
      <w:r w:rsidRPr="00930FF2">
        <w:t xml:space="preserve">da dostavlja spisak akcionara Fonda koji imaju pravo na isplatu dividende, i ostale </w:t>
      </w:r>
      <w:r w:rsidR="000E14CD" w:rsidRPr="00930FF2">
        <w:t xml:space="preserve">potrebne </w:t>
      </w:r>
      <w:r w:rsidRPr="00930FF2">
        <w:t>podatke u vezi sa isplatom dividende akcionarima Fonda,</w:t>
      </w:r>
    </w:p>
    <w:p w:rsidR="00A7228A" w:rsidRPr="00930FF2" w:rsidRDefault="00A7228A" w:rsidP="00F553CF">
      <w:pPr>
        <w:pStyle w:val="ListParagraph"/>
        <w:numPr>
          <w:ilvl w:val="0"/>
          <w:numId w:val="6"/>
        </w:numPr>
        <w:autoSpaceDE w:val="0"/>
        <w:autoSpaceDN w:val="0"/>
        <w:adjustRightInd w:val="0"/>
      </w:pPr>
      <w:r w:rsidRPr="00930FF2">
        <w:t>da vodi evidenciju transakcija sa imovinom Fonda, te da istu na redovnoj osnovi usklađuje sa evidencijom Depozitara,</w:t>
      </w:r>
    </w:p>
    <w:p w:rsidR="00A7228A" w:rsidRPr="00930FF2" w:rsidRDefault="00A7228A" w:rsidP="00F553CF">
      <w:pPr>
        <w:pStyle w:val="ListParagraph"/>
        <w:numPr>
          <w:ilvl w:val="0"/>
          <w:numId w:val="6"/>
        </w:numPr>
        <w:autoSpaceDE w:val="0"/>
        <w:autoSpaceDN w:val="0"/>
        <w:adjustRightInd w:val="0"/>
      </w:pPr>
      <w:r w:rsidRPr="00930FF2">
        <w:t>da blagovremeno dostavlja drugu dokumentaciju koja je neophodna Depozitaru za obavljanje poslova utvrđenih ovim ugovorm,</w:t>
      </w:r>
    </w:p>
    <w:p w:rsidR="00A7228A" w:rsidRPr="00930FF2" w:rsidRDefault="00A7228A" w:rsidP="00F553CF">
      <w:pPr>
        <w:pStyle w:val="ListParagraph"/>
        <w:numPr>
          <w:ilvl w:val="0"/>
          <w:numId w:val="6"/>
        </w:numPr>
        <w:autoSpaceDE w:val="0"/>
        <w:autoSpaceDN w:val="0"/>
        <w:adjustRightInd w:val="0"/>
      </w:pPr>
      <w:r w:rsidRPr="00930FF2">
        <w:t>da blagovremeno informiše Depozitara o svim činjenicama u vezi sa poslovanjem Fonda, a koje bi mogle uticati na</w:t>
      </w:r>
      <w:r w:rsidR="000E14CD" w:rsidRPr="00930FF2">
        <w:t xml:space="preserve"> poslove koje obavlja depozitar,</w:t>
      </w:r>
    </w:p>
    <w:p w:rsidR="000E14CD" w:rsidRPr="00930FF2" w:rsidRDefault="000E14CD" w:rsidP="00F553CF">
      <w:pPr>
        <w:pStyle w:val="ListParagraph"/>
        <w:numPr>
          <w:ilvl w:val="0"/>
          <w:numId w:val="6"/>
        </w:numPr>
        <w:autoSpaceDE w:val="0"/>
        <w:autoSpaceDN w:val="0"/>
        <w:adjustRightInd w:val="0"/>
      </w:pPr>
      <w:r w:rsidRPr="00930FF2">
        <w:t>da obavijesti Depozitara u slučaju izmjena Prospekta Fonda, a ako se izmjene odnose na vrstu imovine u koju je Fondu dozvoljeno ulaganje, politiku ulaganja, visinu godišnje naknade za upravljanje, kao i ukupan iznos troškova upravljanja i poslovanja koji mogu teretiti Fond, da obavijesti Depozitara bez odlaganja.</w:t>
      </w:r>
    </w:p>
    <w:p w:rsidR="004217C0" w:rsidRPr="00930FF2" w:rsidRDefault="004217C0" w:rsidP="005838B8">
      <w:pPr>
        <w:autoSpaceDE w:val="0"/>
        <w:autoSpaceDN w:val="0"/>
        <w:adjustRightInd w:val="0"/>
        <w:ind w:left="0" w:firstLine="0"/>
        <w:contextualSpacing/>
      </w:pPr>
      <w:r w:rsidRPr="00930FF2">
        <w:t>Upravni odbor Društva je ovlašten, da uz prethodnu saglasnost Nadzornog odbora Fonda izvrši promjenu depozitara Fonda, odnosno banku koja posjeduje dozvolu za obavljanje depozitarnih poslova izdatu od strane Komisije za hartije od vrijednosti Republike Srpske.</w:t>
      </w:r>
    </w:p>
    <w:p w:rsidR="005710C5" w:rsidRPr="00930FF2" w:rsidRDefault="005710C5" w:rsidP="004217C0">
      <w:pPr>
        <w:pStyle w:val="ListParagraph"/>
        <w:ind w:left="0" w:firstLine="0"/>
        <w:rPr>
          <w:b/>
          <w:lang w:val="sr-Latn-BA"/>
        </w:rPr>
      </w:pPr>
    </w:p>
    <w:p w:rsidR="00264A7E" w:rsidRPr="00930FF2" w:rsidRDefault="00264A7E" w:rsidP="00F553CF">
      <w:pPr>
        <w:pStyle w:val="ListParagraph"/>
        <w:numPr>
          <w:ilvl w:val="0"/>
          <w:numId w:val="10"/>
        </w:numPr>
        <w:rPr>
          <w:b/>
          <w:lang w:val="sr-Latn-BA"/>
        </w:rPr>
      </w:pPr>
      <w:r w:rsidRPr="00930FF2">
        <w:rPr>
          <w:b/>
          <w:lang w:val="sr-Latn-BA"/>
        </w:rPr>
        <w:t>PROCJENA</w:t>
      </w:r>
    </w:p>
    <w:p w:rsidR="00264A7E" w:rsidRPr="00930FF2" w:rsidRDefault="00264A7E" w:rsidP="00264A7E">
      <w:pPr>
        <w:ind w:left="0" w:firstLine="0"/>
        <w:contextualSpacing/>
        <w:rPr>
          <w:bCs/>
        </w:rPr>
      </w:pPr>
      <w:r w:rsidRPr="00930FF2">
        <w:rPr>
          <w:bCs/>
        </w:rPr>
        <w:t>Procjena hartija od vrijednosti iz portfelja Fonda se vrši, tamo gdje je to potrebno, u skladu sa Pravilnikom Komisije za hartije od vrijednosti</w:t>
      </w:r>
      <w:r w:rsidR="009C31F1" w:rsidRPr="00930FF2">
        <w:rPr>
          <w:bCs/>
        </w:rPr>
        <w:t xml:space="preserve"> Republike Srpske</w:t>
      </w:r>
      <w:r w:rsidRPr="00930FF2">
        <w:rPr>
          <w:bCs/>
        </w:rPr>
        <w:t xml:space="preserve"> i Međunarodnim računovodstvenim standardima.</w:t>
      </w:r>
    </w:p>
    <w:p w:rsidR="003A5632" w:rsidRPr="00930FF2" w:rsidRDefault="003A5632" w:rsidP="003A5632">
      <w:pPr>
        <w:ind w:left="0" w:firstLine="0"/>
        <w:contextualSpacing/>
      </w:pPr>
      <w:r w:rsidRPr="00930FF2">
        <w:t>Društvo za upravljanje je obavezno za Fond izraditi tromjesečne, polugodišnje i godišnje finansijske izvještaje koji su sastavljeni u skladu sa propisima i standardima o računovodstvu i finansijskom izvještavanju.</w:t>
      </w:r>
    </w:p>
    <w:p w:rsidR="003A5632" w:rsidRPr="00930FF2" w:rsidRDefault="003A5632" w:rsidP="003A5632">
      <w:pPr>
        <w:ind w:left="0" w:firstLine="0"/>
        <w:contextualSpacing/>
      </w:pPr>
      <w:r w:rsidRPr="00930FF2">
        <w:lastRenderedPageBreak/>
        <w:t xml:space="preserve">Finansijske izvještaje, zakonom propisana akta i dokumenta Fonda, kao i dodatne informacije o Fondu, akcionari mogu dobiti u sjedištu Društva za upravljanje IF-ovima ''Invest nova'' a.d. Bijeljina. </w:t>
      </w:r>
    </w:p>
    <w:p w:rsidR="003A5632" w:rsidRPr="00930FF2" w:rsidRDefault="003A5632" w:rsidP="003A5632">
      <w:pPr>
        <w:ind w:left="0" w:firstLine="0"/>
        <w:contextualSpacing/>
      </w:pPr>
      <w:r w:rsidRPr="00930FF2">
        <w:t>Izvještaji akcionarima i nadležnim institucijama dostavljaće se u skladu sa zakonom i propisima Komisije za hartije od vrijednosti Republike Srpske.</w:t>
      </w:r>
    </w:p>
    <w:p w:rsidR="00264A7E" w:rsidRPr="00930FF2" w:rsidRDefault="00264A7E" w:rsidP="00264A7E">
      <w:pPr>
        <w:pStyle w:val="ListParagraph"/>
        <w:ind w:left="0" w:firstLine="0"/>
        <w:rPr>
          <w:lang w:val="sl-SI"/>
        </w:rPr>
      </w:pPr>
      <w:r w:rsidRPr="00930FF2">
        <w:rPr>
          <w:lang w:val="sl-SI"/>
        </w:rPr>
        <w:t>Neto vrijednost imovine fonda se obračunava u skladu sa Zakonom, drugim propisima i metodologijom koju utvrdi Komisija za hartije od vrijednosti Republike Srpske.</w:t>
      </w:r>
    </w:p>
    <w:p w:rsidR="00264A7E" w:rsidRPr="00930FF2" w:rsidRDefault="00264A7E" w:rsidP="00264A7E">
      <w:pPr>
        <w:pStyle w:val="ListParagraph"/>
        <w:ind w:left="0" w:firstLine="0"/>
        <w:rPr>
          <w:lang w:val="sl-SI"/>
        </w:rPr>
      </w:pPr>
      <w:r w:rsidRPr="00930FF2">
        <w:rPr>
          <w:lang w:val="sl-SI"/>
        </w:rPr>
        <w:t>Neto vrijednost imovine fonda će se obračunavati najmanje jedanput mjesečno, a obračun će se vršiti poslednjeg dana u mjesecu.</w:t>
      </w:r>
    </w:p>
    <w:p w:rsidR="00264A7E" w:rsidRPr="00930FF2" w:rsidRDefault="00264A7E" w:rsidP="00264A7E">
      <w:pPr>
        <w:pStyle w:val="ListParagraph"/>
        <w:ind w:left="0" w:firstLine="0"/>
        <w:rPr>
          <w:lang w:val="sl-SI"/>
        </w:rPr>
      </w:pPr>
      <w:r w:rsidRPr="00930FF2">
        <w:rPr>
          <w:lang w:val="sl-SI"/>
        </w:rPr>
        <w:t>Volatilnost neto vrijednosti imovine fonda je visoka, s obzirom na strukturu portfelja fonda koji je formiran vaučerskom privatizacijom i koji je u cjelosti preuzet od privatizacionog investicionog fonda.</w:t>
      </w:r>
    </w:p>
    <w:p w:rsidR="00264A7E" w:rsidRPr="00930FF2" w:rsidRDefault="00264A7E" w:rsidP="009C31F1">
      <w:pPr>
        <w:pStyle w:val="ListParagraph"/>
        <w:ind w:left="0" w:firstLine="0"/>
        <w:rPr>
          <w:lang w:val="sl-SI"/>
        </w:rPr>
      </w:pPr>
      <w:r w:rsidRPr="00930FF2">
        <w:rPr>
          <w:lang w:val="sl-SI"/>
        </w:rPr>
        <w:t>U portfelju fonda se nalazi veliki broj hartija od vrijednosti preduzeća koja još uvijek nisu postigla određenu tržišnu valorizaciju i stabilnost, što predstavlja jednu od značajnih karakteristika fonda.</w:t>
      </w:r>
    </w:p>
    <w:p w:rsidR="003A5632" w:rsidRPr="00930FF2" w:rsidRDefault="00264A7E" w:rsidP="003A5632">
      <w:pPr>
        <w:ind w:left="0" w:firstLine="0"/>
        <w:contextualSpacing/>
        <w:rPr>
          <w:iCs/>
          <w:lang w:val="hr-HR"/>
        </w:rPr>
      </w:pPr>
      <w:r w:rsidRPr="00930FF2">
        <w:rPr>
          <w:bCs/>
        </w:rPr>
        <w:t>Izjavljujemo da će se investitori o izračunatoj neto vrijednosti imovine Fonda obavještavati u skladu sa zakonom.</w:t>
      </w:r>
      <w:r w:rsidRPr="00930FF2">
        <w:rPr>
          <w:b/>
          <w:bCs/>
        </w:rPr>
        <w:t xml:space="preserve"> </w:t>
      </w:r>
      <w:r w:rsidRPr="00930FF2">
        <w:t>Najmanje jednom mjesečno Društvo</w:t>
      </w:r>
      <w:r w:rsidR="009C31F1" w:rsidRPr="00930FF2">
        <w:t xml:space="preserve"> će</w:t>
      </w:r>
      <w:r w:rsidRPr="00930FF2">
        <w:t xml:space="preserve"> u jednim dnevnim novinama koje su dostupne na cjelokupnom području Republike Sr</w:t>
      </w:r>
      <w:r w:rsidR="009C31F1" w:rsidRPr="00930FF2">
        <w:t>pske i na internet stranici Druš</w:t>
      </w:r>
      <w:r w:rsidRPr="00930FF2">
        <w:t xml:space="preserve">tva, </w:t>
      </w:r>
      <w:r w:rsidR="009C31F1" w:rsidRPr="00930FF2">
        <w:t xml:space="preserve">objavljivati </w:t>
      </w:r>
      <w:r w:rsidRPr="00930FF2">
        <w:t>podatke o vrijednosti neto imovine</w:t>
      </w:r>
      <w:r w:rsidR="003A5632" w:rsidRPr="00930FF2">
        <w:t xml:space="preserve"> Fonda</w:t>
      </w:r>
      <w:r w:rsidR="003A5632" w:rsidRPr="00930FF2">
        <w:rPr>
          <w:b/>
          <w:i/>
          <w:iCs/>
          <w:lang w:val="hr-HR"/>
        </w:rPr>
        <w:t xml:space="preserve"> </w:t>
      </w:r>
      <w:r w:rsidR="003A5632" w:rsidRPr="00930FF2">
        <w:rPr>
          <w:iCs/>
          <w:lang w:val="hr-HR"/>
        </w:rPr>
        <w:t>i neto imovine po akciji Fonda.</w:t>
      </w:r>
    </w:p>
    <w:p w:rsidR="0080239A" w:rsidRPr="00930FF2" w:rsidRDefault="0080239A" w:rsidP="00BC5B30">
      <w:pPr>
        <w:ind w:left="0" w:firstLine="0"/>
        <w:rPr>
          <w:b/>
          <w:iCs/>
          <w:lang w:val="hr-HR"/>
        </w:rPr>
      </w:pPr>
    </w:p>
    <w:p w:rsidR="00F33AEB" w:rsidRPr="00930FF2" w:rsidRDefault="00F33AEB" w:rsidP="00F553CF">
      <w:pPr>
        <w:pStyle w:val="ListParagraph"/>
        <w:numPr>
          <w:ilvl w:val="0"/>
          <w:numId w:val="10"/>
        </w:numPr>
        <w:rPr>
          <w:b/>
          <w:iCs/>
          <w:lang w:val="hr-HR"/>
        </w:rPr>
      </w:pPr>
      <w:r w:rsidRPr="00930FF2">
        <w:rPr>
          <w:b/>
          <w:iCs/>
          <w:lang w:val="hr-HR"/>
        </w:rPr>
        <w:t>FINANSIJSKI PODACI U POSEBNIM SLUČAJEVIMA</w:t>
      </w:r>
    </w:p>
    <w:p w:rsidR="00F33AEB" w:rsidRPr="00930FF2" w:rsidRDefault="00F33AEB" w:rsidP="00F33AEB">
      <w:pPr>
        <w:ind w:left="0" w:firstLine="0"/>
        <w:rPr>
          <w:iCs/>
          <w:lang w:val="hr-HR"/>
        </w:rPr>
      </w:pPr>
      <w:r w:rsidRPr="00930FF2">
        <w:rPr>
          <w:iCs/>
          <w:lang w:val="hr-HR"/>
        </w:rPr>
        <w:t>Fond ne posjeduje probne finansijske informacije i podatke („pro forma“ finansijske informacije i poda</w:t>
      </w:r>
      <w:r w:rsidR="002025F9" w:rsidRPr="00930FF2">
        <w:rPr>
          <w:iCs/>
          <w:lang w:val="hr-HR"/>
        </w:rPr>
        <w:t>tke</w:t>
      </w:r>
      <w:r w:rsidRPr="00930FF2">
        <w:rPr>
          <w:iCs/>
          <w:lang w:val="hr-HR"/>
        </w:rPr>
        <w:t>).</w:t>
      </w:r>
    </w:p>
    <w:p w:rsidR="00F33AEB" w:rsidRPr="00930FF2" w:rsidRDefault="00F33AEB" w:rsidP="00F33AEB">
      <w:pPr>
        <w:ind w:left="0" w:firstLine="0"/>
        <w:rPr>
          <w:b/>
          <w:iCs/>
          <w:lang w:val="hr-HR"/>
        </w:rPr>
      </w:pPr>
    </w:p>
    <w:p w:rsidR="007B1AC4" w:rsidRPr="00930FF2" w:rsidRDefault="007B1AC4" w:rsidP="00F553CF">
      <w:pPr>
        <w:pStyle w:val="ListParagraph"/>
        <w:numPr>
          <w:ilvl w:val="0"/>
          <w:numId w:val="10"/>
        </w:numPr>
        <w:rPr>
          <w:b/>
          <w:lang w:val="sr-Latn-BA"/>
        </w:rPr>
      </w:pPr>
      <w:r w:rsidRPr="00930FF2">
        <w:rPr>
          <w:b/>
          <w:lang w:val="sr-Latn-BA"/>
        </w:rPr>
        <w:t>INFORMACIJE O BERZI ILI BERZAMA NA KOJIMA ĆE AKCIJE FONDA BITI UVRŠTENE</w:t>
      </w:r>
    </w:p>
    <w:p w:rsidR="007B1AC4" w:rsidRPr="00930FF2" w:rsidRDefault="007B1AC4" w:rsidP="007B1AC4">
      <w:pPr>
        <w:ind w:left="0" w:firstLine="0"/>
        <w:contextualSpacing/>
        <w:rPr>
          <w:lang w:val="sr-Latn-BA"/>
        </w:rPr>
      </w:pPr>
      <w:r w:rsidRPr="00930FF2">
        <w:rPr>
          <w:lang w:val="sr-Latn-BA"/>
        </w:rPr>
        <w:t>Trgovanje akcijama fonda</w:t>
      </w:r>
    </w:p>
    <w:p w:rsidR="007B1AC4" w:rsidRPr="00930FF2" w:rsidRDefault="007B1AC4" w:rsidP="007B1AC4">
      <w:pPr>
        <w:ind w:left="0" w:firstLine="0"/>
        <w:contextualSpacing/>
        <w:rPr>
          <w:lang w:val="sr-Latn-BA"/>
        </w:rPr>
      </w:pPr>
      <w:r w:rsidRPr="00930FF2">
        <w:rPr>
          <w:lang w:val="sr-Latn-BA"/>
        </w:rPr>
        <w:t>Akcije fonda su uvrštene na banjalučkoj berzi, u segmentu kotacija investicionih fondova.</w:t>
      </w:r>
    </w:p>
    <w:p w:rsidR="007B1AC4" w:rsidRPr="00930FF2" w:rsidRDefault="007B1AC4" w:rsidP="007B1AC4">
      <w:pPr>
        <w:pStyle w:val="ListParagraph"/>
        <w:ind w:left="0" w:firstLine="0"/>
        <w:rPr>
          <w:lang w:val="sr-Latn-BA"/>
        </w:rPr>
      </w:pPr>
      <w:r w:rsidRPr="00930FF2">
        <w:rPr>
          <w:lang w:val="sr-Latn-BA"/>
        </w:rPr>
        <w:t>Akcijama fonda se trguje bez ograničenja i u kontinuitetu, sa dozvoljenom fluktuacijom cijena u toku jednog dana trgovanja, od -20% do +20%, u odnosu na prosječnu cijenu trgovanja u toku prethodnog dana.</w:t>
      </w:r>
    </w:p>
    <w:p w:rsidR="007B1AC4" w:rsidRPr="00930FF2" w:rsidRDefault="007B1AC4" w:rsidP="007B1AC4">
      <w:pPr>
        <w:pStyle w:val="ListParagraph"/>
        <w:ind w:left="0" w:firstLine="0"/>
        <w:rPr>
          <w:lang w:val="sr-Latn-BA"/>
        </w:rPr>
      </w:pPr>
      <w:r w:rsidRPr="00930FF2">
        <w:rPr>
          <w:lang w:val="sr-Latn-BA"/>
        </w:rPr>
        <w:t>Upravni odbor društva može donijeti odluku da se akcije fonda uvrste na drugu berzu, u državi koja je članica EU ili članica CEFTA, ako procijeni da je to u interesu fonda i akcionara fonda.</w:t>
      </w:r>
    </w:p>
    <w:p w:rsidR="007B1AC4" w:rsidRPr="00930FF2" w:rsidRDefault="007B1AC4" w:rsidP="007B1AC4">
      <w:pPr>
        <w:pStyle w:val="ListParagraph"/>
        <w:ind w:left="0" w:firstLine="0"/>
        <w:rPr>
          <w:lang w:val="sr-Latn-BA"/>
        </w:rPr>
      </w:pPr>
      <w:r w:rsidRPr="00930FF2">
        <w:rPr>
          <w:lang w:val="sr-Latn-BA"/>
        </w:rPr>
        <w:t>Ovakvu odluku upravnog odbora društva svojom odlukom mora potvrditi nadzorni odbor fonda.</w:t>
      </w:r>
    </w:p>
    <w:p w:rsidR="007B1AC4" w:rsidRPr="00930FF2" w:rsidRDefault="007B1AC4" w:rsidP="007B1AC4">
      <w:pPr>
        <w:pStyle w:val="ListParagraph"/>
        <w:ind w:left="0" w:firstLine="0"/>
        <w:rPr>
          <w:lang w:val="sr-Latn-BA"/>
        </w:rPr>
      </w:pPr>
      <w:r w:rsidRPr="00930FF2">
        <w:rPr>
          <w:lang w:val="sr-Latn-BA"/>
        </w:rPr>
        <w:t>Akcijama fonda se u toku 2015. godine trgovalo 127 dana, a ostvarena prosječna cijena akcija fonda u toku godine je 0,0414</w:t>
      </w:r>
      <w:r w:rsidRPr="00930FF2">
        <w:t xml:space="preserve"> </w:t>
      </w:r>
      <w:r w:rsidRPr="00930FF2">
        <w:rPr>
          <w:lang w:val="sr-Latn-BA"/>
        </w:rPr>
        <w:t>KM po akciji fonda.</w:t>
      </w:r>
    </w:p>
    <w:p w:rsidR="007B1AC4" w:rsidRPr="00930FF2" w:rsidRDefault="007B1AC4" w:rsidP="007B1AC4">
      <w:pPr>
        <w:pStyle w:val="ListParagraph"/>
        <w:ind w:left="0" w:firstLine="0"/>
        <w:rPr>
          <w:lang w:val="sr-Latn-BA"/>
        </w:rPr>
      </w:pPr>
      <w:r w:rsidRPr="00930FF2">
        <w:rPr>
          <w:lang w:val="sr-Latn-BA"/>
        </w:rPr>
        <w:t>U toku ove poslovne godine nije bilo trgovanja akcijama fonda putem prijavljenih blok poslova.</w:t>
      </w:r>
    </w:p>
    <w:p w:rsidR="007B1AC4" w:rsidRPr="00930FF2" w:rsidRDefault="007B1AC4" w:rsidP="007B1AC4">
      <w:pPr>
        <w:pStyle w:val="ListParagraph"/>
        <w:ind w:left="0" w:firstLine="0"/>
        <w:rPr>
          <w:lang w:val="sr-Latn-BA"/>
        </w:rPr>
      </w:pPr>
      <w:r w:rsidRPr="00930FF2">
        <w:rPr>
          <w:lang w:val="sr-Latn-BA"/>
        </w:rPr>
        <w:t>Osnovni podaci o akcijama fonda su sljedeći:</w:t>
      </w:r>
    </w:p>
    <w:p w:rsidR="007B1AC4" w:rsidRPr="00930FF2" w:rsidRDefault="007B1AC4" w:rsidP="007B1AC4">
      <w:pPr>
        <w:pStyle w:val="ListParagraph"/>
        <w:autoSpaceDE w:val="0"/>
        <w:autoSpaceDN w:val="0"/>
        <w:adjustRightInd w:val="0"/>
        <w:ind w:left="0" w:firstLine="0"/>
        <w:rPr>
          <w:iCs/>
          <w:color w:val="000000"/>
        </w:rPr>
      </w:pPr>
      <w:r w:rsidRPr="00930FF2">
        <w:rPr>
          <w:iCs/>
          <w:color w:val="000000"/>
        </w:rPr>
        <w:t>Lokalna oznaka: INVP-R-A</w:t>
      </w:r>
    </w:p>
    <w:p w:rsidR="007B1AC4" w:rsidRPr="00930FF2" w:rsidRDefault="007B1AC4" w:rsidP="007B1AC4">
      <w:pPr>
        <w:pStyle w:val="ListParagraph"/>
        <w:autoSpaceDE w:val="0"/>
        <w:autoSpaceDN w:val="0"/>
        <w:adjustRightInd w:val="0"/>
        <w:ind w:left="0" w:firstLine="0"/>
        <w:rPr>
          <w:iCs/>
          <w:color w:val="000000"/>
        </w:rPr>
      </w:pPr>
      <w:r w:rsidRPr="00930FF2">
        <w:rPr>
          <w:iCs/>
          <w:color w:val="000000"/>
        </w:rPr>
        <w:t xml:space="preserve">ISIN: BA 100INVPRA1             </w:t>
      </w:r>
    </w:p>
    <w:p w:rsidR="007B1AC4" w:rsidRPr="00930FF2" w:rsidRDefault="007B1AC4" w:rsidP="007B1AC4">
      <w:pPr>
        <w:pStyle w:val="ListParagraph"/>
        <w:autoSpaceDE w:val="0"/>
        <w:autoSpaceDN w:val="0"/>
        <w:adjustRightInd w:val="0"/>
        <w:ind w:left="0" w:firstLine="0"/>
        <w:rPr>
          <w:iCs/>
          <w:color w:val="000000"/>
        </w:rPr>
      </w:pPr>
      <w:r w:rsidRPr="00930FF2">
        <w:rPr>
          <w:iCs/>
          <w:color w:val="000000"/>
        </w:rPr>
        <w:t>CFI: ESVUFR</w:t>
      </w:r>
    </w:p>
    <w:p w:rsidR="007B1AC4" w:rsidRPr="00930FF2" w:rsidRDefault="007B1AC4" w:rsidP="007B1AC4">
      <w:pPr>
        <w:pStyle w:val="ListParagraph"/>
        <w:autoSpaceDE w:val="0"/>
        <w:autoSpaceDN w:val="0"/>
        <w:adjustRightInd w:val="0"/>
        <w:ind w:left="0" w:firstLine="0"/>
        <w:rPr>
          <w:iCs/>
          <w:color w:val="000000"/>
        </w:rPr>
      </w:pPr>
      <w:r w:rsidRPr="00930FF2">
        <w:rPr>
          <w:iCs/>
          <w:color w:val="000000"/>
        </w:rPr>
        <w:t>RIC: INVP.BJ</w:t>
      </w:r>
    </w:p>
    <w:p w:rsidR="007B1AC4" w:rsidRPr="00930FF2" w:rsidRDefault="007B1AC4" w:rsidP="007B1AC4">
      <w:pPr>
        <w:pStyle w:val="ListParagraph"/>
        <w:ind w:left="0" w:firstLine="0"/>
        <w:rPr>
          <w:lang w:val="sr-Latn-BA"/>
        </w:rPr>
      </w:pPr>
      <w:r w:rsidRPr="00930FF2">
        <w:rPr>
          <w:lang w:val="sr-Latn-BA"/>
        </w:rPr>
        <w:t>promet i cijene akcija fonda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1142"/>
        <w:gridCol w:w="1139"/>
        <w:gridCol w:w="1186"/>
        <w:gridCol w:w="1376"/>
        <w:gridCol w:w="1296"/>
        <w:gridCol w:w="1139"/>
        <w:gridCol w:w="1179"/>
      </w:tblGrid>
      <w:tr w:rsidR="007B1AC4" w:rsidRPr="00930FF2" w:rsidTr="009E2B99">
        <w:tc>
          <w:tcPr>
            <w:tcW w:w="115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godina</w:t>
            </w:r>
          </w:p>
        </w:tc>
        <w:tc>
          <w:tcPr>
            <w:tcW w:w="116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Najniža cijena</w:t>
            </w:r>
          </w:p>
        </w:tc>
        <w:tc>
          <w:tcPr>
            <w:tcW w:w="1164"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Najviša cijena</w:t>
            </w:r>
          </w:p>
        </w:tc>
        <w:tc>
          <w:tcPr>
            <w:tcW w:w="1191"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Prosječna cijena</w:t>
            </w:r>
          </w:p>
        </w:tc>
        <w:tc>
          <w:tcPr>
            <w:tcW w:w="137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Prosječno ponderisana cijena</w:t>
            </w:r>
          </w:p>
        </w:tc>
        <w:tc>
          <w:tcPr>
            <w:tcW w:w="118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Promet akcijama - količina</w:t>
            </w:r>
          </w:p>
        </w:tc>
        <w:tc>
          <w:tcPr>
            <w:tcW w:w="1158"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 od emisije</w:t>
            </w:r>
          </w:p>
        </w:tc>
        <w:tc>
          <w:tcPr>
            <w:tcW w:w="1187"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Broj dana trgovanja</w:t>
            </w:r>
          </w:p>
        </w:tc>
      </w:tr>
      <w:tr w:rsidR="007B1AC4" w:rsidRPr="00930FF2" w:rsidTr="009E2B99">
        <w:tc>
          <w:tcPr>
            <w:tcW w:w="115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lastRenderedPageBreak/>
              <w:t>2013.</w:t>
            </w:r>
          </w:p>
        </w:tc>
        <w:tc>
          <w:tcPr>
            <w:tcW w:w="116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0,042</w:t>
            </w:r>
          </w:p>
        </w:tc>
        <w:tc>
          <w:tcPr>
            <w:tcW w:w="1164"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0,055</w:t>
            </w:r>
          </w:p>
        </w:tc>
        <w:tc>
          <w:tcPr>
            <w:tcW w:w="1191"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0,046</w:t>
            </w:r>
          </w:p>
        </w:tc>
        <w:tc>
          <w:tcPr>
            <w:tcW w:w="137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0,0464</w:t>
            </w:r>
          </w:p>
        </w:tc>
        <w:tc>
          <w:tcPr>
            <w:tcW w:w="118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11.721.748</w:t>
            </w:r>
          </w:p>
        </w:tc>
        <w:tc>
          <w:tcPr>
            <w:tcW w:w="1158"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6,2619</w:t>
            </w:r>
          </w:p>
        </w:tc>
        <w:tc>
          <w:tcPr>
            <w:tcW w:w="1187"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165</w:t>
            </w:r>
          </w:p>
        </w:tc>
      </w:tr>
      <w:tr w:rsidR="007B1AC4" w:rsidRPr="00930FF2" w:rsidTr="009E2B99">
        <w:tc>
          <w:tcPr>
            <w:tcW w:w="115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2014.</w:t>
            </w:r>
          </w:p>
        </w:tc>
        <w:tc>
          <w:tcPr>
            <w:tcW w:w="116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0,039</w:t>
            </w:r>
          </w:p>
        </w:tc>
        <w:tc>
          <w:tcPr>
            <w:tcW w:w="1164"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0,049</w:t>
            </w:r>
          </w:p>
        </w:tc>
        <w:tc>
          <w:tcPr>
            <w:tcW w:w="1191"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0,0445</w:t>
            </w:r>
          </w:p>
        </w:tc>
        <w:tc>
          <w:tcPr>
            <w:tcW w:w="137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0,0439</w:t>
            </w:r>
          </w:p>
        </w:tc>
        <w:tc>
          <w:tcPr>
            <w:tcW w:w="118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28.835.551</w:t>
            </w:r>
          </w:p>
        </w:tc>
        <w:tc>
          <w:tcPr>
            <w:tcW w:w="1158"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15,4043</w:t>
            </w:r>
          </w:p>
        </w:tc>
        <w:tc>
          <w:tcPr>
            <w:tcW w:w="1187"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162</w:t>
            </w:r>
          </w:p>
        </w:tc>
      </w:tr>
      <w:tr w:rsidR="007B1AC4" w:rsidRPr="00930FF2" w:rsidTr="009E2B99">
        <w:tc>
          <w:tcPr>
            <w:tcW w:w="115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2015.</w:t>
            </w:r>
          </w:p>
        </w:tc>
        <w:tc>
          <w:tcPr>
            <w:tcW w:w="116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0,039</w:t>
            </w:r>
          </w:p>
        </w:tc>
        <w:tc>
          <w:tcPr>
            <w:tcW w:w="1164"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0,046</w:t>
            </w:r>
          </w:p>
        </w:tc>
        <w:tc>
          <w:tcPr>
            <w:tcW w:w="1191"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0,0414</w:t>
            </w:r>
          </w:p>
        </w:tc>
        <w:tc>
          <w:tcPr>
            <w:tcW w:w="1376"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0,0438</w:t>
            </w:r>
          </w:p>
        </w:tc>
        <w:tc>
          <w:tcPr>
            <w:tcW w:w="1182"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14.547.879</w:t>
            </w:r>
          </w:p>
        </w:tc>
        <w:tc>
          <w:tcPr>
            <w:tcW w:w="1158"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7,7716</w:t>
            </w:r>
          </w:p>
        </w:tc>
        <w:tc>
          <w:tcPr>
            <w:tcW w:w="1187" w:type="dxa"/>
          </w:tcPr>
          <w:p w:rsidR="007B1AC4" w:rsidRPr="00930FF2" w:rsidRDefault="007B1AC4" w:rsidP="009E2B99">
            <w:pPr>
              <w:tabs>
                <w:tab w:val="center" w:pos="4320"/>
                <w:tab w:val="right" w:pos="8640"/>
              </w:tabs>
              <w:ind w:left="0" w:firstLine="0"/>
              <w:contextualSpacing/>
              <w:rPr>
                <w:color w:val="333333"/>
              </w:rPr>
            </w:pPr>
            <w:r w:rsidRPr="00930FF2">
              <w:rPr>
                <w:color w:val="333333"/>
              </w:rPr>
              <w:t>127</w:t>
            </w:r>
          </w:p>
        </w:tc>
      </w:tr>
    </w:tbl>
    <w:p w:rsidR="007B1AC4" w:rsidRPr="00930FF2" w:rsidRDefault="007B1AC4" w:rsidP="007B1AC4">
      <w:pPr>
        <w:ind w:left="0" w:firstLine="0"/>
      </w:pPr>
    </w:p>
    <w:p w:rsidR="007B1AC4" w:rsidRPr="00930FF2" w:rsidRDefault="007B1AC4" w:rsidP="00F553CF">
      <w:pPr>
        <w:pStyle w:val="ListParagraph"/>
        <w:numPr>
          <w:ilvl w:val="0"/>
          <w:numId w:val="10"/>
        </w:numPr>
        <w:jc w:val="left"/>
        <w:rPr>
          <w:b/>
          <w:bCs/>
          <w:sz w:val="26"/>
          <w:szCs w:val="26"/>
        </w:rPr>
      </w:pPr>
      <w:r w:rsidRPr="00930FF2">
        <w:rPr>
          <w:b/>
          <w:bCs/>
          <w:sz w:val="26"/>
          <w:szCs w:val="26"/>
        </w:rPr>
        <w:t>PORESKI PROPISI KOJI SE PRIMJENJUJU NA FOND</w:t>
      </w:r>
    </w:p>
    <w:p w:rsidR="007B1AC4" w:rsidRPr="00930FF2" w:rsidRDefault="007B1AC4" w:rsidP="007B1AC4">
      <w:pPr>
        <w:autoSpaceDE w:val="0"/>
        <w:autoSpaceDN w:val="0"/>
        <w:adjustRightInd w:val="0"/>
        <w:ind w:left="0" w:firstLine="0"/>
        <w:contextualSpacing/>
      </w:pPr>
      <w:r w:rsidRPr="00930FF2">
        <w:t>Imovina Fonda teretit će se za sve poreske obaveze koje je Fond dužan platiti na svoju imovinu ili dobit, kao i za troškove regulisanja poreskih obaveza.</w:t>
      </w:r>
    </w:p>
    <w:p w:rsidR="007B1AC4" w:rsidRPr="00930FF2" w:rsidRDefault="007B1AC4" w:rsidP="007B1AC4">
      <w:pPr>
        <w:ind w:left="0" w:firstLine="0"/>
        <w:contextualSpacing/>
      </w:pPr>
      <w:r w:rsidRPr="00930FF2">
        <w:t>Fond posluje u skladu sa Zakonom o porezu na dohodak RS, Zakonom o doprinosima RS, Zakonom o porezu na dobit RS, i ostalim podzakonskim propisima donijetim od strane Ministarstva finansija Republike Srpske, kojima se reguliše ova oblast.</w:t>
      </w:r>
    </w:p>
    <w:p w:rsidR="007B1AC4" w:rsidRPr="00930FF2" w:rsidRDefault="007B1AC4" w:rsidP="00BC5B30">
      <w:pPr>
        <w:ind w:left="0" w:firstLine="0"/>
        <w:rPr>
          <w:b/>
          <w:iCs/>
          <w:lang w:val="hr-HR"/>
        </w:rPr>
      </w:pPr>
    </w:p>
    <w:p w:rsidR="00066DB7" w:rsidRPr="00930FF2" w:rsidRDefault="0064675D" w:rsidP="00F553CF">
      <w:pPr>
        <w:pStyle w:val="ListParagraph"/>
        <w:numPr>
          <w:ilvl w:val="0"/>
          <w:numId w:val="10"/>
        </w:numPr>
        <w:rPr>
          <w:b/>
          <w:lang w:val="sr-Latn-BA"/>
        </w:rPr>
      </w:pPr>
      <w:r w:rsidRPr="00930FF2">
        <w:rPr>
          <w:b/>
          <w:lang w:val="sr-Latn-BA"/>
        </w:rPr>
        <w:t>TRAJANJE POSLOVNE GODINE</w:t>
      </w:r>
    </w:p>
    <w:p w:rsidR="004217C0" w:rsidRPr="00930FF2" w:rsidRDefault="004217C0" w:rsidP="004217C0">
      <w:pPr>
        <w:ind w:left="0" w:firstLine="0"/>
        <w:contextualSpacing/>
        <w:jc w:val="left"/>
        <w:rPr>
          <w:lang w:val="sl-SI"/>
        </w:rPr>
      </w:pPr>
      <w:r w:rsidRPr="00930FF2">
        <w:rPr>
          <w:lang w:val="sl-SI"/>
        </w:rPr>
        <w:t>Poslovna godina se poklapa sa kalendarskom godinom i počinje prvog janaura, a završava se trideset prvog decembra.</w:t>
      </w:r>
    </w:p>
    <w:p w:rsidR="004A5023" w:rsidRPr="00930FF2" w:rsidRDefault="004A5023" w:rsidP="00F6047D">
      <w:pPr>
        <w:pStyle w:val="BodyTextIndent"/>
        <w:ind w:left="0" w:right="48" w:firstLine="0"/>
        <w:rPr>
          <w:b/>
          <w:szCs w:val="24"/>
          <w:lang w:val="sl-SI"/>
        </w:rPr>
      </w:pPr>
    </w:p>
    <w:p w:rsidR="004217C0" w:rsidRPr="00930FF2" w:rsidRDefault="004217C0" w:rsidP="00F553CF">
      <w:pPr>
        <w:pStyle w:val="BodyTextIndent"/>
        <w:numPr>
          <w:ilvl w:val="0"/>
          <w:numId w:val="10"/>
        </w:numPr>
        <w:ind w:right="48"/>
        <w:rPr>
          <w:b/>
          <w:szCs w:val="24"/>
          <w:lang w:val="sl-SI"/>
        </w:rPr>
      </w:pPr>
      <w:r w:rsidRPr="00930FF2">
        <w:rPr>
          <w:b/>
          <w:szCs w:val="24"/>
          <w:lang w:val="sl-SI"/>
        </w:rPr>
        <w:t>DATUM IZDAVANJA PROSPEKTA</w:t>
      </w:r>
    </w:p>
    <w:p w:rsidR="004217C0" w:rsidRPr="00930FF2" w:rsidRDefault="004217C0" w:rsidP="004217C0">
      <w:pPr>
        <w:ind w:left="0" w:firstLine="0"/>
        <w:contextualSpacing/>
        <w:jc w:val="left"/>
        <w:rPr>
          <w:lang w:val="sl-SI"/>
        </w:rPr>
      </w:pPr>
      <w:r w:rsidRPr="00930FF2">
        <w:rPr>
          <w:lang w:val="sl-SI"/>
        </w:rPr>
        <w:t>Ovaj Prospekt se izdaje sljedećeg dana od dana dobijanja saglasnosti na isti od strane Komisije za hartije od vrijednosti Republike Srpske.</w:t>
      </w:r>
    </w:p>
    <w:p w:rsidR="004217C0" w:rsidRPr="00930FF2" w:rsidRDefault="004217C0" w:rsidP="004217C0">
      <w:pPr>
        <w:pStyle w:val="BodyTextIndent"/>
        <w:ind w:left="0" w:right="48" w:firstLine="0"/>
        <w:rPr>
          <w:szCs w:val="24"/>
          <w:lang w:val="sl-SI"/>
        </w:rPr>
      </w:pPr>
      <w:r w:rsidRPr="00930FF2">
        <w:rPr>
          <w:szCs w:val="24"/>
          <w:lang w:val="sl-SI"/>
        </w:rPr>
        <w:t xml:space="preserve">Prospekt Zatvorenog </w:t>
      </w:r>
      <w:r w:rsidR="00CE097B" w:rsidRPr="00930FF2">
        <w:rPr>
          <w:szCs w:val="24"/>
          <w:lang w:val="sl-SI"/>
        </w:rPr>
        <w:t>mješovitog</w:t>
      </w:r>
      <w:r w:rsidR="002B77E6" w:rsidRPr="00930FF2">
        <w:rPr>
          <w:szCs w:val="24"/>
          <w:lang w:val="sl-SI"/>
        </w:rPr>
        <w:t xml:space="preserve"> </w:t>
      </w:r>
      <w:r w:rsidRPr="00930FF2">
        <w:rPr>
          <w:szCs w:val="24"/>
          <w:lang w:val="sl-SI"/>
        </w:rPr>
        <w:t>investicionog fonda sa javnom ponudom</w:t>
      </w:r>
      <w:r w:rsidR="002B77E6" w:rsidRPr="00930FF2">
        <w:rPr>
          <w:szCs w:val="24"/>
          <w:lang w:val="sl-SI"/>
        </w:rPr>
        <w:t xml:space="preserve"> u preoblikovanju</w:t>
      </w:r>
      <w:r w:rsidRPr="00930FF2">
        <w:rPr>
          <w:szCs w:val="24"/>
          <w:lang w:val="sl-SI"/>
        </w:rPr>
        <w:t xml:space="preserve"> „Invest nova fond“ a.d. Bijeljina usvojen je</w:t>
      </w:r>
      <w:r w:rsidR="002B77E6" w:rsidRPr="00930FF2">
        <w:rPr>
          <w:szCs w:val="24"/>
          <w:lang w:val="sl-SI"/>
        </w:rPr>
        <w:t xml:space="preserve"> na X</w:t>
      </w:r>
      <w:r w:rsidR="003D0C02" w:rsidRPr="00930FF2">
        <w:rPr>
          <w:szCs w:val="24"/>
          <w:lang w:val="sl-SI"/>
        </w:rPr>
        <w:t>V</w:t>
      </w:r>
      <w:r w:rsidR="002B77E6" w:rsidRPr="00930FF2">
        <w:rPr>
          <w:szCs w:val="24"/>
          <w:lang w:val="sl-SI"/>
        </w:rPr>
        <w:t>II sjednici Upravnog odbora Društva, dana</w:t>
      </w:r>
      <w:r w:rsidRPr="00930FF2">
        <w:rPr>
          <w:szCs w:val="24"/>
          <w:lang w:val="sl-SI"/>
        </w:rPr>
        <w:t xml:space="preserve"> </w:t>
      </w:r>
      <w:r w:rsidR="00593449" w:rsidRPr="00930FF2">
        <w:rPr>
          <w:szCs w:val="24"/>
          <w:lang w:val="sl-SI"/>
        </w:rPr>
        <w:t>19</w:t>
      </w:r>
      <w:r w:rsidRPr="00930FF2">
        <w:rPr>
          <w:szCs w:val="24"/>
          <w:lang w:val="sl-SI"/>
        </w:rPr>
        <w:t>.0</w:t>
      </w:r>
      <w:r w:rsidR="00593449" w:rsidRPr="00930FF2">
        <w:rPr>
          <w:szCs w:val="24"/>
          <w:lang w:val="sl-SI"/>
        </w:rPr>
        <w:t>8</w:t>
      </w:r>
      <w:r w:rsidRPr="00930FF2">
        <w:rPr>
          <w:szCs w:val="24"/>
          <w:lang w:val="sl-SI"/>
        </w:rPr>
        <w:t>.20</w:t>
      </w:r>
      <w:r w:rsidR="002B77E6" w:rsidRPr="00930FF2">
        <w:rPr>
          <w:szCs w:val="24"/>
          <w:lang w:val="sl-SI"/>
        </w:rPr>
        <w:t>16</w:t>
      </w:r>
      <w:r w:rsidRPr="00930FF2">
        <w:rPr>
          <w:szCs w:val="24"/>
          <w:lang w:val="sl-SI"/>
        </w:rPr>
        <w:t xml:space="preserve">. godine, </w:t>
      </w:r>
      <w:r w:rsidR="002B77E6" w:rsidRPr="00930FF2">
        <w:rPr>
          <w:szCs w:val="24"/>
          <w:lang w:val="sl-SI"/>
        </w:rPr>
        <w:t>a</w:t>
      </w:r>
      <w:r w:rsidRPr="00930FF2">
        <w:rPr>
          <w:szCs w:val="24"/>
          <w:lang w:val="sl-SI"/>
        </w:rPr>
        <w:t xml:space="preserve"> </w:t>
      </w:r>
      <w:r w:rsidR="002B77E6" w:rsidRPr="00930FF2">
        <w:rPr>
          <w:szCs w:val="24"/>
          <w:lang w:val="sl-SI"/>
        </w:rPr>
        <w:t>n</w:t>
      </w:r>
      <w:r w:rsidRPr="00930FF2">
        <w:rPr>
          <w:szCs w:val="24"/>
          <w:lang w:val="sl-SI"/>
        </w:rPr>
        <w:t xml:space="preserve">a osnovu </w:t>
      </w:r>
      <w:r w:rsidR="00F6047D" w:rsidRPr="00930FF2">
        <w:rPr>
          <w:szCs w:val="24"/>
          <w:lang w:val="sl-SI"/>
        </w:rPr>
        <w:t xml:space="preserve">Zakona o investicionim fondovima („Službeni glasnik Republike Srpske“ broj: 92/06 i 82/15), </w:t>
      </w:r>
      <w:r w:rsidRPr="00930FF2">
        <w:rPr>
          <w:szCs w:val="24"/>
          <w:lang w:val="sl-SI"/>
        </w:rPr>
        <w:t>Pravilnika o uslovima i postupku emisije hartija od vrijednosti i Priloga VII Pravilnika („Službeni glasnik Republike Srpske“ broj: 60/12</w:t>
      </w:r>
      <w:r w:rsidR="002E2B80" w:rsidRPr="00930FF2">
        <w:rPr>
          <w:szCs w:val="24"/>
          <w:lang w:val="sl-SI"/>
        </w:rPr>
        <w:t xml:space="preserve"> i 88/13</w:t>
      </w:r>
      <w:r w:rsidR="002B77E6" w:rsidRPr="00930FF2">
        <w:rPr>
          <w:szCs w:val="24"/>
          <w:lang w:val="sl-SI"/>
        </w:rPr>
        <w:t>),</w:t>
      </w:r>
      <w:r w:rsidR="00996978" w:rsidRPr="00930FF2">
        <w:rPr>
          <w:szCs w:val="24"/>
          <w:lang w:val="sl-SI"/>
        </w:rPr>
        <w:t xml:space="preserve"> Pravilnika o preoblikovanju zatvorenog investicionog fonda („Službeni glasnik Republike Srpske“, broj 108/15), </w:t>
      </w:r>
      <w:r w:rsidRPr="00930FF2">
        <w:rPr>
          <w:szCs w:val="24"/>
          <w:lang w:val="sl-SI"/>
        </w:rPr>
        <w:t>Obavještenja Komisije za hartije od vrijednosti Republike Srpske, broj: 01</w:t>
      </w:r>
      <w:r w:rsidRPr="00930FF2">
        <w:rPr>
          <w:rFonts w:ascii="Cambria Math" w:hAnsi="Cambria Math"/>
          <w:szCs w:val="24"/>
          <w:lang w:val="sl-SI"/>
        </w:rPr>
        <w:t>‐</w:t>
      </w:r>
      <w:r w:rsidRPr="00930FF2">
        <w:rPr>
          <w:szCs w:val="24"/>
          <w:lang w:val="sl-SI"/>
        </w:rPr>
        <w:t>34</w:t>
      </w:r>
      <w:r w:rsidRPr="00930FF2">
        <w:rPr>
          <w:rFonts w:ascii="Cambria Math" w:hAnsi="Cambria Math"/>
          <w:szCs w:val="24"/>
          <w:lang w:val="sl-SI"/>
        </w:rPr>
        <w:t>‐</w:t>
      </w:r>
      <w:r w:rsidRPr="00930FF2">
        <w:rPr>
          <w:szCs w:val="24"/>
          <w:lang w:val="sl-SI"/>
        </w:rPr>
        <w:t xml:space="preserve">218/16 od 17.03.2016. godine </w:t>
      </w:r>
      <w:r w:rsidR="002B77E6" w:rsidRPr="00930FF2">
        <w:rPr>
          <w:szCs w:val="24"/>
          <w:lang w:val="sl-SI"/>
        </w:rPr>
        <w:t>i</w:t>
      </w:r>
      <w:r w:rsidR="00996978" w:rsidRPr="00930FF2">
        <w:rPr>
          <w:szCs w:val="24"/>
          <w:lang w:val="sl-SI"/>
        </w:rPr>
        <w:t xml:space="preserve"> </w:t>
      </w:r>
      <w:r w:rsidR="00996978" w:rsidRPr="00930FF2">
        <w:rPr>
          <w:lang w:val="en-GB"/>
        </w:rPr>
        <w:t>Zaključka Komisije za hartije od vrijednosti Republike Srpske, broj: 05-UP-58</w:t>
      </w:r>
      <w:r w:rsidR="003D0C02" w:rsidRPr="00930FF2">
        <w:t>-322-</w:t>
      </w:r>
      <w:r w:rsidR="003D0C02" w:rsidRPr="00930FF2">
        <w:rPr>
          <w:lang w:val="sr-Latn-BA"/>
        </w:rPr>
        <w:t>2</w:t>
      </w:r>
      <w:r w:rsidR="003D0C02" w:rsidRPr="00930FF2">
        <w:t xml:space="preserve">/16 od </w:t>
      </w:r>
      <w:r w:rsidR="003D0C02" w:rsidRPr="00930FF2">
        <w:rPr>
          <w:lang w:val="sr-Latn-BA"/>
        </w:rPr>
        <w:t>21</w:t>
      </w:r>
      <w:r w:rsidR="00996978" w:rsidRPr="00930FF2">
        <w:t>.0</w:t>
      </w:r>
      <w:r w:rsidR="003D0C02" w:rsidRPr="00930FF2">
        <w:rPr>
          <w:lang w:val="sr-Latn-BA"/>
        </w:rPr>
        <w:t>7</w:t>
      </w:r>
      <w:r w:rsidR="00996978" w:rsidRPr="00930FF2">
        <w:t>.2016. godine.</w:t>
      </w:r>
      <w:r w:rsidRPr="00930FF2">
        <w:rPr>
          <w:szCs w:val="24"/>
          <w:lang w:val="sl-SI"/>
        </w:rPr>
        <w:t xml:space="preserve"> </w:t>
      </w:r>
    </w:p>
    <w:p w:rsidR="004217C0" w:rsidRPr="00930FF2" w:rsidRDefault="004217C0" w:rsidP="004217C0">
      <w:pPr>
        <w:pStyle w:val="ListParagraph"/>
        <w:ind w:left="0" w:firstLine="0"/>
        <w:rPr>
          <w:lang w:val="sr-Latn-BA"/>
        </w:rPr>
      </w:pPr>
    </w:p>
    <w:p w:rsidR="00371127" w:rsidRPr="00930FF2" w:rsidRDefault="00BE4B29" w:rsidP="00400CCA">
      <w:pPr>
        <w:ind w:left="0" w:firstLine="0"/>
        <w:contextualSpacing/>
        <w:rPr>
          <w:lang w:val="sr-Latn-BA"/>
        </w:rPr>
      </w:pPr>
      <w:r w:rsidRPr="00930FF2">
        <w:rPr>
          <w:lang w:val="sr-Latn-BA"/>
        </w:rPr>
        <w:t>U prilogu:</w:t>
      </w:r>
    </w:p>
    <w:p w:rsidR="00BE4B29" w:rsidRPr="00930FF2" w:rsidRDefault="00BE4B29" w:rsidP="00F553CF">
      <w:pPr>
        <w:pStyle w:val="ListParagraph"/>
        <w:numPr>
          <w:ilvl w:val="0"/>
          <w:numId w:val="6"/>
        </w:numPr>
        <w:rPr>
          <w:lang w:val="sr-Latn-BA"/>
        </w:rPr>
      </w:pPr>
      <w:r w:rsidRPr="00930FF2">
        <w:rPr>
          <w:lang w:val="sr-Latn-BA"/>
        </w:rPr>
        <w:t>Statut</w:t>
      </w:r>
      <w:r w:rsidR="00066DB7" w:rsidRPr="00930FF2">
        <w:rPr>
          <w:lang w:val="sr-Latn-BA"/>
        </w:rPr>
        <w:t xml:space="preserve"> Fonda</w:t>
      </w:r>
      <w:r w:rsidRPr="00930FF2">
        <w:rPr>
          <w:lang w:val="sr-Latn-BA"/>
        </w:rPr>
        <w:t>,</w:t>
      </w:r>
    </w:p>
    <w:p w:rsidR="00BE4B29" w:rsidRPr="00930FF2" w:rsidRDefault="00BE4B29" w:rsidP="00F553CF">
      <w:pPr>
        <w:pStyle w:val="ListParagraph"/>
        <w:numPr>
          <w:ilvl w:val="0"/>
          <w:numId w:val="6"/>
        </w:numPr>
        <w:rPr>
          <w:lang w:val="sr-Latn-BA"/>
        </w:rPr>
      </w:pPr>
      <w:r w:rsidRPr="00930FF2">
        <w:rPr>
          <w:lang w:val="sr-Latn-BA"/>
        </w:rPr>
        <w:t>Godišnji izvještaj o poslovanju</w:t>
      </w:r>
      <w:r w:rsidR="00066DB7" w:rsidRPr="00930FF2">
        <w:rPr>
          <w:lang w:val="sr-Latn-BA"/>
        </w:rPr>
        <w:t xml:space="preserve"> Fonda</w:t>
      </w:r>
      <w:r w:rsidRPr="00930FF2">
        <w:rPr>
          <w:lang w:val="sr-Latn-BA"/>
        </w:rPr>
        <w:t>.</w:t>
      </w:r>
    </w:p>
    <w:p w:rsidR="00BE4B29" w:rsidRPr="00930FF2" w:rsidRDefault="00BE4B29" w:rsidP="00BE4B29">
      <w:pPr>
        <w:rPr>
          <w:lang w:val="sr-Latn-BA"/>
        </w:rPr>
      </w:pPr>
    </w:p>
    <w:p w:rsidR="00BE4B29" w:rsidRPr="00930FF2" w:rsidRDefault="00BE4B29" w:rsidP="00BE4B29">
      <w:pPr>
        <w:pStyle w:val="BodyTextIndent"/>
        <w:ind w:left="0" w:right="48" w:firstLine="0"/>
        <w:rPr>
          <w:szCs w:val="24"/>
          <w:lang w:val="hr-HR"/>
        </w:rPr>
      </w:pPr>
      <w:r w:rsidRPr="00930FF2">
        <w:rPr>
          <w:szCs w:val="24"/>
          <w:lang w:val="sl-SI"/>
        </w:rPr>
        <w:t>Broj: UO-</w:t>
      </w:r>
      <w:r w:rsidR="00B5457E" w:rsidRPr="00930FF2">
        <w:rPr>
          <w:szCs w:val="24"/>
          <w:lang w:val="sl-SI"/>
        </w:rPr>
        <w:t>XVII</w:t>
      </w:r>
      <w:r w:rsidRPr="00930FF2">
        <w:rPr>
          <w:szCs w:val="24"/>
          <w:lang w:val="sl-SI"/>
        </w:rPr>
        <w:t>-0</w:t>
      </w:r>
      <w:r w:rsidR="008148FC" w:rsidRPr="00930FF2">
        <w:rPr>
          <w:szCs w:val="24"/>
          <w:lang w:val="sl-SI"/>
        </w:rPr>
        <w:t>6</w:t>
      </w:r>
      <w:r w:rsidR="001E3129" w:rsidRPr="00930FF2">
        <w:rPr>
          <w:szCs w:val="24"/>
          <w:lang w:val="sl-SI"/>
        </w:rPr>
        <w:t>a</w:t>
      </w:r>
      <w:r w:rsidRPr="00930FF2">
        <w:rPr>
          <w:szCs w:val="24"/>
          <w:lang w:val="sl-SI"/>
        </w:rPr>
        <w:t xml:space="preserve">/2016 </w:t>
      </w:r>
    </w:p>
    <w:p w:rsidR="00BE4B29" w:rsidRPr="008148FC" w:rsidRDefault="00BE4B29" w:rsidP="00243DF9">
      <w:pPr>
        <w:pStyle w:val="BodyTextIndent"/>
        <w:ind w:left="0" w:right="48" w:firstLine="0"/>
        <w:rPr>
          <w:szCs w:val="24"/>
          <w:lang w:val="sl-SI"/>
        </w:rPr>
      </w:pPr>
      <w:r w:rsidRPr="00930FF2">
        <w:rPr>
          <w:szCs w:val="24"/>
          <w:lang w:val="sl-SI"/>
        </w:rPr>
        <w:t>Bijeljina</w:t>
      </w:r>
      <w:r w:rsidRPr="00930FF2">
        <w:rPr>
          <w:szCs w:val="24"/>
        </w:rPr>
        <w:t xml:space="preserve">, </w:t>
      </w:r>
      <w:r w:rsidR="00F63C60" w:rsidRPr="00930FF2">
        <w:rPr>
          <w:szCs w:val="24"/>
          <w:lang w:val="sl-SI"/>
        </w:rPr>
        <w:t>19</w:t>
      </w:r>
      <w:r w:rsidRPr="00930FF2">
        <w:rPr>
          <w:szCs w:val="24"/>
        </w:rPr>
        <w:t>.</w:t>
      </w:r>
      <w:r w:rsidRPr="00930FF2">
        <w:rPr>
          <w:szCs w:val="24"/>
          <w:lang w:val="sl-SI"/>
        </w:rPr>
        <w:t>0</w:t>
      </w:r>
      <w:r w:rsidR="00B5457E" w:rsidRPr="00930FF2">
        <w:rPr>
          <w:szCs w:val="24"/>
          <w:lang w:val="sl-SI"/>
        </w:rPr>
        <w:t>8</w:t>
      </w:r>
      <w:r w:rsidRPr="00930FF2">
        <w:rPr>
          <w:szCs w:val="24"/>
          <w:lang w:val="sl-SI"/>
        </w:rPr>
        <w:t>.2016. godine</w:t>
      </w:r>
    </w:p>
    <w:sectPr w:rsidR="00BE4B29" w:rsidRPr="008148FC" w:rsidSect="00266A33">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956" w:rsidRDefault="00AF5956" w:rsidP="00266A33">
      <w:r>
        <w:separator/>
      </w:r>
    </w:p>
  </w:endnote>
  <w:endnote w:type="continuationSeparator" w:id="1">
    <w:p w:rsidR="00AF5956" w:rsidRDefault="00AF5956" w:rsidP="00266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9454"/>
      <w:docPartObj>
        <w:docPartGallery w:val="Page Numbers (Bottom of Page)"/>
        <w:docPartUnique/>
      </w:docPartObj>
    </w:sdtPr>
    <w:sdtContent>
      <w:p w:rsidR="00E17F32" w:rsidRDefault="00C84C24">
        <w:pPr>
          <w:pStyle w:val="Footer"/>
          <w:jc w:val="right"/>
        </w:pPr>
        <w:fldSimple w:instr=" PAGE   \* MERGEFORMAT ">
          <w:r w:rsidR="00930FF2">
            <w:rPr>
              <w:noProof/>
            </w:rPr>
            <w:t>53</w:t>
          </w:r>
        </w:fldSimple>
      </w:p>
    </w:sdtContent>
  </w:sdt>
  <w:p w:rsidR="00E17F32" w:rsidRDefault="00E17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956" w:rsidRDefault="00AF5956" w:rsidP="00266A33">
      <w:r>
        <w:separator/>
      </w:r>
    </w:p>
  </w:footnote>
  <w:footnote w:type="continuationSeparator" w:id="1">
    <w:p w:rsidR="00AF5956" w:rsidRDefault="00AF5956" w:rsidP="0026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852"/>
    <w:multiLevelType w:val="hybridMultilevel"/>
    <w:tmpl w:val="00B69A90"/>
    <w:lvl w:ilvl="0" w:tplc="39107E6A">
      <w:numFmt w:val="bullet"/>
      <w:lvlText w:val="-"/>
      <w:lvlJc w:val="left"/>
      <w:pPr>
        <w:tabs>
          <w:tab w:val="num" w:pos="1440"/>
        </w:tabs>
        <w:ind w:left="1440" w:hanging="360"/>
      </w:pPr>
      <w:rPr>
        <w:rFonts w:ascii="Times New Roman" w:hAnsi="Times New Roman" w:cs="Times New Roman"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523507A"/>
    <w:multiLevelType w:val="hybridMultilevel"/>
    <w:tmpl w:val="E0CEFF8E"/>
    <w:lvl w:ilvl="0" w:tplc="3716D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D00CE"/>
    <w:multiLevelType w:val="hybridMultilevel"/>
    <w:tmpl w:val="10F2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16391"/>
    <w:multiLevelType w:val="hybridMultilevel"/>
    <w:tmpl w:val="0F8C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1CD2"/>
    <w:multiLevelType w:val="hybridMultilevel"/>
    <w:tmpl w:val="44F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7272"/>
    <w:multiLevelType w:val="hybridMultilevel"/>
    <w:tmpl w:val="A78C2DC0"/>
    <w:lvl w:ilvl="0" w:tplc="A6E055B0">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028AB"/>
    <w:multiLevelType w:val="hybridMultilevel"/>
    <w:tmpl w:val="0E9857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8A405B"/>
    <w:multiLevelType w:val="hybridMultilevel"/>
    <w:tmpl w:val="1E5AD084"/>
    <w:lvl w:ilvl="0" w:tplc="D854CC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70E98"/>
    <w:multiLevelType w:val="hybridMultilevel"/>
    <w:tmpl w:val="38D00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1071A"/>
    <w:multiLevelType w:val="hybridMultilevel"/>
    <w:tmpl w:val="BA98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60158"/>
    <w:multiLevelType w:val="hybridMultilevel"/>
    <w:tmpl w:val="30E0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23D7D"/>
    <w:multiLevelType w:val="hybridMultilevel"/>
    <w:tmpl w:val="F8FE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A6BE6"/>
    <w:multiLevelType w:val="hybridMultilevel"/>
    <w:tmpl w:val="9B9E8DFC"/>
    <w:lvl w:ilvl="0" w:tplc="6C486EFA">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96F4E"/>
    <w:multiLevelType w:val="hybridMultilevel"/>
    <w:tmpl w:val="2AAC8C48"/>
    <w:lvl w:ilvl="0" w:tplc="AB600C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314E4"/>
    <w:multiLevelType w:val="hybridMultilevel"/>
    <w:tmpl w:val="BD4A7B1E"/>
    <w:lvl w:ilvl="0" w:tplc="573E505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3B71DDA"/>
    <w:multiLevelType w:val="multilevel"/>
    <w:tmpl w:val="766C97A6"/>
    <w:lvl w:ilvl="0">
      <w:start w:val="1"/>
      <w:numFmt w:val="decimal"/>
      <w:lvlText w:val="%1."/>
      <w:lvlJc w:val="left"/>
      <w:pPr>
        <w:ind w:left="720" w:hanging="360"/>
      </w:pPr>
      <w:rPr>
        <w:rFonts w:hint="default"/>
      </w:rPr>
    </w:lvl>
    <w:lvl w:ilvl="1">
      <w:start w:val="1"/>
      <w:numFmt w:val="decimal"/>
      <w:isLgl/>
      <w:lvlText w:val="%1.%2."/>
      <w:lvlJc w:val="left"/>
      <w:pPr>
        <w:ind w:left="27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4457AA"/>
    <w:multiLevelType w:val="hybridMultilevel"/>
    <w:tmpl w:val="51B4F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32C5C"/>
    <w:multiLevelType w:val="multilevel"/>
    <w:tmpl w:val="4C1C6408"/>
    <w:lvl w:ilvl="0">
      <w:start w:val="19"/>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260" w:hanging="720"/>
      </w:pPr>
      <w:rPr>
        <w:rFonts w:hint="default"/>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A2407A4"/>
    <w:multiLevelType w:val="hybridMultilevel"/>
    <w:tmpl w:val="7D62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E4836"/>
    <w:multiLevelType w:val="hybridMultilevel"/>
    <w:tmpl w:val="97A647F4"/>
    <w:lvl w:ilvl="0" w:tplc="74B81B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9"/>
  </w:num>
  <w:num w:numId="4">
    <w:abstractNumId w:val="2"/>
  </w:num>
  <w:num w:numId="5">
    <w:abstractNumId w:val="6"/>
  </w:num>
  <w:num w:numId="6">
    <w:abstractNumId w:val="1"/>
  </w:num>
  <w:num w:numId="7">
    <w:abstractNumId w:val="0"/>
  </w:num>
  <w:num w:numId="8">
    <w:abstractNumId w:val="15"/>
  </w:num>
  <w:num w:numId="9">
    <w:abstractNumId w:val="5"/>
  </w:num>
  <w:num w:numId="10">
    <w:abstractNumId w:val="17"/>
  </w:num>
  <w:num w:numId="11">
    <w:abstractNumId w:val="12"/>
  </w:num>
  <w:num w:numId="12">
    <w:abstractNumId w:val="13"/>
  </w:num>
  <w:num w:numId="13">
    <w:abstractNumId w:val="4"/>
  </w:num>
  <w:num w:numId="14">
    <w:abstractNumId w:val="10"/>
  </w:num>
  <w:num w:numId="15">
    <w:abstractNumId w:val="14"/>
  </w:num>
  <w:num w:numId="16">
    <w:abstractNumId w:val="8"/>
  </w:num>
  <w:num w:numId="17">
    <w:abstractNumId w:val="3"/>
  </w:num>
  <w:num w:numId="18">
    <w:abstractNumId w:val="18"/>
  </w:num>
  <w:num w:numId="19">
    <w:abstractNumId w:val="11"/>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2E40"/>
    <w:rsid w:val="00016C8C"/>
    <w:rsid w:val="00020BD6"/>
    <w:rsid w:val="00022F60"/>
    <w:rsid w:val="000342D6"/>
    <w:rsid w:val="00037BB0"/>
    <w:rsid w:val="00041F49"/>
    <w:rsid w:val="000510A0"/>
    <w:rsid w:val="00052476"/>
    <w:rsid w:val="00066DB7"/>
    <w:rsid w:val="000843A4"/>
    <w:rsid w:val="00086988"/>
    <w:rsid w:val="00087D42"/>
    <w:rsid w:val="000A299C"/>
    <w:rsid w:val="000B5695"/>
    <w:rsid w:val="000B687A"/>
    <w:rsid w:val="000C50A8"/>
    <w:rsid w:val="000C7169"/>
    <w:rsid w:val="000D33BD"/>
    <w:rsid w:val="000D3F7B"/>
    <w:rsid w:val="000D7153"/>
    <w:rsid w:val="000E14CD"/>
    <w:rsid w:val="000E73E8"/>
    <w:rsid w:val="000F7ECC"/>
    <w:rsid w:val="0010033B"/>
    <w:rsid w:val="00104D15"/>
    <w:rsid w:val="00110B0F"/>
    <w:rsid w:val="00122F36"/>
    <w:rsid w:val="00125BCC"/>
    <w:rsid w:val="001322AE"/>
    <w:rsid w:val="00133D7B"/>
    <w:rsid w:val="00135581"/>
    <w:rsid w:val="00150BCE"/>
    <w:rsid w:val="001519A9"/>
    <w:rsid w:val="001651D2"/>
    <w:rsid w:val="001669EB"/>
    <w:rsid w:val="0018266D"/>
    <w:rsid w:val="00183BD7"/>
    <w:rsid w:val="001842A5"/>
    <w:rsid w:val="00184C90"/>
    <w:rsid w:val="00192458"/>
    <w:rsid w:val="0019298D"/>
    <w:rsid w:val="001942AF"/>
    <w:rsid w:val="00194AB6"/>
    <w:rsid w:val="001A26D2"/>
    <w:rsid w:val="001A65DD"/>
    <w:rsid w:val="001B02FF"/>
    <w:rsid w:val="001B5C28"/>
    <w:rsid w:val="001C152D"/>
    <w:rsid w:val="001C3829"/>
    <w:rsid w:val="001C4120"/>
    <w:rsid w:val="001D7A26"/>
    <w:rsid w:val="001E1EB7"/>
    <w:rsid w:val="001E3129"/>
    <w:rsid w:val="001E3907"/>
    <w:rsid w:val="001E7D17"/>
    <w:rsid w:val="001F39A2"/>
    <w:rsid w:val="002025F9"/>
    <w:rsid w:val="00205132"/>
    <w:rsid w:val="00205769"/>
    <w:rsid w:val="0021065D"/>
    <w:rsid w:val="00212407"/>
    <w:rsid w:val="00216FC5"/>
    <w:rsid w:val="00217FAD"/>
    <w:rsid w:val="00220EDC"/>
    <w:rsid w:val="00220F6C"/>
    <w:rsid w:val="00243DF9"/>
    <w:rsid w:val="002450EE"/>
    <w:rsid w:val="00253417"/>
    <w:rsid w:val="0025489E"/>
    <w:rsid w:val="00256259"/>
    <w:rsid w:val="00260F0D"/>
    <w:rsid w:val="00262348"/>
    <w:rsid w:val="00264A7E"/>
    <w:rsid w:val="00266A33"/>
    <w:rsid w:val="00267047"/>
    <w:rsid w:val="00271007"/>
    <w:rsid w:val="0027381A"/>
    <w:rsid w:val="00284A30"/>
    <w:rsid w:val="00287ACD"/>
    <w:rsid w:val="002949E7"/>
    <w:rsid w:val="002958D8"/>
    <w:rsid w:val="00296497"/>
    <w:rsid w:val="00297185"/>
    <w:rsid w:val="002B1B02"/>
    <w:rsid w:val="002B77E6"/>
    <w:rsid w:val="002C2FA7"/>
    <w:rsid w:val="002D0C24"/>
    <w:rsid w:val="002D4CC5"/>
    <w:rsid w:val="002E1842"/>
    <w:rsid w:val="002E2B80"/>
    <w:rsid w:val="002E324A"/>
    <w:rsid w:val="002E3730"/>
    <w:rsid w:val="002F1A15"/>
    <w:rsid w:val="002F528D"/>
    <w:rsid w:val="003039FC"/>
    <w:rsid w:val="00323067"/>
    <w:rsid w:val="0032489E"/>
    <w:rsid w:val="00326C15"/>
    <w:rsid w:val="00331681"/>
    <w:rsid w:val="00344433"/>
    <w:rsid w:val="00346E0B"/>
    <w:rsid w:val="0035167D"/>
    <w:rsid w:val="00355316"/>
    <w:rsid w:val="00356181"/>
    <w:rsid w:val="00361A15"/>
    <w:rsid w:val="00362BC2"/>
    <w:rsid w:val="00371127"/>
    <w:rsid w:val="003823DC"/>
    <w:rsid w:val="00386D89"/>
    <w:rsid w:val="003947D7"/>
    <w:rsid w:val="00395D0A"/>
    <w:rsid w:val="003967F1"/>
    <w:rsid w:val="00397252"/>
    <w:rsid w:val="003A0A10"/>
    <w:rsid w:val="003A11E3"/>
    <w:rsid w:val="003A5632"/>
    <w:rsid w:val="003A7066"/>
    <w:rsid w:val="003A7F30"/>
    <w:rsid w:val="003C1661"/>
    <w:rsid w:val="003C2078"/>
    <w:rsid w:val="003C4ADB"/>
    <w:rsid w:val="003D0657"/>
    <w:rsid w:val="003D0C02"/>
    <w:rsid w:val="003D695F"/>
    <w:rsid w:val="003E02E3"/>
    <w:rsid w:val="003E5A08"/>
    <w:rsid w:val="003F23CF"/>
    <w:rsid w:val="00400CCA"/>
    <w:rsid w:val="004025D0"/>
    <w:rsid w:val="0040633F"/>
    <w:rsid w:val="004110D5"/>
    <w:rsid w:val="004217C0"/>
    <w:rsid w:val="00422F9E"/>
    <w:rsid w:val="00446EED"/>
    <w:rsid w:val="00450CD1"/>
    <w:rsid w:val="00456EE7"/>
    <w:rsid w:val="00457429"/>
    <w:rsid w:val="004603DD"/>
    <w:rsid w:val="00473C13"/>
    <w:rsid w:val="00480E15"/>
    <w:rsid w:val="00493C2A"/>
    <w:rsid w:val="00495698"/>
    <w:rsid w:val="0049773D"/>
    <w:rsid w:val="004A105A"/>
    <w:rsid w:val="004A23D9"/>
    <w:rsid w:val="004A3562"/>
    <w:rsid w:val="004A401D"/>
    <w:rsid w:val="004A5023"/>
    <w:rsid w:val="004B4841"/>
    <w:rsid w:val="004B5F1F"/>
    <w:rsid w:val="004B60E3"/>
    <w:rsid w:val="004C4367"/>
    <w:rsid w:val="004C524B"/>
    <w:rsid w:val="004C5D79"/>
    <w:rsid w:val="004D7D84"/>
    <w:rsid w:val="004E262B"/>
    <w:rsid w:val="004E6ECE"/>
    <w:rsid w:val="004F35A1"/>
    <w:rsid w:val="005001D0"/>
    <w:rsid w:val="0050694D"/>
    <w:rsid w:val="00510B51"/>
    <w:rsid w:val="0051201C"/>
    <w:rsid w:val="00517A31"/>
    <w:rsid w:val="0052670A"/>
    <w:rsid w:val="0052727E"/>
    <w:rsid w:val="005350C8"/>
    <w:rsid w:val="00541882"/>
    <w:rsid w:val="005655A6"/>
    <w:rsid w:val="00567CD1"/>
    <w:rsid w:val="005710C5"/>
    <w:rsid w:val="00571110"/>
    <w:rsid w:val="005838B8"/>
    <w:rsid w:val="0058542C"/>
    <w:rsid w:val="00587AAE"/>
    <w:rsid w:val="005917EE"/>
    <w:rsid w:val="00593191"/>
    <w:rsid w:val="00593449"/>
    <w:rsid w:val="005B09CC"/>
    <w:rsid w:val="005B3FA1"/>
    <w:rsid w:val="005C4F86"/>
    <w:rsid w:val="005C5E56"/>
    <w:rsid w:val="005D0761"/>
    <w:rsid w:val="005D3B9C"/>
    <w:rsid w:val="005D759F"/>
    <w:rsid w:val="005E783D"/>
    <w:rsid w:val="006018B5"/>
    <w:rsid w:val="00602568"/>
    <w:rsid w:val="0060666E"/>
    <w:rsid w:val="006077A2"/>
    <w:rsid w:val="006118F6"/>
    <w:rsid w:val="00612CEB"/>
    <w:rsid w:val="0061312F"/>
    <w:rsid w:val="00615CB4"/>
    <w:rsid w:val="00616A24"/>
    <w:rsid w:val="006203E3"/>
    <w:rsid w:val="00627285"/>
    <w:rsid w:val="006340D5"/>
    <w:rsid w:val="006359D1"/>
    <w:rsid w:val="00636A14"/>
    <w:rsid w:val="0064675D"/>
    <w:rsid w:val="00646912"/>
    <w:rsid w:val="00655E46"/>
    <w:rsid w:val="00656CA0"/>
    <w:rsid w:val="00667BBD"/>
    <w:rsid w:val="00677EFF"/>
    <w:rsid w:val="00684935"/>
    <w:rsid w:val="006857F0"/>
    <w:rsid w:val="00685CE5"/>
    <w:rsid w:val="00685F62"/>
    <w:rsid w:val="00687A57"/>
    <w:rsid w:val="00695E07"/>
    <w:rsid w:val="00697984"/>
    <w:rsid w:val="006A5750"/>
    <w:rsid w:val="006B0092"/>
    <w:rsid w:val="006B1F84"/>
    <w:rsid w:val="006B20D8"/>
    <w:rsid w:val="006C093D"/>
    <w:rsid w:val="006C2B2C"/>
    <w:rsid w:val="006C5B20"/>
    <w:rsid w:val="006D1102"/>
    <w:rsid w:val="006D126B"/>
    <w:rsid w:val="006D35D6"/>
    <w:rsid w:val="006D3E90"/>
    <w:rsid w:val="006E2E87"/>
    <w:rsid w:val="006E4C76"/>
    <w:rsid w:val="006E4D8A"/>
    <w:rsid w:val="006E6C97"/>
    <w:rsid w:val="006F31C0"/>
    <w:rsid w:val="00702EA6"/>
    <w:rsid w:val="00705ED9"/>
    <w:rsid w:val="00706FEE"/>
    <w:rsid w:val="00712FD8"/>
    <w:rsid w:val="00714150"/>
    <w:rsid w:val="007149AC"/>
    <w:rsid w:val="00721297"/>
    <w:rsid w:val="00727C17"/>
    <w:rsid w:val="00736C28"/>
    <w:rsid w:val="0074596E"/>
    <w:rsid w:val="007508DA"/>
    <w:rsid w:val="00751C45"/>
    <w:rsid w:val="007645E8"/>
    <w:rsid w:val="00764D20"/>
    <w:rsid w:val="00764D4C"/>
    <w:rsid w:val="00781679"/>
    <w:rsid w:val="00781ACF"/>
    <w:rsid w:val="00787406"/>
    <w:rsid w:val="0079300A"/>
    <w:rsid w:val="007A485A"/>
    <w:rsid w:val="007A600E"/>
    <w:rsid w:val="007B1AC4"/>
    <w:rsid w:val="007B6900"/>
    <w:rsid w:val="007B6F2C"/>
    <w:rsid w:val="007C2322"/>
    <w:rsid w:val="007C2A08"/>
    <w:rsid w:val="007C32CE"/>
    <w:rsid w:val="007D4C8A"/>
    <w:rsid w:val="007D5027"/>
    <w:rsid w:val="007F76BF"/>
    <w:rsid w:val="0080239A"/>
    <w:rsid w:val="008148FC"/>
    <w:rsid w:val="00821225"/>
    <w:rsid w:val="00826C7C"/>
    <w:rsid w:val="008464BB"/>
    <w:rsid w:val="00846C32"/>
    <w:rsid w:val="0085415B"/>
    <w:rsid w:val="008605A3"/>
    <w:rsid w:val="00860D12"/>
    <w:rsid w:val="008622AB"/>
    <w:rsid w:val="00862CFC"/>
    <w:rsid w:val="00863898"/>
    <w:rsid w:val="00885426"/>
    <w:rsid w:val="00886217"/>
    <w:rsid w:val="0089588B"/>
    <w:rsid w:val="008A1D8D"/>
    <w:rsid w:val="008A663E"/>
    <w:rsid w:val="008B2274"/>
    <w:rsid w:val="008C2970"/>
    <w:rsid w:val="008D3462"/>
    <w:rsid w:val="008E1A2D"/>
    <w:rsid w:val="008F6DCE"/>
    <w:rsid w:val="00903EE9"/>
    <w:rsid w:val="009129FD"/>
    <w:rsid w:val="009210F3"/>
    <w:rsid w:val="00921511"/>
    <w:rsid w:val="00921637"/>
    <w:rsid w:val="00926646"/>
    <w:rsid w:val="00930FF2"/>
    <w:rsid w:val="00934046"/>
    <w:rsid w:val="009342B9"/>
    <w:rsid w:val="009347A6"/>
    <w:rsid w:val="00953AED"/>
    <w:rsid w:val="009565B4"/>
    <w:rsid w:val="009653FA"/>
    <w:rsid w:val="009777D4"/>
    <w:rsid w:val="00987F14"/>
    <w:rsid w:val="00990132"/>
    <w:rsid w:val="00996978"/>
    <w:rsid w:val="009B1E17"/>
    <w:rsid w:val="009B375D"/>
    <w:rsid w:val="009B3BDE"/>
    <w:rsid w:val="009C1D7C"/>
    <w:rsid w:val="009C31F1"/>
    <w:rsid w:val="009D3A18"/>
    <w:rsid w:val="009D7531"/>
    <w:rsid w:val="009E2B99"/>
    <w:rsid w:val="00A03B8C"/>
    <w:rsid w:val="00A04D72"/>
    <w:rsid w:val="00A137A1"/>
    <w:rsid w:val="00A20ACF"/>
    <w:rsid w:val="00A236CC"/>
    <w:rsid w:val="00A25A11"/>
    <w:rsid w:val="00A31142"/>
    <w:rsid w:val="00A42D1B"/>
    <w:rsid w:val="00A5271D"/>
    <w:rsid w:val="00A715AC"/>
    <w:rsid w:val="00A7228A"/>
    <w:rsid w:val="00A72637"/>
    <w:rsid w:val="00A73BF8"/>
    <w:rsid w:val="00A93F93"/>
    <w:rsid w:val="00A96AD2"/>
    <w:rsid w:val="00A97694"/>
    <w:rsid w:val="00AA29C5"/>
    <w:rsid w:val="00AA52D1"/>
    <w:rsid w:val="00AA5E9E"/>
    <w:rsid w:val="00AA6E29"/>
    <w:rsid w:val="00AA7E8B"/>
    <w:rsid w:val="00AB0E80"/>
    <w:rsid w:val="00AB371E"/>
    <w:rsid w:val="00AC07E9"/>
    <w:rsid w:val="00AC799B"/>
    <w:rsid w:val="00AD1718"/>
    <w:rsid w:val="00AE1277"/>
    <w:rsid w:val="00AE20E4"/>
    <w:rsid w:val="00AF293E"/>
    <w:rsid w:val="00AF4115"/>
    <w:rsid w:val="00AF55F5"/>
    <w:rsid w:val="00AF5956"/>
    <w:rsid w:val="00AF77E6"/>
    <w:rsid w:val="00B03B12"/>
    <w:rsid w:val="00B04A62"/>
    <w:rsid w:val="00B15BE1"/>
    <w:rsid w:val="00B209AA"/>
    <w:rsid w:val="00B34C4F"/>
    <w:rsid w:val="00B510FA"/>
    <w:rsid w:val="00B51C40"/>
    <w:rsid w:val="00B5457E"/>
    <w:rsid w:val="00B62B03"/>
    <w:rsid w:val="00B65AD8"/>
    <w:rsid w:val="00B7508A"/>
    <w:rsid w:val="00B86298"/>
    <w:rsid w:val="00BA710F"/>
    <w:rsid w:val="00BC1BB8"/>
    <w:rsid w:val="00BC1D7C"/>
    <w:rsid w:val="00BC3AD0"/>
    <w:rsid w:val="00BC4F99"/>
    <w:rsid w:val="00BC5B30"/>
    <w:rsid w:val="00BD7392"/>
    <w:rsid w:val="00BE4B29"/>
    <w:rsid w:val="00BE6EF0"/>
    <w:rsid w:val="00C05205"/>
    <w:rsid w:val="00C102E4"/>
    <w:rsid w:val="00C12E40"/>
    <w:rsid w:val="00C13E37"/>
    <w:rsid w:val="00C17390"/>
    <w:rsid w:val="00C17E59"/>
    <w:rsid w:val="00C26639"/>
    <w:rsid w:val="00C33915"/>
    <w:rsid w:val="00C36F62"/>
    <w:rsid w:val="00C409FE"/>
    <w:rsid w:val="00C41E9C"/>
    <w:rsid w:val="00C56AB1"/>
    <w:rsid w:val="00C6583E"/>
    <w:rsid w:val="00C6689D"/>
    <w:rsid w:val="00C715BC"/>
    <w:rsid w:val="00C721D3"/>
    <w:rsid w:val="00C7397C"/>
    <w:rsid w:val="00C84C24"/>
    <w:rsid w:val="00CA0B33"/>
    <w:rsid w:val="00CA533A"/>
    <w:rsid w:val="00CA6DA3"/>
    <w:rsid w:val="00CB67AC"/>
    <w:rsid w:val="00CB7B81"/>
    <w:rsid w:val="00CC223B"/>
    <w:rsid w:val="00CC4608"/>
    <w:rsid w:val="00CD3FA8"/>
    <w:rsid w:val="00CD659F"/>
    <w:rsid w:val="00CE097B"/>
    <w:rsid w:val="00CF0410"/>
    <w:rsid w:val="00D05C12"/>
    <w:rsid w:val="00D11D44"/>
    <w:rsid w:val="00D27A65"/>
    <w:rsid w:val="00D37525"/>
    <w:rsid w:val="00D375C5"/>
    <w:rsid w:val="00D37DA9"/>
    <w:rsid w:val="00D41F31"/>
    <w:rsid w:val="00D473AB"/>
    <w:rsid w:val="00D64606"/>
    <w:rsid w:val="00D73E8A"/>
    <w:rsid w:val="00D75E5C"/>
    <w:rsid w:val="00DA6AE1"/>
    <w:rsid w:val="00DA74D2"/>
    <w:rsid w:val="00DB6A59"/>
    <w:rsid w:val="00DB7DA4"/>
    <w:rsid w:val="00DC1F5F"/>
    <w:rsid w:val="00DD37A7"/>
    <w:rsid w:val="00DD667A"/>
    <w:rsid w:val="00DE5DDF"/>
    <w:rsid w:val="00DE6C96"/>
    <w:rsid w:val="00E05DF8"/>
    <w:rsid w:val="00E13048"/>
    <w:rsid w:val="00E14E05"/>
    <w:rsid w:val="00E17F32"/>
    <w:rsid w:val="00E25C1D"/>
    <w:rsid w:val="00E32960"/>
    <w:rsid w:val="00E36FB8"/>
    <w:rsid w:val="00E37461"/>
    <w:rsid w:val="00E37529"/>
    <w:rsid w:val="00E37B80"/>
    <w:rsid w:val="00E37E92"/>
    <w:rsid w:val="00E4534F"/>
    <w:rsid w:val="00E55538"/>
    <w:rsid w:val="00E564BA"/>
    <w:rsid w:val="00E61090"/>
    <w:rsid w:val="00E624F4"/>
    <w:rsid w:val="00E62AAB"/>
    <w:rsid w:val="00E71995"/>
    <w:rsid w:val="00E81D21"/>
    <w:rsid w:val="00E854BA"/>
    <w:rsid w:val="00EA4CD1"/>
    <w:rsid w:val="00EB5DAC"/>
    <w:rsid w:val="00EB7F17"/>
    <w:rsid w:val="00EC3D5E"/>
    <w:rsid w:val="00EC5938"/>
    <w:rsid w:val="00ED18C9"/>
    <w:rsid w:val="00EF1E59"/>
    <w:rsid w:val="00EF6B37"/>
    <w:rsid w:val="00F02326"/>
    <w:rsid w:val="00F226D1"/>
    <w:rsid w:val="00F30038"/>
    <w:rsid w:val="00F33AEB"/>
    <w:rsid w:val="00F41B75"/>
    <w:rsid w:val="00F46876"/>
    <w:rsid w:val="00F51B91"/>
    <w:rsid w:val="00F553CF"/>
    <w:rsid w:val="00F6047D"/>
    <w:rsid w:val="00F63465"/>
    <w:rsid w:val="00F63C60"/>
    <w:rsid w:val="00F65A4D"/>
    <w:rsid w:val="00F66639"/>
    <w:rsid w:val="00F77F9D"/>
    <w:rsid w:val="00F819C4"/>
    <w:rsid w:val="00F90456"/>
    <w:rsid w:val="00F94DFD"/>
    <w:rsid w:val="00FA3F00"/>
    <w:rsid w:val="00FB7EE7"/>
    <w:rsid w:val="00FC72A9"/>
    <w:rsid w:val="00FD2A0C"/>
    <w:rsid w:val="00FD383C"/>
    <w:rsid w:val="00FE3764"/>
    <w:rsid w:val="00FE6E49"/>
    <w:rsid w:val="00FF1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AD"/>
  </w:style>
  <w:style w:type="paragraph" w:styleId="Heading1">
    <w:name w:val="heading 1"/>
    <w:basedOn w:val="Normal"/>
    <w:next w:val="Normal"/>
    <w:link w:val="Heading1Char"/>
    <w:qFormat/>
    <w:rsid w:val="00205132"/>
    <w:pPr>
      <w:keepNext/>
      <w:ind w:left="0" w:firstLine="0"/>
      <w:jc w:val="center"/>
      <w:outlineLvl w:val="0"/>
    </w:pPr>
    <w:rPr>
      <w:rFonts w:ascii="Arial" w:eastAsia="Times New Roman" w:hAnsi="Arial"/>
      <w:b/>
      <w:bCs/>
      <w:noProof/>
      <w:sz w:val="20"/>
      <w:lang w:val="sr-Latn-BA"/>
    </w:rPr>
  </w:style>
  <w:style w:type="paragraph" w:styleId="Heading3">
    <w:name w:val="heading 3"/>
    <w:basedOn w:val="Normal"/>
    <w:next w:val="Normal"/>
    <w:link w:val="Heading3Char"/>
    <w:semiHidden/>
    <w:unhideWhenUsed/>
    <w:qFormat/>
    <w:rsid w:val="00205132"/>
    <w:pPr>
      <w:keepNext/>
      <w:spacing w:before="240" w:after="60"/>
      <w:ind w:left="0" w:firstLine="0"/>
      <w:jc w:val="left"/>
      <w:outlineLvl w:val="2"/>
    </w:pPr>
    <w:rPr>
      <w:rFonts w:ascii="Cambria" w:eastAsia="Times New Roman" w:hAnsi="Cambria"/>
      <w:b/>
      <w:bCs/>
      <w:noProof/>
      <w:sz w:val="26"/>
      <w:szCs w:val="26"/>
      <w:lang w:val="sr-Latn-BA"/>
    </w:rPr>
  </w:style>
  <w:style w:type="paragraph" w:styleId="Heading5">
    <w:name w:val="heading 5"/>
    <w:basedOn w:val="Normal"/>
    <w:next w:val="Normal"/>
    <w:link w:val="Heading5Char"/>
    <w:unhideWhenUsed/>
    <w:qFormat/>
    <w:rsid w:val="004F35A1"/>
    <w:pPr>
      <w:spacing w:before="240" w:after="60"/>
      <w:ind w:left="0" w:firstLine="0"/>
      <w:jc w:val="left"/>
      <w:outlineLvl w:val="4"/>
    </w:pPr>
    <w:rPr>
      <w:rFonts w:ascii="Calibri" w:eastAsia="Times New Roman" w:hAnsi="Calibri"/>
      <w:b/>
      <w:bCs/>
      <w:i/>
      <w:iCs/>
      <w:noProof/>
      <w:sz w:val="26"/>
      <w:szCs w:val="26"/>
      <w:lang w:val="sr-Latn-BA"/>
    </w:rPr>
  </w:style>
  <w:style w:type="paragraph" w:styleId="Heading7">
    <w:name w:val="heading 7"/>
    <w:basedOn w:val="Normal"/>
    <w:next w:val="Normal"/>
    <w:link w:val="Heading7Char"/>
    <w:uiPriority w:val="9"/>
    <w:unhideWhenUsed/>
    <w:qFormat/>
    <w:rsid w:val="00F300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36F62"/>
    <w:pPr>
      <w:spacing w:before="240" w:after="60"/>
      <w:ind w:left="0" w:firstLine="0"/>
      <w:jc w:val="left"/>
      <w:outlineLvl w:val="8"/>
    </w:pPr>
    <w:rPr>
      <w:rFonts w:ascii="Arial" w:eastAsia="Times New Roman" w:hAnsi="Arial" w:cs="Arial"/>
      <w:noProof/>
      <w:sz w:val="22"/>
      <w:szCs w:val="22"/>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40"/>
    <w:pPr>
      <w:ind w:left="720"/>
      <w:contextualSpacing/>
    </w:pPr>
  </w:style>
  <w:style w:type="paragraph" w:styleId="BodyTextIndent">
    <w:name w:val="Body Text Indent"/>
    <w:basedOn w:val="Normal"/>
    <w:link w:val="BodyTextIndentChar"/>
    <w:rsid w:val="00AF293E"/>
    <w:pPr>
      <w:ind w:left="3600" w:hanging="3600"/>
    </w:pPr>
    <w:rPr>
      <w:rFonts w:eastAsia="Times New Roman"/>
      <w:szCs w:val="20"/>
      <w:lang w:val="sr-Cyrl-CS"/>
    </w:rPr>
  </w:style>
  <w:style w:type="character" w:customStyle="1" w:styleId="BodyTextIndentChar">
    <w:name w:val="Body Text Indent Char"/>
    <w:basedOn w:val="DefaultParagraphFont"/>
    <w:link w:val="BodyTextIndent"/>
    <w:rsid w:val="00AF293E"/>
    <w:rPr>
      <w:rFonts w:eastAsia="Times New Roman"/>
      <w:bCs w:val="0"/>
      <w:szCs w:val="20"/>
      <w:lang w:val="sr-Cyrl-CS"/>
    </w:rPr>
  </w:style>
  <w:style w:type="paragraph" w:styleId="BodyText">
    <w:name w:val="Body Text"/>
    <w:basedOn w:val="Normal"/>
    <w:link w:val="BodyTextChar"/>
    <w:rsid w:val="00AF293E"/>
    <w:pPr>
      <w:ind w:left="0" w:firstLine="0"/>
    </w:pPr>
    <w:rPr>
      <w:rFonts w:eastAsia="Times New Roman"/>
      <w:szCs w:val="20"/>
      <w:lang w:val="sr-Cyrl-CS"/>
    </w:rPr>
  </w:style>
  <w:style w:type="character" w:customStyle="1" w:styleId="BodyTextChar">
    <w:name w:val="Body Text Char"/>
    <w:basedOn w:val="DefaultParagraphFont"/>
    <w:link w:val="BodyText"/>
    <w:rsid w:val="00AF293E"/>
    <w:rPr>
      <w:rFonts w:eastAsia="Times New Roman"/>
      <w:bCs w:val="0"/>
      <w:szCs w:val="20"/>
      <w:lang w:val="sr-Cyrl-CS"/>
    </w:rPr>
  </w:style>
  <w:style w:type="character" w:styleId="Hyperlink">
    <w:name w:val="Hyperlink"/>
    <w:basedOn w:val="DefaultParagraphFont"/>
    <w:rsid w:val="00AF293E"/>
    <w:rPr>
      <w:color w:val="0000FF"/>
      <w:u w:val="single"/>
    </w:rPr>
  </w:style>
  <w:style w:type="paragraph" w:styleId="BodyText3">
    <w:name w:val="Body Text 3"/>
    <w:basedOn w:val="Normal"/>
    <w:link w:val="BodyText3Char"/>
    <w:uiPriority w:val="99"/>
    <w:semiHidden/>
    <w:unhideWhenUsed/>
    <w:rsid w:val="003F23CF"/>
    <w:pPr>
      <w:spacing w:after="120"/>
    </w:pPr>
    <w:rPr>
      <w:sz w:val="16"/>
      <w:szCs w:val="16"/>
    </w:rPr>
  </w:style>
  <w:style w:type="character" w:customStyle="1" w:styleId="BodyText3Char">
    <w:name w:val="Body Text 3 Char"/>
    <w:basedOn w:val="DefaultParagraphFont"/>
    <w:link w:val="BodyText3"/>
    <w:uiPriority w:val="99"/>
    <w:semiHidden/>
    <w:rsid w:val="003F23CF"/>
    <w:rPr>
      <w:sz w:val="16"/>
      <w:szCs w:val="16"/>
    </w:rPr>
  </w:style>
  <w:style w:type="paragraph" w:styleId="NoSpacing">
    <w:name w:val="No Spacing"/>
    <w:uiPriority w:val="1"/>
    <w:qFormat/>
    <w:rsid w:val="001651D2"/>
    <w:pPr>
      <w:ind w:left="0" w:firstLine="0"/>
      <w:jc w:val="left"/>
    </w:pPr>
    <w:rPr>
      <w:rFonts w:eastAsia="Calibri"/>
      <w:szCs w:val="22"/>
    </w:rPr>
  </w:style>
  <w:style w:type="character" w:customStyle="1" w:styleId="Heading1Char">
    <w:name w:val="Heading 1 Char"/>
    <w:basedOn w:val="DefaultParagraphFont"/>
    <w:link w:val="Heading1"/>
    <w:uiPriority w:val="9"/>
    <w:rsid w:val="00205132"/>
    <w:rPr>
      <w:rFonts w:ascii="Arial" w:eastAsia="Times New Roman" w:hAnsi="Arial"/>
      <w:b/>
      <w:bCs/>
      <w:noProof/>
      <w:sz w:val="20"/>
      <w:lang w:val="sr-Latn-BA"/>
    </w:rPr>
  </w:style>
  <w:style w:type="character" w:customStyle="1" w:styleId="Heading3Char">
    <w:name w:val="Heading 3 Char"/>
    <w:basedOn w:val="DefaultParagraphFont"/>
    <w:link w:val="Heading3"/>
    <w:semiHidden/>
    <w:rsid w:val="00205132"/>
    <w:rPr>
      <w:rFonts w:ascii="Cambria" w:eastAsia="Times New Roman" w:hAnsi="Cambria"/>
      <w:b/>
      <w:bCs/>
      <w:noProof/>
      <w:sz w:val="26"/>
      <w:szCs w:val="26"/>
      <w:lang w:val="sr-Latn-BA"/>
    </w:rPr>
  </w:style>
  <w:style w:type="paragraph" w:styleId="BodyTextIndent3">
    <w:name w:val="Body Text Indent 3"/>
    <w:basedOn w:val="Normal"/>
    <w:link w:val="BodyTextIndent3Char"/>
    <w:rsid w:val="00205132"/>
    <w:pPr>
      <w:spacing w:after="120"/>
      <w:ind w:left="283" w:firstLine="0"/>
      <w:jc w:val="left"/>
    </w:pPr>
    <w:rPr>
      <w:rFonts w:ascii="Arial" w:eastAsia="Times New Roman" w:hAnsi="Arial"/>
      <w:noProof/>
      <w:sz w:val="16"/>
      <w:szCs w:val="16"/>
      <w:lang w:val="sr-Latn-BA"/>
    </w:rPr>
  </w:style>
  <w:style w:type="character" w:customStyle="1" w:styleId="BodyTextIndent3Char">
    <w:name w:val="Body Text Indent 3 Char"/>
    <w:basedOn w:val="DefaultParagraphFont"/>
    <w:link w:val="BodyTextIndent3"/>
    <w:rsid w:val="00205132"/>
    <w:rPr>
      <w:rFonts w:ascii="Arial" w:eastAsia="Times New Roman" w:hAnsi="Arial"/>
      <w:noProof/>
      <w:sz w:val="16"/>
      <w:szCs w:val="16"/>
      <w:lang w:val="sr-Latn-BA"/>
    </w:rPr>
  </w:style>
  <w:style w:type="character" w:customStyle="1" w:styleId="Heading5Char">
    <w:name w:val="Heading 5 Char"/>
    <w:basedOn w:val="DefaultParagraphFont"/>
    <w:link w:val="Heading5"/>
    <w:rsid w:val="004F35A1"/>
    <w:rPr>
      <w:rFonts w:ascii="Calibri" w:eastAsia="Times New Roman" w:hAnsi="Calibri"/>
      <w:b/>
      <w:bCs/>
      <w:i/>
      <w:iCs/>
      <w:noProof/>
      <w:sz w:val="26"/>
      <w:szCs w:val="26"/>
      <w:lang w:val="sr-Latn-BA"/>
    </w:rPr>
  </w:style>
  <w:style w:type="character" w:customStyle="1" w:styleId="Heading9Char">
    <w:name w:val="Heading 9 Char"/>
    <w:basedOn w:val="DefaultParagraphFont"/>
    <w:link w:val="Heading9"/>
    <w:rsid w:val="00C36F62"/>
    <w:rPr>
      <w:rFonts w:ascii="Arial" w:eastAsia="Times New Roman" w:hAnsi="Arial" w:cs="Arial"/>
      <w:noProof/>
      <w:sz w:val="22"/>
      <w:szCs w:val="22"/>
      <w:lang w:val="sr-Latn-BA"/>
    </w:rPr>
  </w:style>
  <w:style w:type="paragraph" w:customStyle="1" w:styleId="Default">
    <w:name w:val="Default"/>
    <w:rsid w:val="006C5B20"/>
    <w:pPr>
      <w:autoSpaceDE w:val="0"/>
      <w:autoSpaceDN w:val="0"/>
      <w:adjustRightInd w:val="0"/>
      <w:ind w:left="0" w:firstLine="0"/>
      <w:jc w:val="left"/>
    </w:pPr>
    <w:rPr>
      <w:rFonts w:eastAsia="Times New Roman"/>
      <w:color w:val="000000"/>
    </w:rPr>
  </w:style>
  <w:style w:type="paragraph" w:styleId="PlainText">
    <w:name w:val="Plain Text"/>
    <w:basedOn w:val="Normal"/>
    <w:link w:val="PlainTextChar"/>
    <w:rsid w:val="009129FD"/>
    <w:pPr>
      <w:ind w:left="0" w:firstLine="0"/>
      <w:jc w:val="left"/>
    </w:pPr>
    <w:rPr>
      <w:rFonts w:ascii="Courier New" w:eastAsia="Times New Roman" w:hAnsi="Courier New" w:cs="Courier New"/>
      <w:sz w:val="20"/>
      <w:szCs w:val="20"/>
      <w:lang w:val="sr-Latn-CS" w:eastAsia="sr-Latn-CS"/>
    </w:rPr>
  </w:style>
  <w:style w:type="character" w:customStyle="1" w:styleId="PlainTextChar">
    <w:name w:val="Plain Text Char"/>
    <w:basedOn w:val="DefaultParagraphFont"/>
    <w:link w:val="PlainText"/>
    <w:rsid w:val="009129FD"/>
    <w:rPr>
      <w:rFonts w:ascii="Courier New" w:eastAsia="Times New Roman" w:hAnsi="Courier New" w:cs="Courier New"/>
      <w:sz w:val="20"/>
      <w:szCs w:val="20"/>
      <w:lang w:val="sr-Latn-CS" w:eastAsia="sr-Latn-CS"/>
    </w:rPr>
  </w:style>
  <w:style w:type="paragraph" w:styleId="BodyTextIndent2">
    <w:name w:val="Body Text Indent 2"/>
    <w:basedOn w:val="Normal"/>
    <w:link w:val="BodyTextIndent2Char"/>
    <w:rsid w:val="00A96AD2"/>
    <w:pPr>
      <w:spacing w:after="120" w:line="480" w:lineRule="auto"/>
      <w:ind w:left="283" w:firstLine="0"/>
      <w:jc w:val="left"/>
    </w:pPr>
    <w:rPr>
      <w:rFonts w:ascii="Arial" w:eastAsia="Times New Roman" w:hAnsi="Arial"/>
      <w:noProof/>
      <w:sz w:val="20"/>
      <w:lang w:val="sr-Latn-BA"/>
    </w:rPr>
  </w:style>
  <w:style w:type="character" w:customStyle="1" w:styleId="BodyTextIndent2Char">
    <w:name w:val="Body Text Indent 2 Char"/>
    <w:basedOn w:val="DefaultParagraphFont"/>
    <w:link w:val="BodyTextIndent2"/>
    <w:rsid w:val="00A96AD2"/>
    <w:rPr>
      <w:rFonts w:ascii="Arial" w:eastAsia="Times New Roman" w:hAnsi="Arial"/>
      <w:noProof/>
      <w:sz w:val="20"/>
      <w:lang w:val="sr-Latn-BA"/>
    </w:rPr>
  </w:style>
  <w:style w:type="paragraph" w:styleId="NormalWeb">
    <w:name w:val="Normal (Web)"/>
    <w:basedOn w:val="Normal"/>
    <w:uiPriority w:val="99"/>
    <w:unhideWhenUsed/>
    <w:rsid w:val="002D4CC5"/>
    <w:pPr>
      <w:spacing w:before="100" w:beforeAutospacing="1" w:after="100" w:afterAutospacing="1"/>
      <w:ind w:left="0" w:firstLine="0"/>
      <w:jc w:val="left"/>
    </w:pPr>
    <w:rPr>
      <w:rFonts w:eastAsia="Times New Roman"/>
    </w:rPr>
  </w:style>
  <w:style w:type="character" w:styleId="Strong">
    <w:name w:val="Strong"/>
    <w:basedOn w:val="DefaultParagraphFont"/>
    <w:uiPriority w:val="22"/>
    <w:qFormat/>
    <w:rsid w:val="000A299C"/>
    <w:rPr>
      <w:b/>
      <w:bCs/>
    </w:rPr>
  </w:style>
  <w:style w:type="character" w:customStyle="1" w:styleId="Heading7Char">
    <w:name w:val="Heading 7 Char"/>
    <w:basedOn w:val="DefaultParagraphFont"/>
    <w:link w:val="Heading7"/>
    <w:uiPriority w:val="9"/>
    <w:rsid w:val="00F30038"/>
    <w:rPr>
      <w:rFonts w:asciiTheme="majorHAnsi" w:eastAsiaTheme="majorEastAsia" w:hAnsiTheme="majorHAnsi" w:cstheme="majorBidi"/>
      <w:i/>
      <w:iCs/>
      <w:color w:val="404040" w:themeColor="text1" w:themeTint="BF"/>
    </w:rPr>
  </w:style>
  <w:style w:type="paragraph" w:customStyle="1" w:styleId="Char">
    <w:name w:val="Char"/>
    <w:basedOn w:val="Normal"/>
    <w:rsid w:val="00FA3F00"/>
    <w:pPr>
      <w:spacing w:after="160" w:line="240" w:lineRule="exact"/>
      <w:ind w:left="0" w:firstLine="0"/>
      <w:jc w:val="left"/>
    </w:pPr>
    <w:rPr>
      <w:rFonts w:ascii="Verdana" w:eastAsia="Times New Roman" w:hAnsi="Verdana"/>
      <w:noProof/>
      <w:sz w:val="20"/>
      <w:szCs w:val="20"/>
      <w:lang w:val="sr-Latn-BA"/>
    </w:rPr>
  </w:style>
  <w:style w:type="paragraph" w:styleId="Header">
    <w:name w:val="header"/>
    <w:basedOn w:val="Normal"/>
    <w:link w:val="HeaderChar"/>
    <w:uiPriority w:val="99"/>
    <w:semiHidden/>
    <w:unhideWhenUsed/>
    <w:rsid w:val="00266A33"/>
    <w:pPr>
      <w:tabs>
        <w:tab w:val="center" w:pos="4680"/>
        <w:tab w:val="right" w:pos="9360"/>
      </w:tabs>
    </w:pPr>
  </w:style>
  <w:style w:type="character" w:customStyle="1" w:styleId="HeaderChar">
    <w:name w:val="Header Char"/>
    <w:basedOn w:val="DefaultParagraphFont"/>
    <w:link w:val="Header"/>
    <w:uiPriority w:val="99"/>
    <w:semiHidden/>
    <w:rsid w:val="00266A33"/>
  </w:style>
  <w:style w:type="paragraph" w:styleId="Footer">
    <w:name w:val="footer"/>
    <w:basedOn w:val="Normal"/>
    <w:link w:val="FooterChar"/>
    <w:uiPriority w:val="99"/>
    <w:unhideWhenUsed/>
    <w:rsid w:val="00266A33"/>
    <w:pPr>
      <w:tabs>
        <w:tab w:val="center" w:pos="4680"/>
        <w:tab w:val="right" w:pos="9360"/>
      </w:tabs>
    </w:pPr>
  </w:style>
  <w:style w:type="character" w:customStyle="1" w:styleId="FooterChar">
    <w:name w:val="Footer Char"/>
    <w:basedOn w:val="DefaultParagraphFont"/>
    <w:link w:val="Footer"/>
    <w:uiPriority w:val="99"/>
    <w:rsid w:val="00266A33"/>
  </w:style>
  <w:style w:type="table" w:styleId="TableGrid">
    <w:name w:val="Table Grid"/>
    <w:basedOn w:val="TableNormal"/>
    <w:uiPriority w:val="59"/>
    <w:rsid w:val="00E56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3171">
      <w:bodyDiv w:val="1"/>
      <w:marLeft w:val="0"/>
      <w:marRight w:val="0"/>
      <w:marTop w:val="0"/>
      <w:marBottom w:val="0"/>
      <w:divBdr>
        <w:top w:val="none" w:sz="0" w:space="0" w:color="auto"/>
        <w:left w:val="none" w:sz="0" w:space="0" w:color="auto"/>
        <w:bottom w:val="none" w:sz="0" w:space="0" w:color="auto"/>
        <w:right w:val="none" w:sz="0" w:space="0" w:color="auto"/>
      </w:divBdr>
    </w:div>
    <w:div w:id="76482850">
      <w:bodyDiv w:val="1"/>
      <w:marLeft w:val="0"/>
      <w:marRight w:val="0"/>
      <w:marTop w:val="0"/>
      <w:marBottom w:val="0"/>
      <w:divBdr>
        <w:top w:val="none" w:sz="0" w:space="0" w:color="auto"/>
        <w:left w:val="none" w:sz="0" w:space="0" w:color="auto"/>
        <w:bottom w:val="none" w:sz="0" w:space="0" w:color="auto"/>
        <w:right w:val="none" w:sz="0" w:space="0" w:color="auto"/>
      </w:divBdr>
    </w:div>
    <w:div w:id="139618863">
      <w:bodyDiv w:val="1"/>
      <w:marLeft w:val="0"/>
      <w:marRight w:val="0"/>
      <w:marTop w:val="0"/>
      <w:marBottom w:val="0"/>
      <w:divBdr>
        <w:top w:val="none" w:sz="0" w:space="0" w:color="auto"/>
        <w:left w:val="none" w:sz="0" w:space="0" w:color="auto"/>
        <w:bottom w:val="none" w:sz="0" w:space="0" w:color="auto"/>
        <w:right w:val="none" w:sz="0" w:space="0" w:color="auto"/>
      </w:divBdr>
    </w:div>
    <w:div w:id="198788186">
      <w:bodyDiv w:val="1"/>
      <w:marLeft w:val="0"/>
      <w:marRight w:val="0"/>
      <w:marTop w:val="0"/>
      <w:marBottom w:val="0"/>
      <w:divBdr>
        <w:top w:val="none" w:sz="0" w:space="0" w:color="auto"/>
        <w:left w:val="none" w:sz="0" w:space="0" w:color="auto"/>
        <w:bottom w:val="none" w:sz="0" w:space="0" w:color="auto"/>
        <w:right w:val="none" w:sz="0" w:space="0" w:color="auto"/>
      </w:divBdr>
    </w:div>
    <w:div w:id="252401942">
      <w:bodyDiv w:val="1"/>
      <w:marLeft w:val="0"/>
      <w:marRight w:val="0"/>
      <w:marTop w:val="0"/>
      <w:marBottom w:val="0"/>
      <w:divBdr>
        <w:top w:val="none" w:sz="0" w:space="0" w:color="auto"/>
        <w:left w:val="none" w:sz="0" w:space="0" w:color="auto"/>
        <w:bottom w:val="none" w:sz="0" w:space="0" w:color="auto"/>
        <w:right w:val="none" w:sz="0" w:space="0" w:color="auto"/>
      </w:divBdr>
    </w:div>
    <w:div w:id="339745465">
      <w:bodyDiv w:val="1"/>
      <w:marLeft w:val="0"/>
      <w:marRight w:val="0"/>
      <w:marTop w:val="0"/>
      <w:marBottom w:val="0"/>
      <w:divBdr>
        <w:top w:val="none" w:sz="0" w:space="0" w:color="auto"/>
        <w:left w:val="none" w:sz="0" w:space="0" w:color="auto"/>
        <w:bottom w:val="none" w:sz="0" w:space="0" w:color="auto"/>
        <w:right w:val="none" w:sz="0" w:space="0" w:color="auto"/>
      </w:divBdr>
    </w:div>
    <w:div w:id="344862402">
      <w:bodyDiv w:val="1"/>
      <w:marLeft w:val="0"/>
      <w:marRight w:val="0"/>
      <w:marTop w:val="0"/>
      <w:marBottom w:val="0"/>
      <w:divBdr>
        <w:top w:val="none" w:sz="0" w:space="0" w:color="auto"/>
        <w:left w:val="none" w:sz="0" w:space="0" w:color="auto"/>
        <w:bottom w:val="none" w:sz="0" w:space="0" w:color="auto"/>
        <w:right w:val="none" w:sz="0" w:space="0" w:color="auto"/>
      </w:divBdr>
    </w:div>
    <w:div w:id="355817088">
      <w:bodyDiv w:val="1"/>
      <w:marLeft w:val="0"/>
      <w:marRight w:val="0"/>
      <w:marTop w:val="0"/>
      <w:marBottom w:val="0"/>
      <w:divBdr>
        <w:top w:val="none" w:sz="0" w:space="0" w:color="auto"/>
        <w:left w:val="none" w:sz="0" w:space="0" w:color="auto"/>
        <w:bottom w:val="none" w:sz="0" w:space="0" w:color="auto"/>
        <w:right w:val="none" w:sz="0" w:space="0" w:color="auto"/>
      </w:divBdr>
    </w:div>
    <w:div w:id="429855758">
      <w:bodyDiv w:val="1"/>
      <w:marLeft w:val="0"/>
      <w:marRight w:val="0"/>
      <w:marTop w:val="0"/>
      <w:marBottom w:val="0"/>
      <w:divBdr>
        <w:top w:val="none" w:sz="0" w:space="0" w:color="auto"/>
        <w:left w:val="none" w:sz="0" w:space="0" w:color="auto"/>
        <w:bottom w:val="none" w:sz="0" w:space="0" w:color="auto"/>
        <w:right w:val="none" w:sz="0" w:space="0" w:color="auto"/>
      </w:divBdr>
    </w:div>
    <w:div w:id="430053553">
      <w:bodyDiv w:val="1"/>
      <w:marLeft w:val="0"/>
      <w:marRight w:val="0"/>
      <w:marTop w:val="0"/>
      <w:marBottom w:val="0"/>
      <w:divBdr>
        <w:top w:val="none" w:sz="0" w:space="0" w:color="auto"/>
        <w:left w:val="none" w:sz="0" w:space="0" w:color="auto"/>
        <w:bottom w:val="none" w:sz="0" w:space="0" w:color="auto"/>
        <w:right w:val="none" w:sz="0" w:space="0" w:color="auto"/>
      </w:divBdr>
    </w:div>
    <w:div w:id="819152564">
      <w:bodyDiv w:val="1"/>
      <w:marLeft w:val="0"/>
      <w:marRight w:val="0"/>
      <w:marTop w:val="0"/>
      <w:marBottom w:val="0"/>
      <w:divBdr>
        <w:top w:val="none" w:sz="0" w:space="0" w:color="auto"/>
        <w:left w:val="none" w:sz="0" w:space="0" w:color="auto"/>
        <w:bottom w:val="none" w:sz="0" w:space="0" w:color="auto"/>
        <w:right w:val="none" w:sz="0" w:space="0" w:color="auto"/>
      </w:divBdr>
    </w:div>
    <w:div w:id="866524561">
      <w:bodyDiv w:val="1"/>
      <w:marLeft w:val="0"/>
      <w:marRight w:val="0"/>
      <w:marTop w:val="0"/>
      <w:marBottom w:val="0"/>
      <w:divBdr>
        <w:top w:val="none" w:sz="0" w:space="0" w:color="auto"/>
        <w:left w:val="none" w:sz="0" w:space="0" w:color="auto"/>
        <w:bottom w:val="none" w:sz="0" w:space="0" w:color="auto"/>
        <w:right w:val="none" w:sz="0" w:space="0" w:color="auto"/>
      </w:divBdr>
    </w:div>
    <w:div w:id="906914082">
      <w:bodyDiv w:val="1"/>
      <w:marLeft w:val="0"/>
      <w:marRight w:val="0"/>
      <w:marTop w:val="0"/>
      <w:marBottom w:val="0"/>
      <w:divBdr>
        <w:top w:val="none" w:sz="0" w:space="0" w:color="auto"/>
        <w:left w:val="none" w:sz="0" w:space="0" w:color="auto"/>
        <w:bottom w:val="none" w:sz="0" w:space="0" w:color="auto"/>
        <w:right w:val="none" w:sz="0" w:space="0" w:color="auto"/>
      </w:divBdr>
    </w:div>
    <w:div w:id="1201480782">
      <w:bodyDiv w:val="1"/>
      <w:marLeft w:val="0"/>
      <w:marRight w:val="0"/>
      <w:marTop w:val="0"/>
      <w:marBottom w:val="0"/>
      <w:divBdr>
        <w:top w:val="none" w:sz="0" w:space="0" w:color="auto"/>
        <w:left w:val="none" w:sz="0" w:space="0" w:color="auto"/>
        <w:bottom w:val="none" w:sz="0" w:space="0" w:color="auto"/>
        <w:right w:val="none" w:sz="0" w:space="0" w:color="auto"/>
      </w:divBdr>
    </w:div>
    <w:div w:id="1202324488">
      <w:bodyDiv w:val="1"/>
      <w:marLeft w:val="0"/>
      <w:marRight w:val="0"/>
      <w:marTop w:val="0"/>
      <w:marBottom w:val="0"/>
      <w:divBdr>
        <w:top w:val="none" w:sz="0" w:space="0" w:color="auto"/>
        <w:left w:val="none" w:sz="0" w:space="0" w:color="auto"/>
        <w:bottom w:val="none" w:sz="0" w:space="0" w:color="auto"/>
        <w:right w:val="none" w:sz="0" w:space="0" w:color="auto"/>
      </w:divBdr>
    </w:div>
    <w:div w:id="1246962754">
      <w:bodyDiv w:val="1"/>
      <w:marLeft w:val="0"/>
      <w:marRight w:val="0"/>
      <w:marTop w:val="0"/>
      <w:marBottom w:val="0"/>
      <w:divBdr>
        <w:top w:val="none" w:sz="0" w:space="0" w:color="auto"/>
        <w:left w:val="none" w:sz="0" w:space="0" w:color="auto"/>
        <w:bottom w:val="none" w:sz="0" w:space="0" w:color="auto"/>
        <w:right w:val="none" w:sz="0" w:space="0" w:color="auto"/>
      </w:divBdr>
    </w:div>
    <w:div w:id="1250776223">
      <w:bodyDiv w:val="1"/>
      <w:marLeft w:val="0"/>
      <w:marRight w:val="0"/>
      <w:marTop w:val="0"/>
      <w:marBottom w:val="0"/>
      <w:divBdr>
        <w:top w:val="none" w:sz="0" w:space="0" w:color="auto"/>
        <w:left w:val="none" w:sz="0" w:space="0" w:color="auto"/>
        <w:bottom w:val="none" w:sz="0" w:space="0" w:color="auto"/>
        <w:right w:val="none" w:sz="0" w:space="0" w:color="auto"/>
      </w:divBdr>
    </w:div>
    <w:div w:id="1532496080">
      <w:bodyDiv w:val="1"/>
      <w:marLeft w:val="0"/>
      <w:marRight w:val="0"/>
      <w:marTop w:val="0"/>
      <w:marBottom w:val="0"/>
      <w:divBdr>
        <w:top w:val="none" w:sz="0" w:space="0" w:color="auto"/>
        <w:left w:val="none" w:sz="0" w:space="0" w:color="auto"/>
        <w:bottom w:val="none" w:sz="0" w:space="0" w:color="auto"/>
        <w:right w:val="none" w:sz="0" w:space="0" w:color="auto"/>
      </w:divBdr>
    </w:div>
    <w:div w:id="1599483679">
      <w:bodyDiv w:val="1"/>
      <w:marLeft w:val="0"/>
      <w:marRight w:val="0"/>
      <w:marTop w:val="0"/>
      <w:marBottom w:val="0"/>
      <w:divBdr>
        <w:top w:val="none" w:sz="0" w:space="0" w:color="auto"/>
        <w:left w:val="none" w:sz="0" w:space="0" w:color="auto"/>
        <w:bottom w:val="none" w:sz="0" w:space="0" w:color="auto"/>
        <w:right w:val="none" w:sz="0" w:space="0" w:color="auto"/>
      </w:divBdr>
    </w:div>
    <w:div w:id="1635404275">
      <w:bodyDiv w:val="1"/>
      <w:marLeft w:val="0"/>
      <w:marRight w:val="0"/>
      <w:marTop w:val="0"/>
      <w:marBottom w:val="0"/>
      <w:divBdr>
        <w:top w:val="none" w:sz="0" w:space="0" w:color="auto"/>
        <w:left w:val="none" w:sz="0" w:space="0" w:color="auto"/>
        <w:bottom w:val="none" w:sz="0" w:space="0" w:color="auto"/>
        <w:right w:val="none" w:sz="0" w:space="0" w:color="auto"/>
      </w:divBdr>
    </w:div>
    <w:div w:id="1661734809">
      <w:bodyDiv w:val="1"/>
      <w:marLeft w:val="0"/>
      <w:marRight w:val="0"/>
      <w:marTop w:val="0"/>
      <w:marBottom w:val="0"/>
      <w:divBdr>
        <w:top w:val="none" w:sz="0" w:space="0" w:color="auto"/>
        <w:left w:val="none" w:sz="0" w:space="0" w:color="auto"/>
        <w:bottom w:val="none" w:sz="0" w:space="0" w:color="auto"/>
        <w:right w:val="none" w:sz="0" w:space="0" w:color="auto"/>
      </w:divBdr>
    </w:div>
    <w:div w:id="1677879202">
      <w:bodyDiv w:val="1"/>
      <w:marLeft w:val="0"/>
      <w:marRight w:val="0"/>
      <w:marTop w:val="0"/>
      <w:marBottom w:val="0"/>
      <w:divBdr>
        <w:top w:val="none" w:sz="0" w:space="0" w:color="auto"/>
        <w:left w:val="none" w:sz="0" w:space="0" w:color="auto"/>
        <w:bottom w:val="none" w:sz="0" w:space="0" w:color="auto"/>
        <w:right w:val="none" w:sz="0" w:space="0" w:color="auto"/>
      </w:divBdr>
    </w:div>
    <w:div w:id="1712537696">
      <w:bodyDiv w:val="1"/>
      <w:marLeft w:val="0"/>
      <w:marRight w:val="0"/>
      <w:marTop w:val="0"/>
      <w:marBottom w:val="0"/>
      <w:divBdr>
        <w:top w:val="none" w:sz="0" w:space="0" w:color="auto"/>
        <w:left w:val="none" w:sz="0" w:space="0" w:color="auto"/>
        <w:bottom w:val="none" w:sz="0" w:space="0" w:color="auto"/>
        <w:right w:val="none" w:sz="0" w:space="0" w:color="auto"/>
      </w:divBdr>
    </w:div>
    <w:div w:id="1739746619">
      <w:bodyDiv w:val="1"/>
      <w:marLeft w:val="0"/>
      <w:marRight w:val="0"/>
      <w:marTop w:val="0"/>
      <w:marBottom w:val="0"/>
      <w:divBdr>
        <w:top w:val="none" w:sz="0" w:space="0" w:color="auto"/>
        <w:left w:val="none" w:sz="0" w:space="0" w:color="auto"/>
        <w:bottom w:val="none" w:sz="0" w:space="0" w:color="auto"/>
        <w:right w:val="none" w:sz="0" w:space="0" w:color="auto"/>
      </w:divBdr>
    </w:div>
    <w:div w:id="1747802166">
      <w:bodyDiv w:val="1"/>
      <w:marLeft w:val="0"/>
      <w:marRight w:val="0"/>
      <w:marTop w:val="0"/>
      <w:marBottom w:val="0"/>
      <w:divBdr>
        <w:top w:val="none" w:sz="0" w:space="0" w:color="auto"/>
        <w:left w:val="none" w:sz="0" w:space="0" w:color="auto"/>
        <w:bottom w:val="none" w:sz="0" w:space="0" w:color="auto"/>
        <w:right w:val="none" w:sz="0" w:space="0" w:color="auto"/>
      </w:divBdr>
    </w:div>
    <w:div w:id="1910967261">
      <w:bodyDiv w:val="1"/>
      <w:marLeft w:val="0"/>
      <w:marRight w:val="0"/>
      <w:marTop w:val="0"/>
      <w:marBottom w:val="0"/>
      <w:divBdr>
        <w:top w:val="none" w:sz="0" w:space="0" w:color="auto"/>
        <w:left w:val="none" w:sz="0" w:space="0" w:color="auto"/>
        <w:bottom w:val="none" w:sz="0" w:space="0" w:color="auto"/>
        <w:right w:val="none" w:sz="0" w:space="0" w:color="auto"/>
      </w:divBdr>
    </w:div>
    <w:div w:id="1914047757">
      <w:bodyDiv w:val="1"/>
      <w:marLeft w:val="0"/>
      <w:marRight w:val="0"/>
      <w:marTop w:val="0"/>
      <w:marBottom w:val="0"/>
      <w:divBdr>
        <w:top w:val="none" w:sz="0" w:space="0" w:color="auto"/>
        <w:left w:val="none" w:sz="0" w:space="0" w:color="auto"/>
        <w:bottom w:val="none" w:sz="0" w:space="0" w:color="auto"/>
        <w:right w:val="none" w:sz="0" w:space="0" w:color="auto"/>
      </w:divBdr>
    </w:div>
    <w:div w:id="1919291578">
      <w:bodyDiv w:val="1"/>
      <w:marLeft w:val="0"/>
      <w:marRight w:val="0"/>
      <w:marTop w:val="0"/>
      <w:marBottom w:val="0"/>
      <w:divBdr>
        <w:top w:val="none" w:sz="0" w:space="0" w:color="auto"/>
        <w:left w:val="none" w:sz="0" w:space="0" w:color="auto"/>
        <w:bottom w:val="none" w:sz="0" w:space="0" w:color="auto"/>
        <w:right w:val="none" w:sz="0" w:space="0" w:color="auto"/>
      </w:divBdr>
    </w:div>
    <w:div w:id="1927809055">
      <w:bodyDiv w:val="1"/>
      <w:marLeft w:val="0"/>
      <w:marRight w:val="0"/>
      <w:marTop w:val="0"/>
      <w:marBottom w:val="0"/>
      <w:divBdr>
        <w:top w:val="none" w:sz="0" w:space="0" w:color="auto"/>
        <w:left w:val="none" w:sz="0" w:space="0" w:color="auto"/>
        <w:bottom w:val="none" w:sz="0" w:space="0" w:color="auto"/>
        <w:right w:val="none" w:sz="0" w:space="0" w:color="auto"/>
      </w:divBdr>
    </w:div>
    <w:div w:id="1992904527">
      <w:bodyDiv w:val="1"/>
      <w:marLeft w:val="0"/>
      <w:marRight w:val="0"/>
      <w:marTop w:val="0"/>
      <w:marBottom w:val="0"/>
      <w:divBdr>
        <w:top w:val="none" w:sz="0" w:space="0" w:color="auto"/>
        <w:left w:val="none" w:sz="0" w:space="0" w:color="auto"/>
        <w:bottom w:val="none" w:sz="0" w:space="0" w:color="auto"/>
        <w:right w:val="none" w:sz="0" w:space="0" w:color="auto"/>
      </w:divBdr>
    </w:div>
    <w:div w:id="20684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nvestnova.info" TargetMode="External"/><Relationship Id="rId13" Type="http://schemas.openxmlformats.org/officeDocument/2006/relationships/hyperlink" Target="http://www.blberz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vestnova.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berza.com/Pages/SecurityList.aspx?sh=LAZAREVI%c4%86+DU%c5%a0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berza.com/Pages/SecurityList.aspx?sh=ZIF+PRIVREDNIK+INVEST+AD+BANJA+LUKA" TargetMode="External"/><Relationship Id="rId4" Type="http://schemas.openxmlformats.org/officeDocument/2006/relationships/settings" Target="settings.xml"/><Relationship Id="rId9" Type="http://schemas.openxmlformats.org/officeDocument/2006/relationships/hyperlink" Target="http://www.blberza.com/Pages/SecurityList.aspx?sh=OTVORENI+INVESTICIONI+FOND+MONETA-U+POSTUPKU+TRANS" TargetMode="External"/><Relationship Id="rId14" Type="http://schemas.openxmlformats.org/officeDocument/2006/relationships/hyperlink" Target="mailto:info@crhov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DE4F-B61A-4439-908F-8CD43F78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1</Pages>
  <Words>21913</Words>
  <Characters>124905</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275</cp:revision>
  <cp:lastPrinted>2016-06-27T16:02:00Z</cp:lastPrinted>
  <dcterms:created xsi:type="dcterms:W3CDTF">2016-03-21T09:23:00Z</dcterms:created>
  <dcterms:modified xsi:type="dcterms:W3CDTF">2016-09-06T07:30:00Z</dcterms:modified>
</cp:coreProperties>
</file>