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082" w:rsidRDefault="005147F4">
      <w:pPr>
        <w:rPr>
          <w:rFonts w:hint="eastAsia"/>
        </w:rPr>
      </w:pPr>
      <w:r w:rsidRPr="005147F4">
        <w:object w:dxaOrig="846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118.35pt" o:ole="">
            <v:imagedata r:id="rId7" o:title=""/>
          </v:shape>
          <o:OLEObject Type="Embed" ProgID="Acrobat.Document.DC" ShapeID="_x0000_i1025" DrawAspect="Content" ObjectID="_1812796970" r:id="rId8"/>
        </w:object>
      </w: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Pr="009D7A5B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jc w:val="center"/>
        <w:rPr>
          <w:rFonts w:hint="eastAsia"/>
        </w:rPr>
      </w:pPr>
      <w:r>
        <w:rPr>
          <w:rFonts w:ascii="DejaVu Serif" w:hAnsi="DejaVu Serif" w:cs="DejaVu Serif"/>
          <w:sz w:val="40"/>
          <w:szCs w:val="40"/>
          <w:lang w:val="sr-Cyrl-BA"/>
        </w:rPr>
        <w:t>ГОДИШЊИ ИЗВЈЕШТАЈ О ПОСЛОВАЊУ ПРЕДУЗЕЋА У 20</w:t>
      </w:r>
      <w:r w:rsidR="006D1FBE">
        <w:rPr>
          <w:rFonts w:ascii="DejaVu Serif" w:hAnsi="DejaVu Serif" w:cs="DejaVu Serif"/>
          <w:sz w:val="40"/>
          <w:szCs w:val="40"/>
        </w:rPr>
        <w:t>2</w:t>
      </w:r>
      <w:r w:rsidR="009D7A5B">
        <w:rPr>
          <w:rFonts w:ascii="DejaVu Serif" w:hAnsi="DejaVu Serif" w:cs="DejaVu Serif"/>
          <w:sz w:val="40"/>
          <w:szCs w:val="40"/>
        </w:rPr>
        <w:t>4</w:t>
      </w:r>
      <w:r>
        <w:rPr>
          <w:rFonts w:ascii="DejaVu Serif" w:hAnsi="DejaVu Serif" w:cs="DejaVu Serif"/>
          <w:sz w:val="40"/>
          <w:szCs w:val="40"/>
          <w:lang w:val="sr-Cyrl-BA"/>
        </w:rPr>
        <w:t>. ГОДИНИ</w:t>
      </w: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5147F4">
      <w:pPr>
        <w:jc w:val="center"/>
        <w:rPr>
          <w:rFonts w:hint="eastAsia"/>
        </w:rPr>
      </w:pPr>
      <w:r>
        <w:rPr>
          <w:sz w:val="32"/>
          <w:szCs w:val="32"/>
          <w:lang w:val="sr-Cyrl-BA"/>
        </w:rPr>
        <w:t>ШАМАЦ</w:t>
      </w:r>
      <w:r w:rsidR="00621082">
        <w:rPr>
          <w:sz w:val="32"/>
          <w:szCs w:val="32"/>
          <w:lang w:val="sr-Cyrl-BA"/>
        </w:rPr>
        <w:t>, ЈУН 20</w:t>
      </w:r>
      <w:r w:rsidR="006D1FBE">
        <w:rPr>
          <w:sz w:val="32"/>
          <w:szCs w:val="32"/>
        </w:rPr>
        <w:t>2</w:t>
      </w:r>
      <w:r w:rsidR="009D7A5B">
        <w:rPr>
          <w:sz w:val="32"/>
          <w:szCs w:val="32"/>
        </w:rPr>
        <w:t>5</w:t>
      </w:r>
      <w:r w:rsidR="00621082">
        <w:rPr>
          <w:sz w:val="32"/>
          <w:szCs w:val="32"/>
          <w:lang w:val="sr-Cyrl-BA"/>
        </w:rPr>
        <w:t>. ГОДИНЕ</w:t>
      </w:r>
    </w:p>
    <w:p w:rsidR="00754EE8" w:rsidRDefault="00754EE8">
      <w:pPr>
        <w:jc w:val="center"/>
        <w:rPr>
          <w:rFonts w:hint="eastAsia"/>
          <w:b/>
          <w:bCs/>
          <w:sz w:val="36"/>
          <w:szCs w:val="36"/>
        </w:rPr>
      </w:pPr>
    </w:p>
    <w:p w:rsidR="00621082" w:rsidRDefault="00621082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I </w:t>
      </w:r>
      <w:r>
        <w:rPr>
          <w:b/>
          <w:bCs/>
          <w:sz w:val="36"/>
          <w:szCs w:val="36"/>
          <w:lang w:val="sr-Cyrl-BA"/>
        </w:rPr>
        <w:t>ОСНОВНИ ПОДАЦИ О ПРЕДУЗЕЋУ</w:t>
      </w: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B12C3" w:rsidRDefault="00621082" w:rsidP="006B12C3">
      <w:pPr>
        <w:jc w:val="both"/>
        <w:rPr>
          <w:rFonts w:hint="eastAsia"/>
        </w:rPr>
      </w:pPr>
      <w:r>
        <w:tab/>
      </w:r>
      <w:r>
        <w:rPr>
          <w:lang w:val="sr-Cyrl-BA"/>
        </w:rPr>
        <w:tab/>
      </w:r>
      <w:r w:rsidR="005147F4">
        <w:rPr>
          <w:lang w:val="bs-Cyrl-BA"/>
        </w:rPr>
        <w:t>Дана 03.09.2001</w:t>
      </w:r>
      <w:r w:rsidR="006B12C3">
        <w:rPr>
          <w:lang w:val="bs-Cyrl-BA"/>
        </w:rPr>
        <w:t xml:space="preserve">. године </w:t>
      </w:r>
      <w:r w:rsidR="005147F4">
        <w:rPr>
          <w:lang w:val="bs-Cyrl-BA"/>
        </w:rPr>
        <w:t>Водопривредно предузеће</w:t>
      </w:r>
      <w:r w:rsidR="006B12C3">
        <w:rPr>
          <w:lang w:val="bs-Cyrl-BA"/>
        </w:rPr>
        <w:t xml:space="preserve"> „</w:t>
      </w:r>
      <w:r w:rsidR="005147F4">
        <w:rPr>
          <w:lang w:val="sr-Cyrl-BA"/>
        </w:rPr>
        <w:t xml:space="preserve">УШЋЕ БОСНЕ </w:t>
      </w:r>
      <w:r w:rsidR="006B12C3">
        <w:rPr>
          <w:lang w:val="bs-Cyrl-BA"/>
        </w:rPr>
        <w:t>“</w:t>
      </w:r>
      <w:r w:rsidR="005147F4">
        <w:rPr>
          <w:lang w:val="bs-Cyrl-BA"/>
        </w:rPr>
        <w:t xml:space="preserve"> а.д</w:t>
      </w:r>
      <w:r w:rsidR="006B12C3">
        <w:rPr>
          <w:lang w:val="bs-Cyrl-BA"/>
        </w:rPr>
        <w:t>.</w:t>
      </w:r>
      <w:r w:rsidR="005147F4">
        <w:rPr>
          <w:lang w:val="bs-Cyrl-BA"/>
        </w:rPr>
        <w:t xml:space="preserve"> </w:t>
      </w:r>
      <w:r w:rsidR="005147F4">
        <w:rPr>
          <w:lang w:val="sr-Cyrl-BA"/>
        </w:rPr>
        <w:t>Цара Душана 106, Шамац</w:t>
      </w:r>
      <w:r w:rsidR="008D44C0">
        <w:rPr>
          <w:lang w:val="sr-Cyrl-BA"/>
        </w:rPr>
        <w:t xml:space="preserve"> </w:t>
      </w:r>
      <w:r w:rsidR="006B12C3">
        <w:rPr>
          <w:lang w:val="bs-Cyrl-BA"/>
        </w:rPr>
        <w:t xml:space="preserve">са дјелатношћу </w:t>
      </w:r>
      <w:r w:rsidR="005147F4">
        <w:rPr>
          <w:lang w:val="bs-Cyrl-BA"/>
        </w:rPr>
        <w:t xml:space="preserve">копова шљунка и пијеска; вађење глине и каолина, (у даљем тексту: </w:t>
      </w:r>
      <w:r w:rsidR="00A407C0">
        <w:rPr>
          <w:lang w:val="bs-Cyrl-BA"/>
        </w:rPr>
        <w:t>П</w:t>
      </w:r>
      <w:r w:rsidR="005147F4">
        <w:rPr>
          <w:lang w:val="bs-Cyrl-BA"/>
        </w:rPr>
        <w:t>редузеће</w:t>
      </w:r>
      <w:r w:rsidR="006B12C3">
        <w:rPr>
          <w:lang w:val="bs-Cyrl-BA"/>
        </w:rPr>
        <w:t xml:space="preserve">) уписано је у Судски регистар код Основног суда у Добоју под бројем </w:t>
      </w:r>
      <w:r w:rsidR="005147F4">
        <w:rPr>
          <w:lang w:val="sr-Cyrl-BA"/>
        </w:rPr>
        <w:t>U/I-497/2001</w:t>
      </w:r>
      <w:r w:rsidR="006B12C3">
        <w:rPr>
          <w:lang w:val="bs-Cyrl-BA"/>
        </w:rPr>
        <w:t xml:space="preserve">. </w:t>
      </w:r>
    </w:p>
    <w:p w:rsidR="006B12C3" w:rsidRDefault="006B12C3" w:rsidP="006B12C3">
      <w:pPr>
        <w:ind w:left="420" w:firstLine="420"/>
        <w:jc w:val="both"/>
        <w:rPr>
          <w:lang/>
        </w:rPr>
      </w:pPr>
      <w:r>
        <w:rPr>
          <w:lang w:val="bs-Cyrl-BA"/>
        </w:rPr>
        <w:t xml:space="preserve">Вриједност оснивачког капитала је </w:t>
      </w:r>
      <w:r w:rsidR="005147F4">
        <w:rPr>
          <w:lang w:val="sr-Cyrl-BA"/>
        </w:rPr>
        <w:t>1.891.351,00</w:t>
      </w:r>
      <w:r w:rsidR="008D44C0">
        <w:rPr>
          <w:lang w:val="sr-Cyrl-BA"/>
        </w:rPr>
        <w:t xml:space="preserve"> </w:t>
      </w:r>
      <w:r>
        <w:rPr>
          <w:lang w:val="bs-Cyrl-BA"/>
        </w:rPr>
        <w:t>КМ.</w:t>
      </w:r>
    </w:p>
    <w:p w:rsidR="004E6681" w:rsidRPr="004E6681" w:rsidRDefault="004E6681" w:rsidP="006B12C3">
      <w:pPr>
        <w:ind w:left="420" w:firstLine="420"/>
        <w:jc w:val="both"/>
        <w:rPr>
          <w:rFonts w:hint="eastAsia"/>
          <w:lang/>
        </w:rPr>
      </w:pPr>
    </w:p>
    <w:p w:rsidR="006B12C3" w:rsidRPr="00D060BB" w:rsidRDefault="006B12C3" w:rsidP="006B12C3">
      <w:pPr>
        <w:ind w:firstLine="720"/>
        <w:jc w:val="both"/>
        <w:rPr>
          <w:rFonts w:hint="eastAsia"/>
          <w:lang w:val="sr-Cyrl-BA"/>
        </w:rPr>
      </w:pPr>
      <w:r>
        <w:rPr>
          <w:lang w:val="bs-Cyrl-BA"/>
        </w:rPr>
        <w:t xml:space="preserve">Скраћени назив фирме: </w:t>
      </w:r>
      <w:r w:rsidR="00D060BB">
        <w:rPr>
          <w:rFonts w:hint="eastAsia"/>
          <w:lang/>
        </w:rPr>
        <w:t>„</w:t>
      </w:r>
      <w:r w:rsidR="00D060BB">
        <w:rPr>
          <w:lang w:val="sr-Cyrl-BA"/>
        </w:rPr>
        <w:t>Ушће Босне</w:t>
      </w:r>
      <w:r w:rsidR="00D060BB">
        <w:rPr>
          <w:rFonts w:hint="eastAsia"/>
          <w:lang w:val="sr-Cyrl-BA"/>
        </w:rPr>
        <w:t>“</w:t>
      </w:r>
      <w:r w:rsidR="00D060BB">
        <w:rPr>
          <w:lang w:val="sr-Cyrl-BA"/>
        </w:rPr>
        <w:t xml:space="preserve"> а.д. Шамац</w:t>
      </w:r>
    </w:p>
    <w:p w:rsidR="006B12C3" w:rsidRDefault="006B12C3" w:rsidP="006B12C3">
      <w:pPr>
        <w:ind w:firstLine="720"/>
        <w:jc w:val="both"/>
        <w:rPr>
          <w:rFonts w:hint="eastAsia"/>
        </w:rPr>
      </w:pPr>
      <w:r>
        <w:rPr>
          <w:lang w:val="bs-Cyrl-BA"/>
        </w:rPr>
        <w:t xml:space="preserve">Сједиште: </w:t>
      </w:r>
      <w:r w:rsidR="00D060BB">
        <w:rPr>
          <w:lang w:val="sr-Cyrl-BA"/>
        </w:rPr>
        <w:t>Цара Душана 106, Шамац, 76230 Шамац</w:t>
      </w:r>
    </w:p>
    <w:p w:rsidR="006B12C3" w:rsidRDefault="006B12C3" w:rsidP="006B12C3">
      <w:pPr>
        <w:ind w:firstLine="720"/>
        <w:jc w:val="both"/>
        <w:rPr>
          <w:rFonts w:hint="eastAsia"/>
        </w:rPr>
      </w:pPr>
      <w:r>
        <w:rPr>
          <w:lang w:val="bs-Cyrl-BA"/>
        </w:rPr>
        <w:t xml:space="preserve">Матични број предузећа: </w:t>
      </w:r>
      <w:r w:rsidR="00D060BB">
        <w:rPr>
          <w:lang w:val="bs-Cyrl-BA"/>
        </w:rPr>
        <w:t>01159400</w:t>
      </w:r>
    </w:p>
    <w:p w:rsidR="006B12C3" w:rsidRPr="00D060BB" w:rsidRDefault="006B12C3" w:rsidP="006B12C3">
      <w:pPr>
        <w:ind w:firstLine="720"/>
        <w:jc w:val="both"/>
        <w:rPr>
          <w:rFonts w:hint="eastAsia"/>
          <w:color w:val="FF0000"/>
          <w:lang w:val="sr-Cyrl-BA"/>
        </w:rPr>
      </w:pPr>
      <w:r w:rsidRPr="006B12C3">
        <w:rPr>
          <w:lang w:val="bs-Cyrl-BA"/>
        </w:rPr>
        <w:t xml:space="preserve">МБС: </w:t>
      </w:r>
      <w:r w:rsidR="00D060BB">
        <w:rPr>
          <w:lang w:val="sr-Cyrl-BA"/>
        </w:rPr>
        <w:t>85-02-0029-09</w:t>
      </w:r>
    </w:p>
    <w:p w:rsidR="006B12C3" w:rsidRDefault="006B12C3" w:rsidP="006B12C3">
      <w:pPr>
        <w:ind w:firstLine="720"/>
        <w:jc w:val="both"/>
        <w:rPr>
          <w:rFonts w:hint="eastAsia"/>
        </w:rPr>
      </w:pPr>
      <w:r>
        <w:rPr>
          <w:lang w:val="bs-Cyrl-BA"/>
        </w:rPr>
        <w:t xml:space="preserve">ЈИБ: </w:t>
      </w:r>
      <w:r w:rsidR="00D060BB">
        <w:rPr>
          <w:lang w:val="bs-Cyrl-BA"/>
        </w:rPr>
        <w:t>4400478240000</w:t>
      </w:r>
    </w:p>
    <w:p w:rsidR="006B12C3" w:rsidRDefault="006B12C3" w:rsidP="006B12C3">
      <w:pPr>
        <w:ind w:firstLine="720"/>
        <w:jc w:val="both"/>
        <w:rPr>
          <w:rFonts w:hint="eastAsia"/>
        </w:rPr>
      </w:pPr>
      <w:r>
        <w:rPr>
          <w:lang w:val="bs-Cyrl-BA"/>
        </w:rPr>
        <w:t xml:space="preserve">ПДВ број: </w:t>
      </w:r>
      <w:r w:rsidR="00D060BB">
        <w:rPr>
          <w:lang w:val="bs-Cyrl-BA"/>
        </w:rPr>
        <w:t>400478240000</w:t>
      </w:r>
    </w:p>
    <w:p w:rsidR="006B12C3" w:rsidRDefault="006B12C3" w:rsidP="006B12C3">
      <w:pPr>
        <w:ind w:firstLine="720"/>
        <w:jc w:val="both"/>
        <w:rPr>
          <w:rFonts w:hint="eastAsia"/>
        </w:rPr>
      </w:pPr>
      <w:r>
        <w:rPr>
          <w:lang w:val="bs-Cyrl-BA"/>
        </w:rPr>
        <w:t xml:space="preserve">Основна дјелатност: </w:t>
      </w:r>
      <w:r w:rsidR="00D060BB">
        <w:rPr>
          <w:lang w:val="bs-Cyrl-BA"/>
        </w:rPr>
        <w:t>08.12 - Дјелатност копова шљунка и пијеска, вађење глине и каолина</w:t>
      </w:r>
    </w:p>
    <w:p w:rsidR="006B12C3" w:rsidRDefault="006B12C3" w:rsidP="006B12C3">
      <w:pPr>
        <w:ind w:firstLine="720"/>
        <w:jc w:val="both"/>
        <w:rPr>
          <w:rFonts w:hint="eastAsia"/>
          <w:lang w:val="bs-Cyrl-BA"/>
        </w:rPr>
      </w:pPr>
    </w:p>
    <w:p w:rsidR="006B12C3" w:rsidRDefault="006B12C3" w:rsidP="006B12C3">
      <w:pPr>
        <w:jc w:val="both"/>
        <w:rPr>
          <w:rFonts w:hint="eastAsia"/>
          <w:lang w:val="bs-Cyrl-BA"/>
        </w:rPr>
      </w:pPr>
    </w:p>
    <w:p w:rsidR="006B12C3" w:rsidRDefault="006B12C3" w:rsidP="006B12C3">
      <w:pPr>
        <w:jc w:val="both"/>
        <w:rPr>
          <w:rFonts w:hint="eastAsia"/>
        </w:rPr>
      </w:pPr>
      <w:r>
        <w:rPr>
          <w:lang w:val="bs-Cyrl-BA"/>
        </w:rPr>
        <w:t xml:space="preserve">Лица уписана у судски регистар са овлашћењем за заступање правног лица је: </w:t>
      </w:r>
    </w:p>
    <w:p w:rsidR="00D060BB" w:rsidRDefault="00D060BB" w:rsidP="00D060BB">
      <w:pPr>
        <w:widowControl/>
        <w:numPr>
          <w:ilvl w:val="0"/>
          <w:numId w:val="3"/>
        </w:numPr>
        <w:jc w:val="both"/>
        <w:rPr>
          <w:rFonts w:hint="eastAsia"/>
        </w:rPr>
      </w:pPr>
      <w:r>
        <w:rPr>
          <w:lang w:val="bs-Cyrl-BA"/>
        </w:rPr>
        <w:t>Горан Стојичић</w:t>
      </w:r>
      <w:r w:rsidR="006B12C3">
        <w:rPr>
          <w:lang w:val="bs-Cyrl-BA"/>
        </w:rPr>
        <w:t xml:space="preserve"> – директор </w:t>
      </w:r>
    </w:p>
    <w:p w:rsidR="00621082" w:rsidRDefault="00621082" w:rsidP="006B12C3">
      <w:pPr>
        <w:jc w:val="both"/>
        <w:rPr>
          <w:rFonts w:hint="eastAsia"/>
          <w:lang w:val="sr-Cyrl-BA"/>
        </w:rPr>
      </w:pPr>
    </w:p>
    <w:p w:rsidR="00621082" w:rsidRDefault="00621082">
      <w:pPr>
        <w:jc w:val="both"/>
        <w:rPr>
          <w:rFonts w:hint="eastAsia"/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  <w:t>Предузеће је на дан 31.12.20</w:t>
      </w:r>
      <w:r w:rsidR="006D1FBE">
        <w:rPr>
          <w:lang w:val="sr-Cyrl-BA"/>
        </w:rPr>
        <w:t>2</w:t>
      </w:r>
      <w:r w:rsidR="006B12C3">
        <w:t>4</w:t>
      </w:r>
      <w:r>
        <w:rPr>
          <w:lang w:val="sr-Cyrl-BA"/>
        </w:rPr>
        <w:t>. године посједовало отворене трансакционе рачуне код пословних банака, приказаних у следећој табели:</w:t>
      </w:r>
    </w:p>
    <w:p w:rsidR="00A12EC3" w:rsidRDefault="00A12EC3">
      <w:pPr>
        <w:jc w:val="both"/>
        <w:rPr>
          <w:rFonts w:hint="eastAsia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42"/>
        <w:gridCol w:w="3377"/>
        <w:gridCol w:w="2923"/>
        <w:gridCol w:w="1916"/>
      </w:tblGrid>
      <w:tr w:rsidR="008F61BF" w:rsidTr="00754EE8">
        <w:tc>
          <w:tcPr>
            <w:tcW w:w="1442" w:type="dxa"/>
            <w:shd w:val="clear" w:color="auto" w:fill="auto"/>
            <w:vAlign w:val="center"/>
          </w:tcPr>
          <w:p w:rsidR="00621082" w:rsidRDefault="0062108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Редни број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621082" w:rsidRDefault="0062108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Назив банке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21082" w:rsidRDefault="0062108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Број рачуна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21082" w:rsidRDefault="0062108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Валута</w:t>
            </w:r>
          </w:p>
        </w:tc>
      </w:tr>
      <w:tr w:rsidR="00754EE8" w:rsidTr="00754EE8">
        <w:tc>
          <w:tcPr>
            <w:tcW w:w="1442" w:type="dxa"/>
            <w:shd w:val="clear" w:color="auto" w:fill="auto"/>
            <w:vAlign w:val="center"/>
          </w:tcPr>
          <w:p w:rsidR="00754EE8" w:rsidRDefault="00754EE8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54EE8" w:rsidRDefault="00D060BB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Нова</w:t>
            </w:r>
            <w:r w:rsidR="00754EE8">
              <w:rPr>
                <w:lang w:val="sr-Cyrl-BA"/>
              </w:rPr>
              <w:t xml:space="preserve"> банка а.д.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754EE8" w:rsidRDefault="00D060BB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555-003-00049466-77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54EE8" w:rsidRDefault="00754EE8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КМ</w:t>
            </w:r>
          </w:p>
        </w:tc>
      </w:tr>
      <w:tr w:rsidR="00754EE8" w:rsidTr="00754EE8">
        <w:tc>
          <w:tcPr>
            <w:tcW w:w="1442" w:type="dxa"/>
            <w:shd w:val="clear" w:color="auto" w:fill="auto"/>
            <w:vAlign w:val="center"/>
          </w:tcPr>
          <w:p w:rsidR="00754EE8" w:rsidRDefault="00754EE8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54EE8" w:rsidRDefault="00D060BB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Нова</w:t>
            </w:r>
            <w:r w:rsidR="00754EE8">
              <w:rPr>
                <w:lang w:val="sr-Cyrl-BA"/>
              </w:rPr>
              <w:t xml:space="preserve"> банка а.д.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754EE8" w:rsidRDefault="00D060BB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555-110-10001520-25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54EE8" w:rsidRDefault="00754EE8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ЕУР</w:t>
            </w:r>
          </w:p>
        </w:tc>
      </w:tr>
      <w:tr w:rsidR="00754EE8" w:rsidTr="00754EE8">
        <w:tc>
          <w:tcPr>
            <w:tcW w:w="1442" w:type="dxa"/>
            <w:shd w:val="clear" w:color="auto" w:fill="auto"/>
            <w:vAlign w:val="center"/>
          </w:tcPr>
          <w:p w:rsidR="00754EE8" w:rsidRDefault="00754EE8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54EE8" w:rsidRDefault="00D060BB" w:rsidP="00754EE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lang w:val="sr-Cyrl-BA"/>
              </w:rPr>
              <w:t>УниЦредит</w:t>
            </w:r>
            <w:r w:rsidR="00754EE8">
              <w:rPr>
                <w:lang w:val="sr-Cyrl-BA"/>
              </w:rPr>
              <w:t xml:space="preserve"> а.д. Бања Лука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754EE8" w:rsidRPr="00D060BB" w:rsidRDefault="00D060BB" w:rsidP="00754EE8">
            <w:pPr>
              <w:pStyle w:val="TableContents"/>
              <w:jc w:val="center"/>
              <w:rPr>
                <w:rFonts w:hint="eastAsia"/>
                <w:lang w:val="sr-Cyrl-BA"/>
              </w:rPr>
            </w:pPr>
            <w:r>
              <w:rPr>
                <w:lang w:val="sr-Cyrl-BA"/>
              </w:rPr>
              <w:t>551-052-00019646-90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54EE8" w:rsidRPr="00B12FEB" w:rsidRDefault="00754EE8" w:rsidP="00754EE8">
            <w:pPr>
              <w:pStyle w:val="TableContents"/>
              <w:jc w:val="center"/>
              <w:rPr>
                <w:rFonts w:hint="eastAsia"/>
                <w:lang w:val="sr-Cyrl-BA"/>
              </w:rPr>
            </w:pPr>
            <w:r>
              <w:rPr>
                <w:lang w:val="sr-Cyrl-BA"/>
              </w:rPr>
              <w:t>КМ</w:t>
            </w:r>
          </w:p>
        </w:tc>
      </w:tr>
    </w:tbl>
    <w:p w:rsidR="00621082" w:rsidRDefault="00621082">
      <w:pPr>
        <w:jc w:val="both"/>
        <w:rPr>
          <w:rFonts w:hint="eastAsia"/>
        </w:rPr>
      </w:pPr>
    </w:p>
    <w:p w:rsidR="00621082" w:rsidRDefault="00621082" w:rsidP="0087478E">
      <w:pPr>
        <w:ind w:firstLine="840"/>
        <w:jc w:val="both"/>
        <w:rPr>
          <w:rFonts w:hint="eastAsia"/>
          <w:lang w:val="sr-Cyrl-BA"/>
        </w:rPr>
      </w:pPr>
      <w:r>
        <w:rPr>
          <w:lang w:val="sr-Cyrl-BA"/>
        </w:rPr>
        <w:t>Уписани и уплаћени основни капитал предузећа на дан 31.12.20</w:t>
      </w:r>
      <w:r w:rsidR="006D1FBE">
        <w:rPr>
          <w:lang w:val="sr-Cyrl-BA"/>
        </w:rPr>
        <w:t>2</w:t>
      </w:r>
      <w:r w:rsidR="006B12C3">
        <w:t>4</w:t>
      </w:r>
      <w:r>
        <w:rPr>
          <w:lang w:val="sr-Cyrl-BA"/>
        </w:rPr>
        <w:t xml:space="preserve">. године износи </w:t>
      </w:r>
      <w:r w:rsidR="00D060BB">
        <w:rPr>
          <w:color w:val="000000"/>
          <w:lang w:val="sr-Cyrl-BA"/>
        </w:rPr>
        <w:t>1.891.351</w:t>
      </w:r>
      <w:r w:rsidRPr="0013081B">
        <w:rPr>
          <w:color w:val="000000"/>
          <w:lang w:val="sr-Cyrl-BA"/>
        </w:rPr>
        <w:t>,00</w:t>
      </w:r>
      <w:r>
        <w:rPr>
          <w:lang w:val="sr-Cyrl-BA"/>
        </w:rPr>
        <w:t xml:space="preserve"> КМ и односи се на удјеле</w:t>
      </w:r>
      <w:r w:rsidR="00435C49">
        <w:rPr>
          <w:lang w:val="sr-Cyrl-BA"/>
        </w:rPr>
        <w:t xml:space="preserve"> акција</w:t>
      </w:r>
      <w:r>
        <w:rPr>
          <w:lang w:val="sr-Cyrl-BA"/>
        </w:rPr>
        <w:t xml:space="preserve"> у</w:t>
      </w:r>
      <w:r w:rsidRPr="004E6681">
        <w:rPr>
          <w:lang w:val="sr-Cyrl-BA"/>
        </w:rPr>
        <w:t xml:space="preserve"> </w:t>
      </w:r>
      <w:r w:rsidR="004E6681" w:rsidRPr="004E6681">
        <w:rPr>
          <w:lang/>
        </w:rPr>
        <w:t>акционарском друштву</w:t>
      </w:r>
      <w:r>
        <w:rPr>
          <w:lang w:val="sr-Cyrl-BA"/>
        </w:rPr>
        <w:t>.</w:t>
      </w:r>
    </w:p>
    <w:p w:rsidR="00621082" w:rsidRDefault="00621082">
      <w:pPr>
        <w:jc w:val="both"/>
        <w:rPr>
          <w:rFonts w:hint="eastAsia"/>
          <w:lang w:val="sr-Cyrl-BA"/>
        </w:rPr>
      </w:pP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  <w:t>Остале позиције капитала предузећа су:</w:t>
      </w:r>
    </w:p>
    <w:p w:rsidR="00621082" w:rsidRPr="006B12C3" w:rsidRDefault="004E6681">
      <w:pPr>
        <w:jc w:val="both"/>
        <w:rPr>
          <w:rFonts w:hint="eastAsia"/>
        </w:rPr>
      </w:pPr>
      <w:r>
        <w:rPr>
          <w:lang w:val="sr-Cyrl-BA"/>
        </w:rPr>
        <w:t>- ревалоризационе</w:t>
      </w:r>
      <w:r w:rsidR="00621082">
        <w:rPr>
          <w:lang w:val="sr-Cyrl-BA"/>
        </w:rPr>
        <w:t xml:space="preserve"> резерве у износу од </w:t>
      </w:r>
      <w:r w:rsidR="00435C49">
        <w:rPr>
          <w:lang w:val="sr-Cyrl-BA"/>
        </w:rPr>
        <w:t xml:space="preserve">68.378,00 </w:t>
      </w:r>
      <w:r w:rsidR="00621082">
        <w:rPr>
          <w:lang w:val="sr-Cyrl-BA"/>
        </w:rPr>
        <w:t>КМ,</w:t>
      </w:r>
    </w:p>
    <w:p w:rsidR="00621082" w:rsidRDefault="006465D7">
      <w:pPr>
        <w:jc w:val="both"/>
        <w:rPr>
          <w:rFonts w:hint="eastAsia"/>
        </w:rPr>
      </w:pPr>
      <w:r>
        <w:rPr>
          <w:lang w:val="sr-Cyrl-BA"/>
        </w:rPr>
        <w:t xml:space="preserve">- </w:t>
      </w:r>
      <w:r w:rsidR="004E6681">
        <w:rPr>
          <w:lang w:val="sr-Cyrl-BA"/>
        </w:rPr>
        <w:t>гу</w:t>
      </w:r>
      <w:r w:rsidR="00621082">
        <w:rPr>
          <w:lang w:val="sr-Cyrl-BA"/>
        </w:rPr>
        <w:t xml:space="preserve">битак ранијих година у износу од </w:t>
      </w:r>
      <w:r>
        <w:rPr>
          <w:lang w:val="sr-Cyrl-BA"/>
        </w:rPr>
        <w:t>351.835</w:t>
      </w:r>
      <w:r w:rsidR="00435C49">
        <w:rPr>
          <w:lang w:val="sr-Cyrl-BA"/>
        </w:rPr>
        <w:t>,00</w:t>
      </w:r>
      <w:r w:rsidR="00621082">
        <w:rPr>
          <w:lang w:val="sr-Cyrl-BA"/>
        </w:rPr>
        <w:t xml:space="preserve"> КМ и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 xml:space="preserve">- </w:t>
      </w:r>
      <w:r w:rsidR="006465D7">
        <w:rPr>
          <w:lang w:val="sr-Cyrl-BA"/>
        </w:rPr>
        <w:t>гу</w:t>
      </w:r>
      <w:r>
        <w:rPr>
          <w:lang w:val="sr-Cyrl-BA"/>
        </w:rPr>
        <w:t xml:space="preserve">битак текуће године у износу од </w:t>
      </w:r>
      <w:r w:rsidR="006465D7">
        <w:rPr>
          <w:lang w:val="sr-Cyrl-BA"/>
        </w:rPr>
        <w:t>176.953</w:t>
      </w:r>
      <w:r w:rsidR="00435C49">
        <w:rPr>
          <w:lang w:val="sr-Cyrl-BA"/>
        </w:rPr>
        <w:t>,00</w:t>
      </w:r>
      <w:r>
        <w:rPr>
          <w:lang w:val="sr-Cyrl-BA"/>
        </w:rPr>
        <w:t xml:space="preserve"> КМ.</w:t>
      </w:r>
    </w:p>
    <w:p w:rsidR="00621082" w:rsidRDefault="00621082">
      <w:pPr>
        <w:jc w:val="both"/>
        <w:rPr>
          <w:rFonts w:hint="eastAsia"/>
          <w:lang w:val="sr-Cyrl-BA"/>
        </w:rPr>
      </w:pPr>
    </w:p>
    <w:p w:rsidR="00754EE8" w:rsidRPr="00A407C0" w:rsidRDefault="006465D7">
      <w:pPr>
        <w:jc w:val="both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  <w:t xml:space="preserve">Са даном креирања извјештаја о пословању 100,00 % акционар је Д.О.О. </w:t>
      </w:r>
      <w:r>
        <w:rPr>
          <w:rFonts w:hint="eastAsia"/>
          <w:lang w:val="sr-Cyrl-BA"/>
        </w:rPr>
        <w:t>„</w:t>
      </w:r>
      <w:r>
        <w:rPr>
          <w:lang/>
        </w:rPr>
        <w:t>Martić – Inter – Copp</w:t>
      </w:r>
      <w:r>
        <w:rPr>
          <w:rFonts w:hint="eastAsia"/>
          <w:lang w:val="sr-Cyrl-BA"/>
        </w:rPr>
        <w:t>“</w:t>
      </w:r>
      <w:r>
        <w:rPr>
          <w:lang/>
        </w:rPr>
        <w:t xml:space="preserve"> Г</w:t>
      </w:r>
      <w:r>
        <w:rPr>
          <w:lang w:val="sr-Cyrl-BA"/>
        </w:rPr>
        <w:t>орњани</w:t>
      </w:r>
      <w:r>
        <w:rPr>
          <w:lang/>
        </w:rPr>
        <w:t xml:space="preserve"> 2А,</w:t>
      </w:r>
      <w:r>
        <w:rPr>
          <w:lang w:val="sr-Cyrl-BA"/>
        </w:rPr>
        <w:t xml:space="preserve"> Гаревац,</w:t>
      </w:r>
      <w:r>
        <w:rPr>
          <w:lang/>
        </w:rPr>
        <w:t xml:space="preserve"> општина Модрича</w:t>
      </w:r>
      <w:r w:rsidR="00A407C0">
        <w:rPr>
          <w:lang w:val="sr-Cyrl-BA"/>
        </w:rPr>
        <w:t>.</w:t>
      </w:r>
    </w:p>
    <w:p w:rsidR="00D060BB" w:rsidRDefault="00D060BB">
      <w:pPr>
        <w:jc w:val="both"/>
        <w:rPr>
          <w:lang w:val="sr-Cyrl-BA"/>
        </w:rPr>
      </w:pPr>
    </w:p>
    <w:p w:rsidR="00435C49" w:rsidRDefault="00435C49">
      <w:pPr>
        <w:jc w:val="both"/>
        <w:rPr>
          <w:lang w:val="sr-Cyrl-BA"/>
        </w:rPr>
      </w:pPr>
    </w:p>
    <w:p w:rsidR="00D060BB" w:rsidRDefault="00D060BB">
      <w:pPr>
        <w:jc w:val="both"/>
        <w:rPr>
          <w:lang w:val="sr-Cyrl-BA"/>
        </w:rPr>
      </w:pPr>
    </w:p>
    <w:p w:rsidR="006465D7" w:rsidRDefault="006465D7">
      <w:pPr>
        <w:jc w:val="both"/>
        <w:rPr>
          <w:lang w:val="sr-Cyrl-BA"/>
        </w:rPr>
      </w:pPr>
    </w:p>
    <w:p w:rsidR="006465D7" w:rsidRDefault="006465D7">
      <w:pPr>
        <w:jc w:val="both"/>
        <w:rPr>
          <w:lang w:val="sr-Cyrl-BA"/>
        </w:rPr>
      </w:pPr>
    </w:p>
    <w:p w:rsidR="006465D7" w:rsidRDefault="006465D7">
      <w:pPr>
        <w:jc w:val="both"/>
        <w:rPr>
          <w:lang w:val="sr-Cyrl-BA"/>
        </w:rPr>
      </w:pPr>
    </w:p>
    <w:p w:rsidR="006465D7" w:rsidRDefault="006465D7">
      <w:pPr>
        <w:jc w:val="both"/>
        <w:rPr>
          <w:lang w:val="sr-Cyrl-BA"/>
        </w:rPr>
      </w:pPr>
    </w:p>
    <w:p w:rsidR="006465D7" w:rsidRDefault="006465D7">
      <w:pPr>
        <w:jc w:val="both"/>
        <w:rPr>
          <w:lang w:val="sr-Cyrl-BA"/>
        </w:rPr>
      </w:pPr>
    </w:p>
    <w:p w:rsidR="006465D7" w:rsidRDefault="006465D7">
      <w:pPr>
        <w:jc w:val="both"/>
        <w:rPr>
          <w:rFonts w:hint="eastAsia"/>
          <w:lang w:val="sr-Cyrl-BA"/>
        </w:rPr>
      </w:pPr>
    </w:p>
    <w:p w:rsidR="00621082" w:rsidRDefault="00621082">
      <w:pPr>
        <w:jc w:val="both"/>
        <w:rPr>
          <w:rFonts w:hint="eastAsia"/>
          <w:sz w:val="8"/>
          <w:szCs w:val="8"/>
          <w:lang w:val="sr-Cyrl-BA"/>
        </w:rPr>
      </w:pPr>
    </w:p>
    <w:p w:rsidR="00621082" w:rsidRDefault="00621082">
      <w:pPr>
        <w:jc w:val="both"/>
        <w:rPr>
          <w:rFonts w:hint="eastAsia"/>
          <w:sz w:val="8"/>
          <w:szCs w:val="8"/>
          <w:lang w:val="sr-Cyrl-BA"/>
        </w:rPr>
      </w:pPr>
    </w:p>
    <w:p w:rsidR="00621082" w:rsidRDefault="00621082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II </w:t>
      </w:r>
      <w:r>
        <w:rPr>
          <w:b/>
          <w:bCs/>
          <w:sz w:val="36"/>
          <w:szCs w:val="36"/>
          <w:lang w:val="sr-Cyrl-BA"/>
        </w:rPr>
        <w:t>РЕЗУЛТАТИ ПОСЛОВАЊА И РАЗВОЈ ПРЕДУЗЕЋА</w:t>
      </w:r>
    </w:p>
    <w:p w:rsidR="00621082" w:rsidRDefault="00621082">
      <w:pPr>
        <w:jc w:val="both"/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>
        <w:rPr>
          <w:lang w:val="sr-Cyrl-BA"/>
        </w:rPr>
        <w:t>Предузеће је у пословној 20</w:t>
      </w:r>
      <w:r w:rsidR="008777D7">
        <w:rPr>
          <w:lang w:val="sr-Cyrl-BA"/>
        </w:rPr>
        <w:t>2</w:t>
      </w:r>
      <w:r w:rsidR="006B12C3">
        <w:t>4</w:t>
      </w:r>
      <w:r>
        <w:rPr>
          <w:lang w:val="sr-Cyrl-BA"/>
        </w:rPr>
        <w:t xml:space="preserve">. години остварило укупне приходе у износу од </w:t>
      </w:r>
      <w:r w:rsidR="00435C49">
        <w:rPr>
          <w:lang w:val="sr-Cyrl-BA"/>
        </w:rPr>
        <w:t>266.008</w:t>
      </w:r>
      <w:r>
        <w:rPr>
          <w:lang w:val="sr-Cyrl-BA"/>
        </w:rPr>
        <w:t xml:space="preserve">,00 КМ, односно остварено је </w:t>
      </w:r>
      <w:r w:rsidR="00435C49">
        <w:rPr>
          <w:lang w:val="sr-Cyrl-BA"/>
        </w:rPr>
        <w:t>смањење</w:t>
      </w:r>
      <w:r>
        <w:rPr>
          <w:lang w:val="sr-Cyrl-BA"/>
        </w:rPr>
        <w:t xml:space="preserve"> прихода у апсолутном износу од </w:t>
      </w:r>
      <w:r w:rsidR="00435C49">
        <w:rPr>
          <w:lang w:val="sr-Cyrl-BA"/>
        </w:rPr>
        <w:t>1.082.718</w:t>
      </w:r>
      <w:r w:rsidR="00523FC8">
        <w:t>,00</w:t>
      </w:r>
      <w:r>
        <w:rPr>
          <w:lang w:val="sr-Cyrl-BA"/>
        </w:rPr>
        <w:t xml:space="preserve"> КМ или </w:t>
      </w:r>
      <w:r w:rsidR="006465D7">
        <w:rPr>
          <w:lang w:val="sr-Cyrl-BA"/>
        </w:rPr>
        <w:t>80,28</w:t>
      </w:r>
      <w:r w:rsidR="00A12EC3">
        <w:rPr>
          <w:lang w:val="sr-Cyrl-BA"/>
        </w:rPr>
        <w:t>%</w:t>
      </w:r>
      <w:r w:rsidR="008D44C0">
        <w:rPr>
          <w:lang w:val="sr-Cyrl-BA"/>
        </w:rPr>
        <w:t xml:space="preserve"> </w:t>
      </w:r>
      <w:r w:rsidR="00435C49">
        <w:rPr>
          <w:lang w:val="sr-Cyrl-BA"/>
        </w:rPr>
        <w:t>мање</w:t>
      </w:r>
      <w:r w:rsidR="008D44C0">
        <w:rPr>
          <w:lang w:val="sr-Cyrl-BA"/>
        </w:rPr>
        <w:t xml:space="preserve"> </w:t>
      </w:r>
      <w:r>
        <w:rPr>
          <w:lang w:val="sr-Cyrl-BA"/>
        </w:rPr>
        <w:t>у односу на претходну пословну 20</w:t>
      </w:r>
      <w:r w:rsidR="008777D7">
        <w:rPr>
          <w:lang w:val="sr-Cyrl-BA"/>
        </w:rPr>
        <w:t>2</w:t>
      </w:r>
      <w:r w:rsidR="00BE6452">
        <w:t>3</w:t>
      </w:r>
      <w:r>
        <w:rPr>
          <w:lang w:val="sr-Cyrl-BA"/>
        </w:rPr>
        <w:t>. годину, као што је приказано у следећем прегледу:</w:t>
      </w:r>
    </w:p>
    <w:p w:rsidR="00621082" w:rsidRDefault="00621082">
      <w:pPr>
        <w:jc w:val="both"/>
        <w:rPr>
          <w:rFonts w:hint="eastAsia"/>
        </w:rPr>
      </w:pPr>
    </w:p>
    <w:bookmarkStart w:id="0" w:name="_MON_1749543744"/>
    <w:bookmarkStart w:id="1" w:name="_MON_1748339735"/>
    <w:bookmarkEnd w:id="0"/>
    <w:bookmarkEnd w:id="1"/>
    <w:p w:rsidR="00621082" w:rsidRDefault="00435C49" w:rsidP="008F61BF">
      <w:pPr>
        <w:jc w:val="center"/>
        <w:rPr>
          <w:rFonts w:hint="eastAsia"/>
        </w:rPr>
      </w:pPr>
      <w:r>
        <w:object w:dxaOrig="7755" w:dyaOrig="1504">
          <v:shape id="_x0000_i1026" type="#_x0000_t75" style="width:388.8pt;height:75.15pt" o:ole="">
            <v:imagedata r:id="rId9" o:title=""/>
          </v:shape>
          <o:OLEObject Type="Embed" ProgID="Excel.Sheet.8" ShapeID="_x0000_i1026" DrawAspect="Content" ObjectID="_1812796971" r:id="rId10"/>
        </w:object>
      </w:r>
    </w:p>
    <w:p w:rsidR="00621082" w:rsidRDefault="00621082">
      <w:pPr>
        <w:jc w:val="both"/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>
        <w:rPr>
          <w:lang w:val="sr-Cyrl-BA"/>
        </w:rPr>
        <w:t xml:space="preserve">Сходно оствареном </w:t>
      </w:r>
      <w:r w:rsidR="00435C49">
        <w:rPr>
          <w:lang w:val="sr-Cyrl-BA"/>
        </w:rPr>
        <w:t>смањењу</w:t>
      </w:r>
      <w:r w:rsidRPr="004915A9">
        <w:rPr>
          <w:lang w:val="sr-Cyrl-BA"/>
        </w:rPr>
        <w:t xml:space="preserve"> прихода, очекивано је посљедично </w:t>
      </w:r>
      <w:r w:rsidR="00435C49">
        <w:rPr>
          <w:lang w:val="sr-Cyrl-BA"/>
        </w:rPr>
        <w:t>смањење</w:t>
      </w:r>
      <w:r w:rsidRPr="004915A9">
        <w:rPr>
          <w:lang w:val="sr-Cyrl-BA"/>
        </w:rPr>
        <w:t xml:space="preserve"> укупних расхода, који су остварени у износу од </w:t>
      </w:r>
      <w:r w:rsidR="00EB1711">
        <w:rPr>
          <w:lang w:val="sr-Cyrl-BA"/>
        </w:rPr>
        <w:t>498.394</w:t>
      </w:r>
      <w:r w:rsidR="00BE6452">
        <w:rPr>
          <w:lang w:val="sr-Cyrl-BA"/>
        </w:rPr>
        <w:t>,00</w:t>
      </w:r>
      <w:r w:rsidRPr="004915A9">
        <w:rPr>
          <w:lang w:val="sr-Cyrl-BA"/>
        </w:rPr>
        <w:t xml:space="preserve"> КМ, односно </w:t>
      </w:r>
      <w:r w:rsidR="00EB1711">
        <w:rPr>
          <w:lang w:val="sr-Cyrl-BA"/>
        </w:rPr>
        <w:t>мањи</w:t>
      </w:r>
      <w:r>
        <w:rPr>
          <w:lang w:val="sr-Cyrl-BA"/>
        </w:rPr>
        <w:t xml:space="preserve"> су за </w:t>
      </w:r>
      <w:r w:rsidR="006465D7">
        <w:rPr>
          <w:lang w:val="sr-Cyrl-BA"/>
        </w:rPr>
        <w:t>61,66</w:t>
      </w:r>
      <w:r>
        <w:rPr>
          <w:lang w:val="sr-Cyrl-BA"/>
        </w:rPr>
        <w:t>% у односу на остварене расходе у претходној пословној 20</w:t>
      </w:r>
      <w:r w:rsidR="00687E11">
        <w:rPr>
          <w:lang w:val="sr-Cyrl-BA"/>
        </w:rPr>
        <w:t>2</w:t>
      </w:r>
      <w:r w:rsidR="00BE6452">
        <w:rPr>
          <w:lang w:val="sr-Cyrl-BA"/>
        </w:rPr>
        <w:t>3</w:t>
      </w:r>
      <w:r>
        <w:rPr>
          <w:lang w:val="sr-Cyrl-BA"/>
        </w:rPr>
        <w:t>. години</w:t>
      </w:r>
      <w:r w:rsidR="00BE6452">
        <w:rPr>
          <w:lang w:val="sr-Cyrl-BA"/>
        </w:rPr>
        <w:t xml:space="preserve">. </w:t>
      </w:r>
      <w:r>
        <w:rPr>
          <w:lang w:val="sr-Cyrl-BA"/>
        </w:rPr>
        <w:t>Однос расхода остварених у 20</w:t>
      </w:r>
      <w:r w:rsidR="00687E11">
        <w:rPr>
          <w:lang w:val="sr-Cyrl-BA"/>
        </w:rPr>
        <w:t>2</w:t>
      </w:r>
      <w:r w:rsidR="00BE6452">
        <w:rPr>
          <w:lang w:val="sr-Cyrl-BA"/>
        </w:rPr>
        <w:t>4</w:t>
      </w:r>
      <w:r>
        <w:rPr>
          <w:lang w:val="sr-Cyrl-BA"/>
        </w:rPr>
        <w:t>. години према расходима оствареним у 20</w:t>
      </w:r>
      <w:r w:rsidR="00687E11">
        <w:rPr>
          <w:lang w:val="sr-Cyrl-BA"/>
        </w:rPr>
        <w:t>2</w:t>
      </w:r>
      <w:r w:rsidR="00501366">
        <w:rPr>
          <w:lang w:val="sr-Cyrl-BA"/>
        </w:rPr>
        <w:t>3</w:t>
      </w:r>
      <w:r>
        <w:rPr>
          <w:lang w:val="sr-Cyrl-BA"/>
        </w:rPr>
        <w:t>. години дат је у следећем прегледу:</w:t>
      </w:r>
    </w:p>
    <w:p w:rsidR="00621082" w:rsidRDefault="00621082">
      <w:pPr>
        <w:rPr>
          <w:rFonts w:hint="eastAsia"/>
          <w:sz w:val="16"/>
          <w:szCs w:val="16"/>
        </w:rPr>
      </w:pPr>
    </w:p>
    <w:tbl>
      <w:tblPr>
        <w:tblW w:w="7394" w:type="dxa"/>
        <w:jc w:val="center"/>
        <w:tblLook w:val="04A0"/>
      </w:tblPr>
      <w:tblGrid>
        <w:gridCol w:w="3640"/>
        <w:gridCol w:w="1217"/>
        <w:gridCol w:w="1217"/>
        <w:gridCol w:w="1320"/>
      </w:tblGrid>
      <w:tr w:rsidR="008F61BF" w:rsidRPr="008F61BF" w:rsidTr="00A37F52">
        <w:trPr>
          <w:trHeight w:val="255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1BF" w:rsidRPr="008F61BF" w:rsidRDefault="008F61BF" w:rsidP="008F61B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8F61BF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Опис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1BF" w:rsidRPr="008F61BF" w:rsidRDefault="002E59FD" w:rsidP="008F61B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202</w:t>
            </w:r>
            <w:r w:rsidR="00BE6452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1BF" w:rsidRPr="002E59FD" w:rsidRDefault="002E59FD" w:rsidP="008F61B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202</w:t>
            </w:r>
            <w:r w:rsidR="00BE6452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1BF" w:rsidRPr="008F61BF" w:rsidRDefault="008F61BF" w:rsidP="008F61B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8F61BF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Индекс</w:t>
            </w:r>
          </w:p>
        </w:tc>
      </w:tr>
      <w:tr w:rsidR="00523FC8" w:rsidRPr="008F61BF" w:rsidTr="00A37F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C8" w:rsidRPr="008F61BF" w:rsidRDefault="00523FC8" w:rsidP="00523F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8F61BF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Пословни расходи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435C49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1.276.336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435C49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458.905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C8" w:rsidRPr="00BD3ADC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35,95%</w:t>
            </w:r>
          </w:p>
        </w:tc>
      </w:tr>
      <w:tr w:rsidR="00523FC8" w:rsidRPr="008F61BF" w:rsidTr="00BE64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C8" w:rsidRPr="008F61BF" w:rsidRDefault="00523FC8" w:rsidP="00523F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8F61BF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Финансијски расходи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687E11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1.581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435C49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C8" w:rsidRPr="00687E11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2,34%</w:t>
            </w:r>
          </w:p>
        </w:tc>
      </w:tr>
      <w:tr w:rsidR="00523FC8" w:rsidRPr="008F61BF" w:rsidTr="00BD3ADC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C8" w:rsidRPr="008F61BF" w:rsidRDefault="00523FC8" w:rsidP="00523F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8F61BF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Остали расходи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435C49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22.182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435C49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39.452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435C49" w:rsidRDefault="00435C49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177,86%</w:t>
            </w:r>
          </w:p>
        </w:tc>
      </w:tr>
      <w:tr w:rsidR="00523FC8" w:rsidRPr="008F61BF" w:rsidTr="00BE64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C8" w:rsidRPr="008F61BF" w:rsidRDefault="00523FC8" w:rsidP="00523F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8F61BF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Промјене рач. политика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BE6452" w:rsidRDefault="00BE6452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BE6452" w:rsidRDefault="00BE6452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8F61BF" w:rsidRDefault="00523FC8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0,00%</w:t>
            </w:r>
          </w:p>
        </w:tc>
      </w:tr>
      <w:tr w:rsidR="00523FC8" w:rsidRPr="008F61BF" w:rsidTr="00A37F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C8" w:rsidRPr="008F61BF" w:rsidRDefault="00523FC8" w:rsidP="00523FC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8F61BF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Укупни расходи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687E11" w:rsidRDefault="00EB1711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1.300.099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3FC8" w:rsidRPr="00EB1711" w:rsidRDefault="00EB1711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498.394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C8" w:rsidRPr="00EB1711" w:rsidRDefault="00EB1711" w:rsidP="00523F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38,34%</w:t>
            </w:r>
          </w:p>
        </w:tc>
      </w:tr>
    </w:tbl>
    <w:p w:rsidR="00621082" w:rsidRDefault="00621082">
      <w:pPr>
        <w:jc w:val="both"/>
        <w:rPr>
          <w:rFonts w:hint="eastAsia"/>
        </w:rPr>
      </w:pPr>
    </w:p>
    <w:p w:rsidR="00621082" w:rsidRPr="004915A9" w:rsidRDefault="00621082">
      <w:pPr>
        <w:jc w:val="both"/>
        <w:rPr>
          <w:rFonts w:hint="eastAsia"/>
        </w:rPr>
      </w:pPr>
      <w:r>
        <w:tab/>
      </w:r>
      <w:r>
        <w:tab/>
      </w:r>
      <w:r w:rsidR="004915A9" w:rsidRPr="004915A9">
        <w:rPr>
          <w:lang w:val="sr-Cyrl-BA"/>
        </w:rPr>
        <w:t xml:space="preserve">Остварена </w:t>
      </w:r>
      <w:r w:rsidR="00EB1711">
        <w:rPr>
          <w:lang w:val="sr-Cyrl-BA"/>
        </w:rPr>
        <w:t>смањења</w:t>
      </w:r>
      <w:r w:rsidRPr="004915A9">
        <w:rPr>
          <w:lang w:val="sr-Cyrl-BA"/>
        </w:rPr>
        <w:t xml:space="preserve"> прихода и расхода, до</w:t>
      </w:r>
      <w:r w:rsidR="00C9610D" w:rsidRPr="004915A9">
        <w:rPr>
          <w:lang w:val="sr-Cyrl-BA"/>
        </w:rPr>
        <w:t>вела су</w:t>
      </w:r>
      <w:r w:rsidRPr="004915A9">
        <w:rPr>
          <w:lang w:val="sr-Cyrl-BA"/>
        </w:rPr>
        <w:t xml:space="preserve"> до </w:t>
      </w:r>
      <w:r w:rsidR="004915A9" w:rsidRPr="004915A9">
        <w:rPr>
          <w:lang w:val="sr-Cyrl-BA"/>
        </w:rPr>
        <w:t xml:space="preserve">примјетног </w:t>
      </w:r>
      <w:r w:rsidR="00EB1711">
        <w:rPr>
          <w:lang w:val="sr-Cyrl-BA"/>
        </w:rPr>
        <w:t>смањења</w:t>
      </w:r>
      <w:r w:rsidRPr="004915A9">
        <w:rPr>
          <w:lang w:val="sr-Cyrl-BA"/>
        </w:rPr>
        <w:t xml:space="preserve"> оствареног </w:t>
      </w:r>
      <w:r w:rsidR="00EB1711">
        <w:rPr>
          <w:lang w:val="sr-Cyrl-BA"/>
        </w:rPr>
        <w:t>губитка</w:t>
      </w:r>
      <w:r w:rsidRPr="004915A9">
        <w:rPr>
          <w:lang w:val="sr-Cyrl-BA"/>
        </w:rPr>
        <w:t xml:space="preserve"> предузећа у апсолутном износу, али и у процентним показатељима оствареног пословног </w:t>
      </w:r>
      <w:r w:rsidR="00EB1711">
        <w:rPr>
          <w:lang w:val="sr-Cyrl-BA"/>
        </w:rPr>
        <w:t>губитка</w:t>
      </w:r>
      <w:r w:rsidRPr="004915A9">
        <w:rPr>
          <w:lang w:val="sr-Cyrl-BA"/>
        </w:rPr>
        <w:t xml:space="preserve"> и </w:t>
      </w:r>
      <w:r w:rsidR="00EB1711">
        <w:rPr>
          <w:lang w:val="sr-Cyrl-BA"/>
        </w:rPr>
        <w:t>губитка</w:t>
      </w:r>
      <w:r w:rsidRPr="004915A9">
        <w:rPr>
          <w:lang w:val="sr-Cyrl-BA"/>
        </w:rPr>
        <w:t xml:space="preserve"> редовне активности, како је приказано у наставку:</w:t>
      </w:r>
    </w:p>
    <w:p w:rsidR="00621082" w:rsidRDefault="00621082">
      <w:pPr>
        <w:rPr>
          <w:rFonts w:hint="eastAsia"/>
          <w:sz w:val="16"/>
          <w:szCs w:val="16"/>
        </w:rPr>
      </w:pPr>
    </w:p>
    <w:tbl>
      <w:tblPr>
        <w:tblW w:w="7360" w:type="dxa"/>
        <w:jc w:val="center"/>
        <w:tblLook w:val="04A0"/>
      </w:tblPr>
      <w:tblGrid>
        <w:gridCol w:w="3640"/>
        <w:gridCol w:w="1200"/>
        <w:gridCol w:w="1200"/>
        <w:gridCol w:w="1320"/>
      </w:tblGrid>
      <w:tr w:rsidR="00513001" w:rsidRPr="00513001" w:rsidTr="00513001">
        <w:trPr>
          <w:trHeight w:val="255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001" w:rsidRPr="00513001" w:rsidRDefault="00513001" w:rsidP="005130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Опис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001" w:rsidRPr="00687E11" w:rsidRDefault="00687E11" w:rsidP="005130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202</w:t>
            </w:r>
            <w:r w:rsidR="00BE6452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001" w:rsidRPr="00687E11" w:rsidRDefault="00687E11" w:rsidP="005130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202</w:t>
            </w:r>
            <w:r w:rsidR="00BE6452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3001" w:rsidRPr="00513001" w:rsidRDefault="00513001" w:rsidP="005130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Индекс</w:t>
            </w:r>
          </w:p>
        </w:tc>
      </w:tr>
      <w:tr w:rsidR="00501366" w:rsidRPr="00513001" w:rsidTr="00BE64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66" w:rsidRPr="00EB1711" w:rsidRDefault="00501366" w:rsidP="00EB171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Пословни </w:t>
            </w:r>
            <w:r w:rsidR="00EB171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губитак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BD3ADC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9.503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BD3ADC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215.017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BD3ADC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2.262,62</w:t>
            </w:r>
            <w:r w:rsidR="00501366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  <w:tr w:rsidR="00501366" w:rsidRPr="00513001" w:rsidTr="00BE64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66" w:rsidRPr="00513001" w:rsidRDefault="00EB1711" w:rsidP="0050136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Губитак</w:t>
            </w:r>
            <w:r w:rsidR="00501366"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редовне активности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BD3ADC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11.084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BD3ADC" w:rsidRDefault="006465D7" w:rsidP="00EB171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215.054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BD3ADC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1.940,22%</w:t>
            </w:r>
          </w:p>
        </w:tc>
      </w:tr>
      <w:tr w:rsidR="00501366" w:rsidRPr="00513001" w:rsidTr="00BE64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66" w:rsidRPr="00513001" w:rsidRDefault="00501366" w:rsidP="0050136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Резултат осталих прихода и расхода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EB1711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+59.711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E82BEB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-17.332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EB1711" w:rsidRDefault="00EB1711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</w:t>
            </w:r>
            <w:r w:rsidR="006465D7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129,03%</w:t>
            </w:r>
          </w:p>
        </w:tc>
      </w:tr>
      <w:tr w:rsidR="006465D7" w:rsidRPr="00513001" w:rsidTr="00BE64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D7" w:rsidRPr="006465D7" w:rsidRDefault="006465D7" w:rsidP="0050136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Резултат по основу усклађивања вриједности имовине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5D7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-127.286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5D7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-11.971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5D7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9,40%</w:t>
            </w:r>
          </w:p>
        </w:tc>
      </w:tr>
      <w:tr w:rsidR="00501366" w:rsidRPr="00513001" w:rsidTr="00BE64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66" w:rsidRPr="00513001" w:rsidRDefault="00501366" w:rsidP="0050136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Резултат промјене рач.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BE6452" w:rsidRDefault="00BE6452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E82BEB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-5.540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66" w:rsidRPr="00BE6452" w:rsidRDefault="00BE6452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501366" w:rsidRPr="00513001" w:rsidTr="00BE6452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66" w:rsidRPr="00EB1711" w:rsidRDefault="00501366" w:rsidP="00EB171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Бруто </w:t>
            </w:r>
            <w:r w:rsidR="00EB1711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губитак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6465D7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6465D7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78.659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66" w:rsidRPr="006465D7" w:rsidRDefault="006465D7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6465D7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249.897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1366" w:rsidRPr="006465D7" w:rsidRDefault="00EB1711" w:rsidP="00BE645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6465D7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317,70%</w:t>
            </w:r>
          </w:p>
        </w:tc>
      </w:tr>
    </w:tbl>
    <w:p w:rsidR="00621082" w:rsidRDefault="00621082">
      <w:pPr>
        <w:jc w:val="both"/>
        <w:rPr>
          <w:rFonts w:hint="eastAsia"/>
        </w:rPr>
      </w:pPr>
      <w:r>
        <w:tab/>
      </w:r>
    </w:p>
    <w:p w:rsidR="00621082" w:rsidRPr="00B57A56" w:rsidRDefault="00621082">
      <w:pPr>
        <w:jc w:val="both"/>
        <w:rPr>
          <w:rFonts w:hint="eastAsia"/>
        </w:rPr>
      </w:pPr>
      <w:r>
        <w:tab/>
      </w:r>
      <w:r w:rsidRPr="00B57A56">
        <w:rPr>
          <w:lang w:val="sr-Cyrl-BA"/>
        </w:rPr>
        <w:t xml:space="preserve">У будућем периоду очекује се </w:t>
      </w:r>
      <w:r w:rsidR="00B57A56" w:rsidRPr="00B57A56">
        <w:rPr>
          <w:lang w:val="sr-Cyrl-BA"/>
        </w:rPr>
        <w:t>стабилизација</w:t>
      </w:r>
      <w:r w:rsidRPr="00B57A56">
        <w:rPr>
          <w:lang w:val="sr-Cyrl-BA"/>
        </w:rPr>
        <w:t xml:space="preserve"> пословања </w:t>
      </w:r>
      <w:r w:rsidR="00EB1711" w:rsidRPr="00B57A56">
        <w:rPr>
          <w:lang w:val="sr-Cyrl-BA"/>
        </w:rPr>
        <w:t>друштва</w:t>
      </w:r>
      <w:r w:rsidR="00B57A56" w:rsidRPr="00B57A56">
        <w:rPr>
          <w:lang w:val="sr-Cyrl-BA"/>
        </w:rPr>
        <w:t>, консолидација</w:t>
      </w:r>
      <w:r w:rsidRPr="00B57A56">
        <w:rPr>
          <w:lang w:val="sr-Cyrl-BA"/>
        </w:rPr>
        <w:t xml:space="preserve"> укупног </w:t>
      </w:r>
      <w:r w:rsidR="00B57A56" w:rsidRPr="00B57A56">
        <w:rPr>
          <w:lang w:val="sr-Cyrl-BA"/>
        </w:rPr>
        <w:t>резултата</w:t>
      </w:r>
      <w:r w:rsidRPr="00B57A56">
        <w:rPr>
          <w:lang w:val="sr-Cyrl-BA"/>
        </w:rPr>
        <w:t xml:space="preserve"> кроз повећање укупног прихода са оптимализацијом и рационализацијом остварених расхода. </w:t>
      </w:r>
    </w:p>
    <w:p w:rsidR="00621082" w:rsidRDefault="00621082" w:rsidP="007064C8">
      <w:pPr>
        <w:ind w:firstLine="420"/>
        <w:jc w:val="both"/>
        <w:rPr>
          <w:rFonts w:hint="eastAsia"/>
          <w:lang w:val="sr-Cyrl-BA"/>
        </w:rPr>
      </w:pPr>
      <w:r>
        <w:rPr>
          <w:lang w:val="sr-Cyrl-BA"/>
        </w:rPr>
        <w:t xml:space="preserve">Уважавајући утврђену стопу </w:t>
      </w:r>
      <w:r w:rsidR="007064C8">
        <w:rPr>
          <w:lang w:val="sr-Cyrl-BA"/>
        </w:rPr>
        <w:t>инфлације</w:t>
      </w:r>
      <w:r>
        <w:rPr>
          <w:lang w:val="sr-Cyrl-BA"/>
        </w:rPr>
        <w:t xml:space="preserve"> од </w:t>
      </w:r>
      <w:r w:rsidR="002B53E9">
        <w:rPr>
          <w:lang w:val="sr-Cyrl-BA"/>
        </w:rPr>
        <w:t>1</w:t>
      </w:r>
      <w:r w:rsidR="004915A9" w:rsidRPr="004915A9">
        <w:rPr>
          <w:lang w:val="sr-Cyrl-BA"/>
        </w:rPr>
        <w:t>,</w:t>
      </w:r>
      <w:r w:rsidR="002B53E9">
        <w:rPr>
          <w:lang w:val="sr-Cyrl-BA"/>
        </w:rPr>
        <w:t>9</w:t>
      </w:r>
      <w:r w:rsidR="007064C8" w:rsidRPr="004915A9">
        <w:rPr>
          <w:lang w:val="sr-Cyrl-BA"/>
        </w:rPr>
        <w:t>0</w:t>
      </w:r>
      <w:r w:rsidRPr="004915A9">
        <w:rPr>
          <w:lang w:val="sr-Cyrl-BA"/>
        </w:rPr>
        <w:t>%</w:t>
      </w:r>
      <w:r>
        <w:rPr>
          <w:lang w:val="sr-Cyrl-BA"/>
        </w:rPr>
        <w:t xml:space="preserve"> у </w:t>
      </w:r>
      <w:r w:rsidR="007064C8">
        <w:rPr>
          <w:lang w:val="sr-Cyrl-BA"/>
        </w:rPr>
        <w:t>Републици Српској</w:t>
      </w:r>
      <w:r>
        <w:rPr>
          <w:lang w:val="sr-Cyrl-BA"/>
        </w:rPr>
        <w:t xml:space="preserve"> за 20</w:t>
      </w:r>
      <w:r w:rsidR="00C9610D">
        <w:rPr>
          <w:lang w:val="sr-Cyrl-BA"/>
        </w:rPr>
        <w:t>2</w:t>
      </w:r>
      <w:r w:rsidR="002B53E9">
        <w:rPr>
          <w:lang w:val="sr-Cyrl-BA"/>
        </w:rPr>
        <w:t>4</w:t>
      </w:r>
      <w:r>
        <w:rPr>
          <w:lang w:val="sr-Cyrl-BA"/>
        </w:rPr>
        <w:t>. годину</w:t>
      </w:r>
      <w:r>
        <w:rPr>
          <w:rStyle w:val="FootnoteReference"/>
          <w:lang w:val="sr-Cyrl-BA"/>
        </w:rPr>
        <w:footnoteReference w:id="2"/>
      </w:r>
      <w:r>
        <w:rPr>
          <w:lang w:val="sr-Cyrl-BA"/>
        </w:rPr>
        <w:t>, те раст цијена електричне енергије, плина и других енергената, пројектовани план пословања и остварених резултата је презентован у наредним прегледима:</w:t>
      </w:r>
    </w:p>
    <w:p w:rsidR="002B53E9" w:rsidRDefault="002B53E9" w:rsidP="007064C8">
      <w:pPr>
        <w:ind w:firstLine="420"/>
        <w:jc w:val="both"/>
        <w:rPr>
          <w:rFonts w:hint="eastAsia"/>
        </w:rPr>
      </w:pPr>
    </w:p>
    <w:p w:rsidR="0021712F" w:rsidRDefault="0021712F" w:rsidP="007064C8">
      <w:pPr>
        <w:ind w:firstLine="420"/>
        <w:jc w:val="both"/>
        <w:rPr>
          <w:rFonts w:hint="eastAsia"/>
        </w:rPr>
      </w:pPr>
    </w:p>
    <w:p w:rsidR="0021712F" w:rsidRPr="0021712F" w:rsidRDefault="0021712F" w:rsidP="007064C8">
      <w:pPr>
        <w:ind w:firstLine="420"/>
        <w:jc w:val="both"/>
        <w:rPr>
          <w:rFonts w:hint="eastAsia"/>
        </w:rPr>
      </w:pPr>
    </w:p>
    <w:p w:rsidR="00621082" w:rsidRDefault="00621082">
      <w:pPr>
        <w:rPr>
          <w:rFonts w:hint="eastAsia"/>
        </w:rPr>
      </w:pPr>
    </w:p>
    <w:tbl>
      <w:tblPr>
        <w:tblW w:w="7360" w:type="dxa"/>
        <w:jc w:val="center"/>
        <w:tblLook w:val="04A0"/>
      </w:tblPr>
      <w:tblGrid>
        <w:gridCol w:w="3460"/>
        <w:gridCol w:w="1200"/>
        <w:gridCol w:w="1300"/>
        <w:gridCol w:w="1400"/>
      </w:tblGrid>
      <w:tr w:rsidR="00CD76AB" w:rsidRPr="00CD76AB" w:rsidTr="00CD76AB">
        <w:trPr>
          <w:trHeight w:val="25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CD76AB" w:rsidP="00CD76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lastRenderedPageBreak/>
              <w:t>Опис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48503F" w:rsidP="00CD76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202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</w:t>
            </w:r>
            <w:r w:rsidR="00CD76AB"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48503F" w:rsidRDefault="0048503F" w:rsidP="00CD76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202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CD76AB" w:rsidP="00CD76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Индекс</w:t>
            </w:r>
          </w:p>
        </w:tc>
      </w:tr>
      <w:tr w:rsidR="00CD76AB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CD76AB" w:rsidP="00CD76A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Пословни приходи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C9610D" w:rsidRDefault="00EB1711" w:rsidP="00CD76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243.888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042448" w:rsidRDefault="00EB1711" w:rsidP="00CD76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500.000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4915A9" w:rsidRDefault="00D324EC" w:rsidP="004915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205,01</w:t>
            </w:r>
            <w:r w:rsidR="004915A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  <w:tr w:rsidR="00CD76AB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CD76AB" w:rsidP="00CD76A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Финансијски приходи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C9610D" w:rsidRDefault="00EB1711" w:rsidP="00CD76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042448" w:rsidRDefault="00D324EC" w:rsidP="00CD76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4915A9" w:rsidRDefault="002B53E9" w:rsidP="004915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108,20</w:t>
            </w:r>
            <w:r w:rsidR="004915A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  <w:tr w:rsidR="00CD76AB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CD76AB" w:rsidP="00CD76A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Остали приходи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C9610D" w:rsidRDefault="00EB1711" w:rsidP="00CD76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22.120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042448" w:rsidRDefault="00D324EC" w:rsidP="00CD76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4915A9" w:rsidRDefault="00D324EC" w:rsidP="004915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226,04</w:t>
            </w:r>
            <w:r w:rsidR="004915A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  <w:tr w:rsidR="00CD76AB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CD76AB" w:rsidP="00CD76A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Укупни приходи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C9610D" w:rsidRDefault="00EB1711" w:rsidP="00CD76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266.008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042448" w:rsidRDefault="00D324EC" w:rsidP="00CD76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550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76AB" w:rsidRPr="004915A9" w:rsidRDefault="00D324EC" w:rsidP="004915A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206,76</w:t>
            </w:r>
            <w:r w:rsidR="004915A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</w:tbl>
    <w:p w:rsidR="00CD76AB" w:rsidRDefault="00CD76AB">
      <w:pPr>
        <w:rPr>
          <w:rFonts w:hint="eastAsia"/>
        </w:rPr>
      </w:pPr>
    </w:p>
    <w:tbl>
      <w:tblPr>
        <w:tblW w:w="7377" w:type="dxa"/>
        <w:jc w:val="center"/>
        <w:tblLook w:val="04A0"/>
      </w:tblPr>
      <w:tblGrid>
        <w:gridCol w:w="3460"/>
        <w:gridCol w:w="1217"/>
        <w:gridCol w:w="1300"/>
        <w:gridCol w:w="1400"/>
      </w:tblGrid>
      <w:tr w:rsidR="00CD76AB" w:rsidRPr="00CD76AB" w:rsidTr="00CD76AB">
        <w:trPr>
          <w:trHeight w:val="25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CD76AB" w:rsidP="00CD76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Опис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48503F" w:rsidRDefault="0048503F" w:rsidP="00CD76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202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48503F" w:rsidRDefault="0048503F" w:rsidP="00CD76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202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6AB" w:rsidRPr="00CD76AB" w:rsidRDefault="00CD76AB" w:rsidP="00CD76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Индекс</w:t>
            </w:r>
          </w:p>
        </w:tc>
      </w:tr>
      <w:tr w:rsidR="002B53E9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3E9" w:rsidRPr="00CD76AB" w:rsidRDefault="002B53E9" w:rsidP="002B53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Пословни расходи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D324EC" w:rsidRDefault="00D324EC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458.905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042448" w:rsidRDefault="00B57A56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49</w:t>
            </w:r>
            <w:r w:rsidR="00D324EC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4915A9" w:rsidRDefault="00B57A56" w:rsidP="002B53E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106,78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  <w:tr w:rsidR="002B53E9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3E9" w:rsidRPr="00CD76AB" w:rsidRDefault="002B53E9" w:rsidP="002B53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Финансијски расходи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D324EC" w:rsidRDefault="00D324EC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4B4586" w:rsidRDefault="00B57A56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2.0</w:t>
            </w:r>
            <w:r w:rsidR="004B458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DA60F1" w:rsidRDefault="00B57A5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5.405,41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  <w:tr w:rsidR="002B53E9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3E9" w:rsidRPr="00CD76AB" w:rsidRDefault="002B53E9" w:rsidP="002B53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Остали расходи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D324EC" w:rsidRDefault="00D324EC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39.452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042448" w:rsidRDefault="00B57A56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49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DA60F1" w:rsidRDefault="004B458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1</w:t>
            </w:r>
            <w:r w:rsidR="00B57A56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24,20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  <w:tr w:rsidR="002B53E9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3E9" w:rsidRPr="00CD76AB" w:rsidRDefault="002B53E9" w:rsidP="002B53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Промјене рач. политика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BE6452" w:rsidRDefault="002B53E9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042448" w:rsidRDefault="002B53E9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4B4586" w:rsidRDefault="004B4586" w:rsidP="002B53E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2B53E9" w:rsidRPr="00CD76AB" w:rsidTr="002B53E9">
        <w:trPr>
          <w:trHeight w:val="255"/>
          <w:jc w:val="center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3E9" w:rsidRPr="00CD76AB" w:rsidRDefault="002B53E9" w:rsidP="002B53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D76A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Укупни расходи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D324EC" w:rsidRDefault="00D324EC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498.394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042448" w:rsidRDefault="00B57A56" w:rsidP="002B53E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541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3E9" w:rsidRPr="00DA60F1" w:rsidRDefault="004B458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1</w:t>
            </w:r>
            <w:r w:rsidR="00B57A56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08,55</w:t>
            </w:r>
            <w:r w:rsidR="002B53E9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</w:tbl>
    <w:p w:rsidR="00621082" w:rsidRDefault="00621082">
      <w:pPr>
        <w:jc w:val="center"/>
        <w:rPr>
          <w:rFonts w:hint="eastAsia"/>
        </w:rPr>
      </w:pPr>
    </w:p>
    <w:tbl>
      <w:tblPr>
        <w:tblW w:w="7360" w:type="dxa"/>
        <w:jc w:val="center"/>
        <w:tblLook w:val="04A0"/>
      </w:tblPr>
      <w:tblGrid>
        <w:gridCol w:w="3640"/>
        <w:gridCol w:w="1200"/>
        <w:gridCol w:w="1200"/>
        <w:gridCol w:w="1320"/>
      </w:tblGrid>
      <w:tr w:rsidR="00B57A56" w:rsidRPr="00513001" w:rsidTr="00B57A56">
        <w:trPr>
          <w:trHeight w:val="255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513001" w:rsidRDefault="00B57A56" w:rsidP="002E74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Опис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687E11" w:rsidRDefault="00B57A56" w:rsidP="002E74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2024.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687E11" w:rsidRDefault="00B57A56" w:rsidP="002E74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2025.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513001" w:rsidRDefault="00B57A56" w:rsidP="002E749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Индекс</w:t>
            </w:r>
          </w:p>
        </w:tc>
      </w:tr>
      <w:tr w:rsidR="00B57A56" w:rsidRPr="00513001" w:rsidTr="00B57A56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EB1711" w:rsidRDefault="00B57A56" w:rsidP="002E74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Пословни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резултат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BD3ADC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-215.017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A56" w:rsidRPr="00042448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7A56" w:rsidRPr="00DA60F1" w:rsidRDefault="00B57A5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104,65%</w:t>
            </w:r>
          </w:p>
        </w:tc>
      </w:tr>
      <w:tr w:rsidR="00B57A56" w:rsidRPr="00513001" w:rsidTr="00B57A56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513001" w:rsidRDefault="00B57A56" w:rsidP="002E74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Резултат</w:t>
            </w: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редовне активности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BD3ADC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-215.054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BD3ADC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8.000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BD3ADC" w:rsidRDefault="00B57A5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103,72%</w:t>
            </w:r>
          </w:p>
        </w:tc>
      </w:tr>
      <w:tr w:rsidR="00B57A56" w:rsidRPr="00513001" w:rsidTr="00B57A56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513001" w:rsidRDefault="00B57A56" w:rsidP="002E74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Резултат осталих прихода и расхода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E82BEB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-17.332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E82BEB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EB1711" w:rsidRDefault="00B57A5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105,77%</w:t>
            </w:r>
          </w:p>
        </w:tc>
      </w:tr>
      <w:tr w:rsidR="00B57A56" w:rsidRPr="00513001" w:rsidTr="00B57A56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6465D7" w:rsidRDefault="00B57A56" w:rsidP="002E74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Резултат по основу усклађивања вриједности имовине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-11.971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Default="00B57A5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</w:t>
            </w:r>
          </w:p>
        </w:tc>
      </w:tr>
      <w:tr w:rsidR="00B57A56" w:rsidRPr="00513001" w:rsidTr="00B57A56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513001" w:rsidRDefault="00B57A56" w:rsidP="002E74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Резултат промјене рач.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E82BEB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-5.540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E82BEB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A56" w:rsidRPr="00BE6452" w:rsidRDefault="00B57A5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B57A56" w:rsidRPr="00513001" w:rsidTr="00B57A56">
        <w:trPr>
          <w:trHeight w:val="25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56" w:rsidRPr="00EB1711" w:rsidRDefault="00B57A56" w:rsidP="002E749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513001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Бруто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резултат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6465D7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</w:t>
            </w:r>
            <w:r w:rsidRPr="006465D7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249.897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7A56" w:rsidRPr="006465D7" w:rsidRDefault="00B57A56" w:rsidP="002E749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9.000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A56" w:rsidRPr="006465D7" w:rsidRDefault="00B57A56" w:rsidP="00B57A5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103,60</w:t>
            </w:r>
            <w:r w:rsidRPr="006465D7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%</w:t>
            </w:r>
          </w:p>
        </w:tc>
      </w:tr>
    </w:tbl>
    <w:p w:rsidR="00621082" w:rsidRDefault="00621082">
      <w:pPr>
        <w:jc w:val="center"/>
        <w:rPr>
          <w:rFonts w:hint="eastAsia"/>
        </w:rPr>
      </w:pPr>
    </w:p>
    <w:p w:rsidR="00621082" w:rsidRDefault="00621082">
      <w:pPr>
        <w:jc w:val="center"/>
        <w:rPr>
          <w:rFonts w:hint="eastAsia"/>
        </w:rPr>
      </w:pPr>
    </w:p>
    <w:p w:rsidR="00621082" w:rsidRDefault="00621082">
      <w:pPr>
        <w:jc w:val="center"/>
        <w:rPr>
          <w:rFonts w:hint="eastAsia"/>
          <w:sz w:val="16"/>
          <w:szCs w:val="16"/>
        </w:rPr>
      </w:pPr>
    </w:p>
    <w:p w:rsidR="00621082" w:rsidRDefault="00621082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III </w:t>
      </w:r>
      <w:r>
        <w:rPr>
          <w:b/>
          <w:bCs/>
          <w:sz w:val="36"/>
          <w:szCs w:val="36"/>
          <w:lang w:val="sr-Cyrl-BA"/>
        </w:rPr>
        <w:t>ЗНАЧАЈНИЈИ ДОГАЂАЈИ НАСТАЛИ У ПЕРИОДУ ПО ЗАВРШЕТКУ ПОСЛОВНЕ ГОДИНЕ ДО ДАТУМА ПРЕДАЈЕ ФИНАНСИЈСКОГ ИЗВЈЕШТАЈА</w:t>
      </w:r>
    </w:p>
    <w:p w:rsidR="00621082" w:rsidRDefault="00621082">
      <w:pPr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>
        <w:rPr>
          <w:lang w:val="sr-Cyrl-BA"/>
        </w:rPr>
        <w:t xml:space="preserve">У периоду од дана завршетка пословне године до датума предаје финансијских извјештаја није дошло до настанка значајнијих догађаја који би се одражавали на исказано стање средстава и обавеза предузећа, као ни на исказане остварене резултате у пословању. </w:t>
      </w:r>
    </w:p>
    <w:p w:rsidR="00621082" w:rsidRDefault="00621082">
      <w:pPr>
        <w:rPr>
          <w:rFonts w:hint="eastAsia"/>
          <w:sz w:val="16"/>
          <w:szCs w:val="16"/>
        </w:rPr>
      </w:pPr>
    </w:p>
    <w:p w:rsidR="00621082" w:rsidRDefault="00621082">
      <w:pPr>
        <w:rPr>
          <w:rFonts w:hint="eastAsia"/>
          <w:sz w:val="16"/>
          <w:szCs w:val="16"/>
        </w:rPr>
      </w:pPr>
    </w:p>
    <w:p w:rsidR="00621082" w:rsidRDefault="00621082">
      <w:pPr>
        <w:jc w:val="center"/>
        <w:rPr>
          <w:rFonts w:hint="eastAsia"/>
        </w:rPr>
      </w:pPr>
      <w:r w:rsidRPr="002E7495">
        <w:rPr>
          <w:b/>
          <w:bCs/>
          <w:sz w:val="36"/>
          <w:szCs w:val="36"/>
        </w:rPr>
        <w:t>IV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sr-Cyrl-BA"/>
        </w:rPr>
        <w:t>НАЈВАЖНИЈЕ АКТИВНОСТИ У ВЕЗИ СА ИСТРАЖИВАЊЕМ И РАЗВОЈЕМ</w:t>
      </w:r>
    </w:p>
    <w:p w:rsidR="00621082" w:rsidRDefault="00621082">
      <w:pPr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>
        <w:rPr>
          <w:lang w:val="sr-Cyrl-BA"/>
        </w:rPr>
        <w:t xml:space="preserve">Сходно традиционалној дјелатности предузећа неопходна су константна улагања у развој </w:t>
      </w:r>
      <w:r w:rsidR="002B53E9">
        <w:rPr>
          <w:lang w:val="sr-Cyrl-BA"/>
        </w:rPr>
        <w:t>процеса</w:t>
      </w:r>
      <w:r>
        <w:rPr>
          <w:lang w:val="sr-Cyrl-BA"/>
        </w:rPr>
        <w:t xml:space="preserve"> производње, ефикасниј</w:t>
      </w:r>
      <w:r w:rsidR="002B53E9">
        <w:rPr>
          <w:lang w:val="sr-Cyrl-BA"/>
        </w:rPr>
        <w:t>е управљање расходима</w:t>
      </w:r>
      <w:r>
        <w:rPr>
          <w:lang w:val="sr-Cyrl-BA"/>
        </w:rPr>
        <w:t>, те обезбјеђивање довољн</w:t>
      </w:r>
      <w:r w:rsidR="002B53E9">
        <w:rPr>
          <w:lang w:val="sr-Cyrl-BA"/>
        </w:rPr>
        <w:t>ог</w:t>
      </w:r>
      <w:r w:rsidR="008D44C0">
        <w:rPr>
          <w:lang w:val="sr-Cyrl-BA"/>
        </w:rPr>
        <w:t xml:space="preserve"> </w:t>
      </w:r>
      <w:r w:rsidR="002B53E9">
        <w:rPr>
          <w:lang w:val="sr-Cyrl-BA"/>
        </w:rPr>
        <w:t>обима упослености пословних капацитета</w:t>
      </w:r>
      <w:r>
        <w:rPr>
          <w:lang w:val="sr-Cyrl-BA"/>
        </w:rPr>
        <w:t>. Циљеви се огледају у набавци адекватн</w:t>
      </w:r>
      <w:r w:rsidR="002B53E9">
        <w:rPr>
          <w:lang w:val="sr-Cyrl-BA"/>
        </w:rPr>
        <w:t>е</w:t>
      </w:r>
      <w:r w:rsidR="008D44C0">
        <w:rPr>
          <w:lang w:val="sr-Cyrl-BA"/>
        </w:rPr>
        <w:t xml:space="preserve"> </w:t>
      </w:r>
      <w:r w:rsidR="0021712F">
        <w:rPr>
          <w:lang w:val="sr-Cyrl-BA"/>
        </w:rPr>
        <w:t>опреме</w:t>
      </w:r>
      <w:r>
        <w:rPr>
          <w:lang w:val="sr-Cyrl-BA"/>
        </w:rPr>
        <w:t xml:space="preserve">, повећању </w:t>
      </w:r>
      <w:r w:rsidR="0021712F">
        <w:rPr>
          <w:lang w:val="sr-Cyrl-BA"/>
        </w:rPr>
        <w:t>ефика</w:t>
      </w:r>
      <w:r w:rsidR="00F47869">
        <w:rPr>
          <w:lang w:val="sr-Cyrl-BA"/>
        </w:rPr>
        <w:t>с</w:t>
      </w:r>
      <w:r w:rsidR="0021712F">
        <w:rPr>
          <w:lang w:val="sr-Cyrl-BA"/>
        </w:rPr>
        <w:t>ности превоза</w:t>
      </w:r>
      <w:r>
        <w:rPr>
          <w:lang w:val="sr-Cyrl-BA"/>
        </w:rPr>
        <w:t xml:space="preserve">, те праћење и модернизација производног процеса </w:t>
      </w:r>
      <w:r w:rsidR="0021712F">
        <w:rPr>
          <w:lang w:val="sr-Cyrl-BA"/>
        </w:rPr>
        <w:t>прераде – сепарације фракција шљунка</w:t>
      </w:r>
      <w:r>
        <w:rPr>
          <w:lang w:val="sr-Cyrl-BA"/>
        </w:rPr>
        <w:t xml:space="preserve"> праћено искоришћавањем потенцијалних прилика за повећање производње у цјелокупном предузећу.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  <w:t>Предузеће за наредну пословну 20</w:t>
      </w:r>
      <w:r w:rsidR="0048503F">
        <w:rPr>
          <w:lang w:val="sr-Cyrl-BA"/>
        </w:rPr>
        <w:t>2</w:t>
      </w:r>
      <w:r w:rsidR="0021712F">
        <w:rPr>
          <w:lang w:val="sr-Cyrl-BA"/>
        </w:rPr>
        <w:t>5</w:t>
      </w:r>
      <w:r>
        <w:rPr>
          <w:lang w:val="sr-Cyrl-BA"/>
        </w:rPr>
        <w:t xml:space="preserve">. годину планира </w:t>
      </w:r>
      <w:r w:rsidR="002E7495">
        <w:rPr>
          <w:lang w:val="sr-Cyrl-BA"/>
        </w:rPr>
        <w:t>стабилизацију пословног</w:t>
      </w:r>
      <w:r>
        <w:rPr>
          <w:lang w:val="sr-Cyrl-BA"/>
        </w:rPr>
        <w:t xml:space="preserve"> подручја </w:t>
      </w:r>
      <w:r w:rsidR="0021712F">
        <w:rPr>
          <w:lang w:val="sr-Cyrl-BA"/>
        </w:rPr>
        <w:t>експлоатације шљунчаног материјала</w:t>
      </w:r>
      <w:r>
        <w:rPr>
          <w:lang w:val="sr-Cyrl-BA"/>
        </w:rPr>
        <w:t>, производње сродних производа тренутном асортиману и развоја услужних дјелатности, свеукупно представљајући значајан пословни подстицај за развој пословања предузећа у цјелости.</w:t>
      </w:r>
    </w:p>
    <w:p w:rsidR="00621082" w:rsidRDefault="00621082">
      <w:pPr>
        <w:jc w:val="both"/>
        <w:rPr>
          <w:rFonts w:hint="eastAsia"/>
        </w:rPr>
      </w:pPr>
    </w:p>
    <w:p w:rsidR="0021712F" w:rsidRDefault="0021712F">
      <w:pPr>
        <w:jc w:val="both"/>
        <w:rPr>
          <w:rFonts w:hint="eastAsia"/>
        </w:rPr>
      </w:pPr>
    </w:p>
    <w:p w:rsidR="0021712F" w:rsidRPr="0021712F" w:rsidRDefault="0021712F">
      <w:pPr>
        <w:jc w:val="both"/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</w:p>
    <w:p w:rsidR="0021712F" w:rsidRDefault="0021712F">
      <w:pPr>
        <w:jc w:val="center"/>
        <w:rPr>
          <w:b/>
          <w:bCs/>
          <w:sz w:val="36"/>
          <w:szCs w:val="36"/>
          <w:lang w:val="sr-Cyrl-BA"/>
        </w:rPr>
      </w:pPr>
    </w:p>
    <w:p w:rsidR="00884373" w:rsidRPr="00884373" w:rsidRDefault="00884373">
      <w:pPr>
        <w:jc w:val="center"/>
        <w:rPr>
          <w:b/>
          <w:bCs/>
          <w:sz w:val="36"/>
          <w:szCs w:val="36"/>
          <w:lang w:val="sr-Cyrl-BA"/>
        </w:rPr>
      </w:pPr>
    </w:p>
    <w:p w:rsidR="00621082" w:rsidRDefault="00621082">
      <w:pPr>
        <w:jc w:val="center"/>
        <w:rPr>
          <w:rFonts w:hint="eastAsia"/>
        </w:rPr>
      </w:pPr>
      <w:r w:rsidRPr="002E7495">
        <w:rPr>
          <w:b/>
          <w:bCs/>
          <w:sz w:val="36"/>
          <w:szCs w:val="36"/>
        </w:rPr>
        <w:t>V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sr-Cyrl-BA"/>
        </w:rPr>
        <w:t>ИНФОРМАЦИЈЕ О ОТКУПУ ВЛАСТИТИХ УДЈЕЛА</w:t>
      </w:r>
    </w:p>
    <w:p w:rsidR="00621082" w:rsidRDefault="00621082">
      <w:pPr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>
        <w:rPr>
          <w:lang w:val="sr-Cyrl-BA"/>
        </w:rPr>
        <w:t xml:space="preserve">У пословном плану предузећа није предвиђен откуп властитих удјела, </w:t>
      </w:r>
      <w:r w:rsidR="002E7495">
        <w:rPr>
          <w:lang w:val="sr-Cyrl-BA"/>
        </w:rPr>
        <w:t xml:space="preserve">али је коначна одлука на матичном предузећу. </w:t>
      </w: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jc w:val="center"/>
        <w:rPr>
          <w:rFonts w:hint="eastAsia"/>
        </w:rPr>
      </w:pPr>
      <w:r w:rsidRPr="002E7495">
        <w:rPr>
          <w:b/>
          <w:bCs/>
          <w:sz w:val="36"/>
          <w:szCs w:val="36"/>
        </w:rPr>
        <w:t>V</w:t>
      </w:r>
      <w:r>
        <w:rPr>
          <w:b/>
          <w:bCs/>
          <w:sz w:val="36"/>
          <w:szCs w:val="36"/>
        </w:rPr>
        <w:t xml:space="preserve">I </w:t>
      </w:r>
      <w:r>
        <w:rPr>
          <w:b/>
          <w:bCs/>
          <w:sz w:val="36"/>
          <w:szCs w:val="36"/>
          <w:lang w:val="sr-Cyrl-BA"/>
        </w:rPr>
        <w:t>КОРИШЋЕНИ ФИНАНСИЈСКИ ИНСТРУМЕНТИ</w:t>
      </w:r>
    </w:p>
    <w:p w:rsidR="00621082" w:rsidRDefault="00621082">
      <w:pPr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>
        <w:rPr>
          <w:lang w:val="sr-Cyrl-BA"/>
        </w:rPr>
        <w:t>Предузеће у свом редовном пословању не користи финансијске инструменте, такође не врши трговање хартијама од вриједности</w:t>
      </w:r>
      <w:r w:rsidR="002E7495">
        <w:rPr>
          <w:lang w:val="sr-Cyrl-BA"/>
        </w:rPr>
        <w:t xml:space="preserve"> – матично предузеће је 100,00% акционар</w:t>
      </w:r>
      <w:r>
        <w:rPr>
          <w:lang w:val="sr-Cyrl-BA"/>
        </w:rPr>
        <w:t>, не користи изведене финансијске инструменте, а утицај и коришћење кредита као потенцијалног финансијског инструмента описан је у за то предвиђеним дијеловима извјештаја.</w:t>
      </w:r>
    </w:p>
    <w:p w:rsidR="00621082" w:rsidRDefault="00621082">
      <w:pPr>
        <w:jc w:val="both"/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VII </w:t>
      </w:r>
      <w:r>
        <w:rPr>
          <w:b/>
          <w:bCs/>
          <w:sz w:val="36"/>
          <w:szCs w:val="36"/>
          <w:lang w:val="sr-Cyrl-BA"/>
        </w:rPr>
        <w:t>ПОКАЗАТЕЉИ УСПЈЕШНОСТИ ПОСЛОВАЊА И УПРАВЉАЊЕ ФИНАНСИЈСКИМ РИЗИЦИМА</w:t>
      </w: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  <w:r>
        <w:rPr>
          <w:b/>
          <w:bCs/>
          <w:lang w:val="sr-Cyrl-BA"/>
        </w:rPr>
        <w:t>ПОКАЗАТЕЉИ ЛИКВИДНОСТИ И СОЛВЕНТНОСТИ</w:t>
      </w:r>
    </w:p>
    <w:p w:rsidR="00621082" w:rsidRDefault="00621082">
      <w:pPr>
        <w:rPr>
          <w:rFonts w:hint="eastAsia"/>
        </w:rPr>
      </w:pPr>
    </w:p>
    <w:p w:rsidR="00621082" w:rsidRDefault="00621082" w:rsidP="00CB2993">
      <w:pPr>
        <w:jc w:val="both"/>
        <w:rPr>
          <w:rFonts w:hint="eastAsia"/>
          <w:lang w:val="sr-Cyrl-BA"/>
        </w:rPr>
      </w:pPr>
      <w:r>
        <w:tab/>
      </w:r>
      <w:r>
        <w:tab/>
      </w:r>
      <w:r>
        <w:rPr>
          <w:lang w:val="sr-Cyrl-BA"/>
        </w:rPr>
        <w:t>Ликвидност предузећа се може оцијенити као</w:t>
      </w:r>
      <w:r w:rsidR="0021712F">
        <w:rPr>
          <w:lang w:val="sr-Cyrl-BA"/>
        </w:rPr>
        <w:t xml:space="preserve"> </w:t>
      </w:r>
      <w:r w:rsidR="00365DCB">
        <w:rPr>
          <w:lang w:val="sr-Cyrl-BA"/>
        </w:rPr>
        <w:t>незадовољавајућа, с обзиром да</w:t>
      </w:r>
      <w:r>
        <w:rPr>
          <w:lang w:val="sr-Cyrl-BA"/>
        </w:rPr>
        <w:t xml:space="preserve"> </w:t>
      </w:r>
      <w:r w:rsidR="00365DCB">
        <w:rPr>
          <w:lang w:val="sr-Cyrl-BA"/>
        </w:rPr>
        <w:t>предузеће послује са континуираним губитком</w:t>
      </w:r>
      <w:r>
        <w:rPr>
          <w:lang w:val="sr-Cyrl-BA"/>
        </w:rPr>
        <w:t xml:space="preserve">, сарадња са пословним партнерима је на </w:t>
      </w:r>
      <w:r w:rsidR="00365DCB">
        <w:rPr>
          <w:lang w:val="sr-Cyrl-BA"/>
        </w:rPr>
        <w:t>задовољавајућем нивоу</w:t>
      </w:r>
      <w:r>
        <w:rPr>
          <w:lang w:val="sr-Cyrl-BA"/>
        </w:rPr>
        <w:t>. У наставку су приказани основни показатељи ликвидности и солвентности:</w:t>
      </w:r>
    </w:p>
    <w:p w:rsidR="00F44F5C" w:rsidRDefault="00F44F5C" w:rsidP="00CB2993">
      <w:pPr>
        <w:jc w:val="both"/>
        <w:rPr>
          <w:rFonts w:hint="eastAsia"/>
        </w:rPr>
      </w:pPr>
    </w:p>
    <w:tbl>
      <w:tblPr>
        <w:tblW w:w="9793" w:type="dxa"/>
        <w:jc w:val="center"/>
        <w:tblLook w:val="04A0"/>
      </w:tblPr>
      <w:tblGrid>
        <w:gridCol w:w="1967"/>
        <w:gridCol w:w="3058"/>
        <w:gridCol w:w="1718"/>
        <w:gridCol w:w="1417"/>
        <w:gridCol w:w="1633"/>
      </w:tblGrid>
      <w:tr w:rsidR="00F44F5C" w:rsidRPr="00CB2993" w:rsidTr="00F44F5C">
        <w:trPr>
          <w:trHeight w:val="510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Показатељ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Елементи за обрачун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Обрачун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Коефицијент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Оријентациона нормала</w:t>
            </w: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Текуће ликвидности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Текућа имовина / Краткорочне обавезе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81" w:rsidRDefault="00365DCB" w:rsidP="004E66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365DCB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665.003</w:t>
            </w:r>
            <w:r w:rsidR="00CB2993"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/</w:t>
            </w:r>
          </w:p>
          <w:p w:rsidR="00CB2993" w:rsidRPr="004E6681" w:rsidRDefault="00365DCB" w:rsidP="004E66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312.018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93" w:rsidRPr="00365DCB" w:rsidRDefault="00DF61B0" w:rsidP="00365D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2,</w:t>
            </w:r>
            <w:r w:rsidR="00365DCB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13129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915A9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2,00</w:t>
            </w: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Редуковане ликвидности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Монетарна имовина / Краткорочне обавезе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81" w:rsidRDefault="00365DCB" w:rsidP="004E66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 w:rsidRPr="00365DCB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26.756</w:t>
            </w:r>
            <w:r w:rsidR="00CB2993"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/ </w:t>
            </w:r>
          </w:p>
          <w:p w:rsidR="00CB2993" w:rsidRPr="004E6681" w:rsidRDefault="00365DCB" w:rsidP="004E66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312.018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93" w:rsidRPr="00365DCB" w:rsidRDefault="00365DCB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0,08575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915A9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0,40</w:t>
            </w: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Динамичке анализе ликвидности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Нето новчани ток из пословања / Просјечне краткорочне обавезе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365DCB" w:rsidRDefault="00365DCB" w:rsidP="00365D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-149.694</w:t>
            </w:r>
            <w:r w:rsidR="00CB2993" w:rsidRPr="00AD5058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/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412.266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93" w:rsidRPr="00AD5058" w:rsidRDefault="00365DCB" w:rsidP="00EE73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-0,36310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915A9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0,40</w:t>
            </w: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807212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Покрића сталне имовине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Капитал / Стална имовина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365DCB" w:rsidRDefault="00365DCB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1.430.941</w:t>
            </w:r>
            <w:r w:rsidR="00CB2993" w:rsidRPr="007E4E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1.077.956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93" w:rsidRPr="00EE73FE" w:rsidRDefault="000462B0" w:rsidP="00365D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1,</w:t>
            </w:r>
            <w:r w:rsidR="00365DCB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32746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915A9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1,00</w:t>
            </w: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807212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Покрића реалне имовине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Дугорочни капитал / Реална актива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807212" w:rsidRDefault="00365DCB" w:rsidP="00EE73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1.077.956</w:t>
            </w:r>
            <w:r w:rsidR="00EC6B3A" w:rsidRPr="007E4E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 xml:space="preserve"> 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1.742.959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93" w:rsidRPr="00EE73FE" w:rsidRDefault="000462B0" w:rsidP="00365D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</w:t>
            </w:r>
            <w:r w:rsidR="00365DCB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61846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4915A9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915A9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1,00</w:t>
            </w: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807212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EE70F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Покрића залиха НОК – ом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НОК / Залихе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807212" w:rsidRDefault="00365DCB" w:rsidP="00365D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352.985</w:t>
            </w:r>
            <w:r w:rsidR="00CB2993" w:rsidRPr="007E4E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614.236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93" w:rsidRPr="00AD5058" w:rsidRDefault="00365DCB" w:rsidP="00EE73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0,57467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EE70F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  <w:r w:rsidRPr="00EE70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807212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EE70F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Покрића обртне имовине НОК – ом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CB2993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НОК / Обртна имовина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807212" w:rsidRDefault="00365DCB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352.985</w:t>
            </w:r>
            <w:r w:rsidR="00CB2993" w:rsidRPr="007E4E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665.003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993" w:rsidRPr="00F454B4" w:rsidRDefault="002E386A" w:rsidP="00365D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</w:t>
            </w:r>
            <w:r w:rsidR="00365DCB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53080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93" w:rsidRPr="00EE70F3" w:rsidRDefault="00CB2993" w:rsidP="00CB299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  <w:r w:rsidRPr="00EE70F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F44F5C" w:rsidRPr="00CB2993" w:rsidTr="0021712F">
        <w:trPr>
          <w:trHeight w:val="276"/>
          <w:jc w:val="center"/>
        </w:trPr>
        <w:tc>
          <w:tcPr>
            <w:tcW w:w="2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93" w:rsidRPr="00CB2993" w:rsidRDefault="00CB2993" w:rsidP="00CB29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</w:tbl>
    <w:p w:rsidR="00CC5CDE" w:rsidRDefault="00CC5CDE">
      <w:pPr>
        <w:jc w:val="both"/>
        <w:rPr>
          <w:rFonts w:hint="eastAsia"/>
          <w:b/>
          <w:bCs/>
          <w:lang w:val="sr-Cyrl-BA"/>
        </w:rPr>
      </w:pPr>
    </w:p>
    <w:p w:rsidR="0021712F" w:rsidRDefault="0021712F">
      <w:pPr>
        <w:jc w:val="both"/>
        <w:rPr>
          <w:rFonts w:hint="eastAsia"/>
          <w:b/>
          <w:bCs/>
          <w:lang w:val="sr-Cyrl-BA"/>
        </w:rPr>
      </w:pPr>
    </w:p>
    <w:p w:rsidR="0021712F" w:rsidRDefault="0021712F">
      <w:pPr>
        <w:jc w:val="both"/>
        <w:rPr>
          <w:rFonts w:hint="eastAsia"/>
          <w:b/>
          <w:bCs/>
          <w:lang w:val="sr-Cyrl-BA"/>
        </w:rPr>
      </w:pPr>
    </w:p>
    <w:p w:rsidR="0021712F" w:rsidRDefault="0021712F">
      <w:pPr>
        <w:jc w:val="both"/>
        <w:rPr>
          <w:b/>
          <w:bCs/>
          <w:lang w:val="sr-Cyrl-BA"/>
        </w:rPr>
      </w:pPr>
    </w:p>
    <w:p w:rsidR="00884373" w:rsidRDefault="00884373">
      <w:pPr>
        <w:jc w:val="both"/>
        <w:rPr>
          <w:rFonts w:hint="eastAsia"/>
          <w:b/>
          <w:bCs/>
          <w:lang w:val="sr-Cyrl-BA"/>
        </w:rPr>
      </w:pPr>
    </w:p>
    <w:p w:rsidR="0021712F" w:rsidRDefault="0021712F">
      <w:pPr>
        <w:jc w:val="both"/>
        <w:rPr>
          <w:rFonts w:hint="eastAsia"/>
          <w:b/>
          <w:bCs/>
          <w:lang w:val="sr-Cyrl-BA"/>
        </w:rPr>
      </w:pPr>
    </w:p>
    <w:p w:rsidR="00D62F32" w:rsidRDefault="00D62F32">
      <w:pPr>
        <w:jc w:val="both"/>
        <w:rPr>
          <w:b/>
          <w:bCs/>
          <w:lang w:val="sr-Cyrl-BA"/>
        </w:rPr>
      </w:pPr>
    </w:p>
    <w:p w:rsidR="00D62F32" w:rsidRDefault="00D62F32">
      <w:pPr>
        <w:jc w:val="both"/>
        <w:rPr>
          <w:b/>
          <w:bCs/>
          <w:lang w:val="sr-Cyrl-BA"/>
        </w:rPr>
      </w:pPr>
    </w:p>
    <w:p w:rsidR="00621082" w:rsidRDefault="00621082">
      <w:pPr>
        <w:jc w:val="both"/>
        <w:rPr>
          <w:rFonts w:hint="eastAsia"/>
        </w:rPr>
      </w:pPr>
      <w:r>
        <w:rPr>
          <w:b/>
          <w:bCs/>
          <w:lang w:val="sr-Cyrl-BA"/>
        </w:rPr>
        <w:t>ПОКАЗАТЕЉИ ЗАДУЖЕНОСТИ</w:t>
      </w:r>
    </w:p>
    <w:p w:rsidR="00621082" w:rsidRDefault="00621082">
      <w:pPr>
        <w:jc w:val="both"/>
        <w:rPr>
          <w:rFonts w:hint="eastAsia"/>
          <w:b/>
          <w:bCs/>
          <w:sz w:val="20"/>
          <w:szCs w:val="20"/>
          <w:lang w:val="sr-Cyrl-BA"/>
        </w:rPr>
      </w:pP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  <w:t xml:space="preserve">Детаљном анализом пословања предузећа и исказаних позиција у финансијским извјештајима уочљиво је да предузеће </w:t>
      </w:r>
      <w:r w:rsidR="00884373">
        <w:rPr>
          <w:lang w:val="sr-Cyrl-BA"/>
        </w:rPr>
        <w:t>у потпуности зависи од услуга изнајмљивања некретнина и опреме, праћено продајом основних средстава</w:t>
      </w:r>
      <w:r>
        <w:rPr>
          <w:lang w:val="sr-Cyrl-BA"/>
        </w:rPr>
        <w:t>, те је наведено неопходно узети у обзир при разматрању показатеља задужености предузећа који су приказани у наставку:</w:t>
      </w:r>
    </w:p>
    <w:p w:rsidR="00621082" w:rsidRDefault="00621082">
      <w:pPr>
        <w:jc w:val="both"/>
        <w:rPr>
          <w:rFonts w:hint="eastAsia"/>
          <w:lang w:val="sr-Cyrl-BA"/>
        </w:rPr>
      </w:pPr>
    </w:p>
    <w:tbl>
      <w:tblPr>
        <w:tblW w:w="9061" w:type="dxa"/>
        <w:jc w:val="center"/>
        <w:tblLook w:val="04A0"/>
      </w:tblPr>
      <w:tblGrid>
        <w:gridCol w:w="2414"/>
        <w:gridCol w:w="2144"/>
        <w:gridCol w:w="1464"/>
        <w:gridCol w:w="1416"/>
        <w:gridCol w:w="1623"/>
      </w:tblGrid>
      <w:tr w:rsidR="0042095A" w:rsidRPr="0042095A" w:rsidTr="00F454B4">
        <w:trPr>
          <w:trHeight w:val="510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Показатељ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Елементи за обрачун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Обрачун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Коефицијент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Оријентациона нормала</w:t>
            </w:r>
          </w:p>
        </w:tc>
      </w:tr>
      <w:tr w:rsidR="0042095A" w:rsidRPr="0042095A" w:rsidTr="00CC3F25">
        <w:trPr>
          <w:trHeight w:val="276"/>
          <w:jc w:val="center"/>
        </w:trPr>
        <w:tc>
          <w:tcPr>
            <w:tcW w:w="2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Задужености предузећа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Укупне обавезе / Капитал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884373" w:rsidRDefault="00884373" w:rsidP="008843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312.018</w:t>
            </w:r>
            <w:r w:rsidR="0042095A" w:rsidRPr="00DC33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1.430.941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5A" w:rsidRPr="00CB2C0E" w:rsidRDefault="002E386A" w:rsidP="00CB2C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0,</w:t>
            </w:r>
            <w:r w:rsidR="00CB2C0E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21805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1,00</w:t>
            </w:r>
          </w:p>
        </w:tc>
      </w:tr>
      <w:tr w:rsidR="0042095A" w:rsidRPr="0042095A" w:rsidTr="00CC3F25">
        <w:trPr>
          <w:trHeight w:val="276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11343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42095A" w:rsidRPr="0042095A" w:rsidTr="00CC3F25">
        <w:trPr>
          <w:trHeight w:val="276"/>
          <w:jc w:val="center"/>
        </w:trPr>
        <w:tc>
          <w:tcPr>
            <w:tcW w:w="2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Покрића обавеза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ННТ из пословања / Просјечне обавезе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0E4287" w:rsidRDefault="00884373" w:rsidP="00CB2C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-149.694</w:t>
            </w:r>
            <w:r w:rsidR="0042095A" w:rsidRPr="000E4287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/ </w:t>
            </w:r>
            <w:r w:rsidR="00CB2C0E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412.266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5A" w:rsidRPr="000E4287" w:rsidRDefault="00CB2C0E" w:rsidP="00F454B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-0,36310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0,20</w:t>
            </w:r>
          </w:p>
        </w:tc>
      </w:tr>
      <w:tr w:rsidR="0042095A" w:rsidRPr="0042095A" w:rsidTr="00CC3F25">
        <w:trPr>
          <w:trHeight w:val="276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11343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42095A" w:rsidRPr="0042095A" w:rsidTr="00CC3F25">
        <w:trPr>
          <w:trHeight w:val="276"/>
          <w:jc w:val="center"/>
        </w:trPr>
        <w:tc>
          <w:tcPr>
            <w:tcW w:w="2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Период поврата обавеза из интерних извора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Просјечне обавезе / ННТ из пословања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CB2C0E" w:rsidRDefault="00CB2C0E" w:rsidP="000E42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412.266</w:t>
            </w:r>
            <w:r w:rsidR="0042095A" w:rsidRPr="000E4287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/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 xml:space="preserve">      </w:t>
            </w:r>
            <w:r w:rsidR="0042095A" w:rsidRPr="000E4287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-149.694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5A" w:rsidRPr="00F454B4" w:rsidRDefault="00CB2C0E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-2,75406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42095A" w:rsidRPr="0042095A" w:rsidTr="00CC3F25">
        <w:trPr>
          <w:trHeight w:val="484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11343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42095A" w:rsidRPr="0042095A" w:rsidTr="00CC3F25">
        <w:trPr>
          <w:trHeight w:val="276"/>
          <w:jc w:val="center"/>
        </w:trPr>
        <w:tc>
          <w:tcPr>
            <w:tcW w:w="2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Покрића камата зарадом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НД + трошкови камата + порез на добит / Трошкови камата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7721EE" w:rsidRDefault="00CB2C0E" w:rsidP="00CB2C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-249.860</w:t>
            </w:r>
            <w:r w:rsidR="0042095A" w:rsidRPr="007721EE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/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37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5A" w:rsidRPr="007721EE" w:rsidRDefault="00CB2C0E" w:rsidP="001F58D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-6.752,97297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5,00</w:t>
            </w:r>
          </w:p>
        </w:tc>
      </w:tr>
      <w:tr w:rsidR="0042095A" w:rsidRPr="0042095A" w:rsidTr="00CC3F25">
        <w:trPr>
          <w:trHeight w:val="533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11343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42095A" w:rsidRPr="0042095A" w:rsidTr="00CC3F25">
        <w:trPr>
          <w:trHeight w:val="276"/>
          <w:jc w:val="center"/>
        </w:trPr>
        <w:tc>
          <w:tcPr>
            <w:tcW w:w="2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Покрића камата ННТ – ом из пословања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ННТ из пословања / Трошкови камата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CB2C0E" w:rsidRDefault="00884373" w:rsidP="00CB2C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-149.694</w:t>
            </w:r>
            <w:r w:rsidR="0042095A" w:rsidRPr="000E4287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/ </w:t>
            </w:r>
            <w:r w:rsidR="00CB2C0E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37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5A" w:rsidRPr="000E4287" w:rsidRDefault="00CB2C0E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-4.045,78378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42095A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7,00</w:t>
            </w:r>
          </w:p>
        </w:tc>
      </w:tr>
      <w:tr w:rsidR="0042095A" w:rsidRPr="0042095A" w:rsidTr="00CC3F25">
        <w:trPr>
          <w:trHeight w:val="499"/>
          <w:jc w:val="center"/>
        </w:trPr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95A" w:rsidRPr="0042095A" w:rsidRDefault="0042095A" w:rsidP="0042095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</w:tbl>
    <w:p w:rsidR="00621082" w:rsidRDefault="00621082">
      <w:pPr>
        <w:jc w:val="both"/>
        <w:rPr>
          <w:rFonts w:hint="eastAsia"/>
          <w:lang w:val="sr-Cyrl-BA"/>
        </w:rPr>
      </w:pPr>
    </w:p>
    <w:p w:rsidR="0042095A" w:rsidRDefault="0042095A">
      <w:pPr>
        <w:jc w:val="both"/>
        <w:rPr>
          <w:rFonts w:hint="eastAsia"/>
          <w:b/>
          <w:bCs/>
          <w:lang w:val="sr-Cyrl-BA"/>
        </w:rPr>
      </w:pPr>
    </w:p>
    <w:p w:rsidR="00621082" w:rsidRDefault="00621082">
      <w:pPr>
        <w:jc w:val="both"/>
        <w:rPr>
          <w:rFonts w:hint="eastAsia"/>
        </w:rPr>
      </w:pPr>
      <w:r>
        <w:rPr>
          <w:b/>
          <w:bCs/>
          <w:lang w:val="sr-Cyrl-BA"/>
        </w:rPr>
        <w:t>ПОКАЗАТЕЉИ УПРАВЉАЊА ИМОВИНОМ И ИЗВОРИМА ИМОВИНЕ</w:t>
      </w:r>
    </w:p>
    <w:p w:rsidR="00621082" w:rsidRDefault="00621082">
      <w:pPr>
        <w:jc w:val="both"/>
        <w:rPr>
          <w:rFonts w:hint="eastAsia"/>
          <w:b/>
          <w:bCs/>
          <w:lang w:val="sr-Cyrl-BA"/>
        </w:rPr>
      </w:pP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</w:r>
      <w:r w:rsidR="00D62F32">
        <w:rPr>
          <w:lang w:val="sr-Cyrl-BA"/>
        </w:rPr>
        <w:t>Тренутне д</w:t>
      </w:r>
      <w:r>
        <w:rPr>
          <w:lang w:val="sr-Cyrl-BA"/>
        </w:rPr>
        <w:t>јелатности предузећа утичу да предузеће</w:t>
      </w:r>
      <w:r w:rsidR="00D62F32">
        <w:rPr>
          <w:lang w:val="sr-Cyrl-BA"/>
        </w:rPr>
        <w:t xml:space="preserve"> не</w:t>
      </w:r>
      <w:r>
        <w:rPr>
          <w:lang w:val="sr-Cyrl-BA"/>
        </w:rPr>
        <w:t xml:space="preserve"> оствар</w:t>
      </w:r>
      <w:r w:rsidR="00CC3F25">
        <w:rPr>
          <w:lang w:val="sr-Cyrl-BA"/>
        </w:rPr>
        <w:t>ује</w:t>
      </w:r>
      <w:r>
        <w:rPr>
          <w:lang w:val="sr-Cyrl-BA"/>
        </w:rPr>
        <w:t xml:space="preserve"> значајне обрте им</w:t>
      </w:r>
      <w:r w:rsidR="00D62F32">
        <w:rPr>
          <w:lang w:val="sr-Cyrl-BA"/>
        </w:rPr>
        <w:t>овине, из разлога што није обезбијеђен пласман производа</w:t>
      </w:r>
      <w:r>
        <w:rPr>
          <w:lang w:val="sr-Cyrl-BA"/>
        </w:rPr>
        <w:t xml:space="preserve"> </w:t>
      </w:r>
      <w:r w:rsidR="00D62F32">
        <w:rPr>
          <w:lang w:val="sr-Cyrl-BA"/>
        </w:rPr>
        <w:t>из производних</w:t>
      </w:r>
      <w:r>
        <w:rPr>
          <w:lang w:val="sr-Cyrl-BA"/>
        </w:rPr>
        <w:t xml:space="preserve"> дјелатности</w:t>
      </w:r>
      <w:r w:rsidR="00CC3F25">
        <w:rPr>
          <w:lang w:val="sr-Cyrl-BA"/>
        </w:rPr>
        <w:t>:</w:t>
      </w:r>
    </w:p>
    <w:p w:rsidR="00621082" w:rsidRDefault="00621082">
      <w:pPr>
        <w:jc w:val="both"/>
        <w:rPr>
          <w:rFonts w:hint="eastAsia"/>
          <w:lang w:val="sr-Cyrl-BA"/>
        </w:rPr>
      </w:pPr>
    </w:p>
    <w:tbl>
      <w:tblPr>
        <w:tblW w:w="9120" w:type="dxa"/>
        <w:tblInd w:w="113" w:type="dxa"/>
        <w:tblLook w:val="04A0"/>
      </w:tblPr>
      <w:tblGrid>
        <w:gridCol w:w="1654"/>
        <w:gridCol w:w="2931"/>
        <w:gridCol w:w="1496"/>
        <w:gridCol w:w="1416"/>
        <w:gridCol w:w="1623"/>
      </w:tblGrid>
      <w:tr w:rsidR="001D66E0" w:rsidRPr="001D66E0" w:rsidTr="001D66E0">
        <w:trPr>
          <w:trHeight w:val="51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Показатељ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Елементи за обрачун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Обрачун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Коефицијент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Оријентациона нормала</w:t>
            </w: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Обрта пословне имовине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Приходи од продаје / Просјечна пословна имовина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0148EB" w:rsidRDefault="00D62F32" w:rsidP="00D62F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52.333</w:t>
            </w:r>
            <w:r w:rsidR="002E1287" w:rsidRPr="00DC33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 xml:space="preserve"> /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1.968.156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E0" w:rsidRPr="000148EB" w:rsidRDefault="00D62F32" w:rsidP="000148E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0,02659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7C6267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Обрта фиксне имовине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Приходи од продаје / Просјечна фиксна имовина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0148EB" w:rsidRDefault="00D62F32" w:rsidP="00D62F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52.333</w:t>
            </w:r>
            <w:r w:rsidR="002E1287" w:rsidRPr="002E12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 xml:space="preserve"> /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1.136.912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E0" w:rsidRPr="000148EB" w:rsidRDefault="00D62F32" w:rsidP="000148E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0,04603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7C6267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Обрта властитог капитала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Приходи од продаје / Просјечни властити капитал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0148EB" w:rsidRDefault="00D62F32" w:rsidP="00D62F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52.333</w:t>
            </w:r>
            <w:r w:rsidR="002E1287" w:rsidRPr="002E12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 xml:space="preserve"> /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1.555.890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E0" w:rsidRPr="000148EB" w:rsidRDefault="00D62F32" w:rsidP="000148E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0,03364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7C6267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Обрта текуће имовине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Приходи од продаје / Просјечна текућа имовина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D62F32" w:rsidRDefault="00D62F32" w:rsidP="00D62F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52.333</w:t>
            </w:r>
            <w:r w:rsidR="002E1287" w:rsidRPr="000148EB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 xml:space="preserve"> /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831.244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E0" w:rsidRPr="000148EB" w:rsidRDefault="00D62F32" w:rsidP="000148E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0,06296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7C6267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Обрта залиха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Приходи од продаје / Просјечна вриједност залиха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D62F32" w:rsidRDefault="00D62F32" w:rsidP="00D62F3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52.333</w:t>
            </w:r>
            <w:r w:rsidR="002E1287" w:rsidRPr="002E12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 xml:space="preserve"> /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650.069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E0" w:rsidRPr="000148EB" w:rsidRDefault="006C6BEC" w:rsidP="00A261B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0,08050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7C6267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Обрта материјала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Трошкови материјала / Просјечна вриједност материјала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6C6BEC" w:rsidRDefault="00D62F32" w:rsidP="006C6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r-Cyrl-BA" w:eastAsia="sr-Latn-BA" w:bidi="ar-SA"/>
              </w:rPr>
              <w:t>52.892</w:t>
            </w:r>
            <w:r w:rsidR="001D66E0" w:rsidRPr="00DC33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r-Latn-BA" w:bidi="ar-SA"/>
              </w:rPr>
              <w:t>/</w:t>
            </w:r>
            <w:r w:rsidR="006C6BEC"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36.674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E0" w:rsidRPr="000148EB" w:rsidRDefault="006C6BEC" w:rsidP="00A261B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BA" w:eastAsia="sr-Latn-BA" w:bidi="ar-SA"/>
              </w:rPr>
              <w:t>1,44222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  <w:r w:rsidRPr="001D66E0"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  <w:t>-</w:t>
            </w:r>
          </w:p>
        </w:tc>
      </w:tr>
      <w:tr w:rsidR="001D66E0" w:rsidRPr="001D66E0" w:rsidTr="00CC3F25">
        <w:trPr>
          <w:trHeight w:val="276"/>
        </w:trPr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6E0" w:rsidRPr="001D66E0" w:rsidRDefault="001D66E0" w:rsidP="001D66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BA" w:bidi="ar-SA"/>
              </w:rPr>
            </w:pPr>
          </w:p>
        </w:tc>
      </w:tr>
    </w:tbl>
    <w:p w:rsidR="00621082" w:rsidRDefault="00621082">
      <w:pPr>
        <w:jc w:val="both"/>
        <w:rPr>
          <w:rFonts w:hint="eastAsia"/>
        </w:rPr>
      </w:pPr>
    </w:p>
    <w:p w:rsidR="00CC5CDE" w:rsidRDefault="00CC5CDE">
      <w:pPr>
        <w:jc w:val="both"/>
        <w:rPr>
          <w:rFonts w:hint="eastAsia"/>
        </w:rPr>
      </w:pPr>
    </w:p>
    <w:p w:rsidR="00CC5CDE" w:rsidRDefault="00CC5CDE">
      <w:pPr>
        <w:jc w:val="both"/>
        <w:rPr>
          <w:rFonts w:hint="eastAsia"/>
        </w:rPr>
      </w:pPr>
    </w:p>
    <w:p w:rsidR="00754EE8" w:rsidRDefault="00754EE8">
      <w:pPr>
        <w:jc w:val="both"/>
        <w:rPr>
          <w:rFonts w:hint="eastAsia"/>
        </w:rPr>
      </w:pPr>
    </w:p>
    <w:p w:rsidR="00754EE8" w:rsidRPr="00754EE8" w:rsidRDefault="00754EE8">
      <w:pPr>
        <w:jc w:val="both"/>
        <w:rPr>
          <w:rFonts w:hint="eastAsia"/>
        </w:rPr>
      </w:pPr>
    </w:p>
    <w:p w:rsidR="004237D2" w:rsidRDefault="004237D2">
      <w:pPr>
        <w:jc w:val="both"/>
        <w:rPr>
          <w:rFonts w:hint="eastAsia"/>
        </w:rPr>
      </w:pPr>
    </w:p>
    <w:p w:rsidR="00621082" w:rsidRDefault="00621082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VIII   </w:t>
      </w:r>
      <w:r>
        <w:rPr>
          <w:b/>
          <w:bCs/>
          <w:sz w:val="36"/>
          <w:szCs w:val="36"/>
          <w:lang w:val="sr-Cyrl-BA"/>
        </w:rPr>
        <w:t>ИЗЛОЖЕНОСТ ПРЕДУЗЕЋА РИЗИЦИМА</w:t>
      </w:r>
    </w:p>
    <w:p w:rsidR="00621082" w:rsidRDefault="00621082">
      <w:pPr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>
        <w:rPr>
          <w:lang w:val="sr-Cyrl-BA"/>
        </w:rPr>
        <w:t>Пословањем на тржишту са диверсификованом пословном дјелатношћу, са пласманом робе и готових производа на домаћем и иностраном тржишту, предузеће је изложено низу ризика и то: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1. цјеновном ризику,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2. кредитном ризику,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3. тржишном ризику,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4. валутном ризику и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5. ризику ликвидности.</w:t>
      </w: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>
        <w:rPr>
          <w:lang w:val="sr-Cyrl-BA"/>
        </w:rPr>
        <w:t>Политика формирања цијена у предузећу базирана је на кретању цијена сировина, од којих као најзначајније можемо издвојити енергенте (течно гориво</w:t>
      </w:r>
      <w:r w:rsidR="00CC3F25">
        <w:rPr>
          <w:lang w:val="sr-Cyrl-BA"/>
        </w:rPr>
        <w:t xml:space="preserve"> и мазиво</w:t>
      </w:r>
      <w:r>
        <w:rPr>
          <w:lang w:val="sr-Cyrl-BA"/>
        </w:rPr>
        <w:t xml:space="preserve">), </w:t>
      </w:r>
      <w:r w:rsidR="00CC3F25">
        <w:rPr>
          <w:lang w:val="sr-Cyrl-BA"/>
        </w:rPr>
        <w:t>материјал за текуће одржавање основних средстава, трошкове ангажовања радне снаге, расходе по основу производних и непроизводних услуга</w:t>
      </w:r>
      <w:r>
        <w:rPr>
          <w:lang w:val="sr-Cyrl-BA"/>
        </w:rPr>
        <w:t xml:space="preserve">, а сви они имају заједничку карактеристику великих флуктуација цијена у току пословне године. Нажалост, продајне цијене се не могу формирати само на основу улазних параметара, него се морају пратити конкурентске цијене, могућност пласмана у </w:t>
      </w:r>
      <w:r w:rsidR="00CC3F25">
        <w:rPr>
          <w:lang w:val="sr-Cyrl-BA"/>
        </w:rPr>
        <w:t>сезонском</w:t>
      </w:r>
      <w:r>
        <w:rPr>
          <w:lang w:val="sr-Cyrl-BA"/>
        </w:rPr>
        <w:t xml:space="preserve"> року (посебно </w:t>
      </w:r>
      <w:r w:rsidR="006C6BEC">
        <w:rPr>
          <w:lang w:val="sr-Cyrl-BA"/>
        </w:rPr>
        <w:t>фракција</w:t>
      </w:r>
      <w:r w:rsidR="00CC3F25">
        <w:rPr>
          <w:lang w:val="sr-Cyrl-BA"/>
        </w:rPr>
        <w:t xml:space="preserve"> за грађевинарство</w:t>
      </w:r>
      <w:r>
        <w:rPr>
          <w:lang w:val="sr-Cyrl-BA"/>
        </w:rPr>
        <w:t>), при чему можемо закључити да предузеће у свом пословном плану мора донијети план набавке материјала, са могућношћу коришћења количинских попуста или периода набавке материјала у периоду повољних дешавања на тржишту сировина по пословање предузећа.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  <w:t xml:space="preserve">Кредитни ризик је ризик који </w:t>
      </w:r>
      <w:r w:rsidR="00CC3F25">
        <w:rPr>
          <w:lang w:val="sr-Cyrl-BA"/>
        </w:rPr>
        <w:t>ни</w:t>
      </w:r>
      <w:r>
        <w:rPr>
          <w:lang w:val="sr-Cyrl-BA"/>
        </w:rPr>
        <w:t>је</w:t>
      </w:r>
      <w:r w:rsidR="00CC3F25">
        <w:rPr>
          <w:lang w:val="sr-Cyrl-BA"/>
        </w:rPr>
        <w:t xml:space="preserve"> </w:t>
      </w:r>
      <w:r>
        <w:rPr>
          <w:lang w:val="sr-Cyrl-BA"/>
        </w:rPr>
        <w:t xml:space="preserve">истакнут у предузећу. </w:t>
      </w:r>
      <w:r w:rsidR="006C6BEC">
        <w:rPr>
          <w:lang w:val="sr-Cyrl-BA"/>
        </w:rPr>
        <w:t>Нису вршене инвестиције</w:t>
      </w:r>
      <w:r>
        <w:rPr>
          <w:lang w:val="sr-Cyrl-BA"/>
        </w:rPr>
        <w:t xml:space="preserve"> у </w:t>
      </w:r>
      <w:r w:rsidR="00CC3F25">
        <w:rPr>
          <w:lang w:val="sr-Cyrl-BA"/>
        </w:rPr>
        <w:t xml:space="preserve">текуће и </w:t>
      </w:r>
      <w:r>
        <w:rPr>
          <w:lang w:val="sr-Cyrl-BA"/>
        </w:rPr>
        <w:t xml:space="preserve">дугорочне пројекте, </w:t>
      </w:r>
      <w:r w:rsidR="006C6BEC">
        <w:rPr>
          <w:lang w:val="sr-Cyrl-BA"/>
        </w:rPr>
        <w:t>те</w:t>
      </w:r>
      <w:r>
        <w:rPr>
          <w:lang w:val="sr-Cyrl-BA"/>
        </w:rPr>
        <w:t xml:space="preserve"> предузеће </w:t>
      </w:r>
      <w:r w:rsidR="006C6BEC">
        <w:rPr>
          <w:lang w:val="sr-Cyrl-BA"/>
        </w:rPr>
        <w:t>није имало потребу да изворе</w:t>
      </w:r>
      <w:r>
        <w:rPr>
          <w:lang w:val="sr-Cyrl-BA"/>
        </w:rPr>
        <w:t xml:space="preserve"> финансирања обезб</w:t>
      </w:r>
      <w:r w:rsidR="00F47869">
        <w:rPr>
          <w:lang w:val="sr-Cyrl-BA"/>
        </w:rPr>
        <w:t>и</w:t>
      </w:r>
      <w:r>
        <w:rPr>
          <w:lang w:val="sr-Cyrl-BA"/>
        </w:rPr>
        <w:t>једи из дугорочних кредитних средстава. У 20</w:t>
      </w:r>
      <w:r w:rsidR="0048503F">
        <w:rPr>
          <w:lang w:val="sr-Cyrl-BA"/>
        </w:rPr>
        <w:t>2</w:t>
      </w:r>
      <w:r w:rsidR="00CC3F25">
        <w:t>4</w:t>
      </w:r>
      <w:r>
        <w:rPr>
          <w:lang w:val="sr-Cyrl-BA"/>
        </w:rPr>
        <w:t xml:space="preserve">. години је цијена позајмљеног капитала имала тенденцију </w:t>
      </w:r>
      <w:r w:rsidR="00CC3F25">
        <w:rPr>
          <w:lang w:val="sr-Cyrl-BA"/>
        </w:rPr>
        <w:t xml:space="preserve">благог </w:t>
      </w:r>
      <w:r>
        <w:rPr>
          <w:lang w:val="sr-Cyrl-BA"/>
        </w:rPr>
        <w:t xml:space="preserve">пада просјечно за приближно један процентни поен, али с обзиром да се очекује излаз из рецесије, постепени привредни раст, који би требао у наредним годинама изазвати повећану потражњу слободних финансијских средстава, реално је за очекивати да ће извори финансирања постепено и контролисано поскупити, али се не очекује достизање ефективних каматних стопа већих у односу на период прије смањења каматних стопа у претходним година, </w:t>
      </w:r>
      <w:r w:rsidR="006C6BEC">
        <w:rPr>
          <w:lang w:val="sr-Cyrl-BA"/>
        </w:rPr>
        <w:t>при чему наведено тренутно не утиче на пословање</w:t>
      </w:r>
      <w:r>
        <w:rPr>
          <w:lang w:val="sr-Cyrl-BA"/>
        </w:rPr>
        <w:t xml:space="preserve"> предузећа.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  <w:t xml:space="preserve">Тржишни ризик у случају </w:t>
      </w:r>
      <w:r w:rsidR="006C6BEC">
        <w:rPr>
          <w:lang w:val="sr-Cyrl-BA"/>
        </w:rPr>
        <w:t>А.</w:t>
      </w:r>
      <w:r>
        <w:rPr>
          <w:lang w:val="sr-Cyrl-BA"/>
        </w:rPr>
        <w:t xml:space="preserve">Д. </w:t>
      </w:r>
      <w:r w:rsidR="00CC3F25">
        <w:rPr>
          <w:lang w:val="bs-Cyrl-BA"/>
        </w:rPr>
        <w:t>„</w:t>
      </w:r>
      <w:r w:rsidR="006C6BEC">
        <w:rPr>
          <w:lang w:val="bs-Cyrl-BA"/>
        </w:rPr>
        <w:t>Ушће Босне</w:t>
      </w:r>
      <w:r w:rsidR="00CC3F25">
        <w:rPr>
          <w:lang w:val="bs-Cyrl-BA"/>
        </w:rPr>
        <w:t>“</w:t>
      </w:r>
      <w:r w:rsidR="008D44C0">
        <w:rPr>
          <w:lang w:val="bs-Cyrl-BA"/>
        </w:rPr>
        <w:t xml:space="preserve"> </w:t>
      </w:r>
      <w:r>
        <w:rPr>
          <w:lang w:val="sr-Cyrl-BA"/>
        </w:rPr>
        <w:t xml:space="preserve">морамо дуално посматрати. На тржишту </w:t>
      </w:r>
      <w:r w:rsidR="00CC3F25">
        <w:rPr>
          <w:lang w:val="sr-Cyrl-BA"/>
        </w:rPr>
        <w:t xml:space="preserve">експлоатације шљунчаног материјала </w:t>
      </w:r>
      <w:r w:rsidR="006C6BEC">
        <w:rPr>
          <w:lang w:val="sr-Cyrl-BA"/>
        </w:rPr>
        <w:t>тренутно је наступио застој у пласману,</w:t>
      </w:r>
      <w:r>
        <w:rPr>
          <w:lang w:val="sr-Cyrl-BA"/>
        </w:rPr>
        <w:t xml:space="preserve"> осцилације на овом тржишту се</w:t>
      </w:r>
      <w:r w:rsidR="006C6BEC">
        <w:rPr>
          <w:lang w:val="sr-Cyrl-BA"/>
        </w:rPr>
        <w:t xml:space="preserve"> покушавају</w:t>
      </w:r>
      <w:r>
        <w:rPr>
          <w:lang w:val="sr-Cyrl-BA"/>
        </w:rPr>
        <w:t xml:space="preserve"> превази</w:t>
      </w:r>
      <w:r w:rsidR="006C6BEC">
        <w:rPr>
          <w:lang w:val="sr-Cyrl-BA"/>
        </w:rPr>
        <w:t>ћи</w:t>
      </w:r>
      <w:r>
        <w:rPr>
          <w:lang w:val="sr-Cyrl-BA"/>
        </w:rPr>
        <w:t xml:space="preserve"> и његов тржишни ризик </w:t>
      </w:r>
      <w:r w:rsidR="006C6BEC">
        <w:rPr>
          <w:lang w:val="sr-Cyrl-BA"/>
        </w:rPr>
        <w:t>ни</w:t>
      </w:r>
      <w:r>
        <w:rPr>
          <w:lang w:val="sr-Cyrl-BA"/>
        </w:rPr>
        <w:t>је под</w:t>
      </w:r>
      <w:r w:rsidR="006C6BEC">
        <w:rPr>
          <w:lang w:val="sr-Cyrl-BA"/>
        </w:rPr>
        <w:t xml:space="preserve"> тренутном</w:t>
      </w:r>
      <w:r>
        <w:rPr>
          <w:lang w:val="sr-Cyrl-BA"/>
        </w:rPr>
        <w:t xml:space="preserve"> контролом менаџмента. Предузеће не може значајно да утиче на</w:t>
      </w:r>
      <w:r w:rsidR="006C6BEC">
        <w:rPr>
          <w:lang w:val="sr-Cyrl-BA"/>
        </w:rPr>
        <w:t xml:space="preserve"> тренутни</w:t>
      </w:r>
      <w:r>
        <w:rPr>
          <w:lang w:val="sr-Cyrl-BA"/>
        </w:rPr>
        <w:t xml:space="preserve"> тржишни ризик </w:t>
      </w:r>
      <w:r w:rsidR="006C6BEC">
        <w:rPr>
          <w:lang w:val="sr-Cyrl-BA"/>
        </w:rPr>
        <w:t>пословања</w:t>
      </w:r>
      <w:r>
        <w:rPr>
          <w:lang w:val="sr-Cyrl-BA"/>
        </w:rPr>
        <w:t>, али правилном реорганизацијом пословања</w:t>
      </w:r>
      <w:r w:rsidR="006C6BEC">
        <w:rPr>
          <w:lang w:val="sr-Cyrl-BA"/>
        </w:rPr>
        <w:t xml:space="preserve"> постоји увјерење за остваривање позитивнијег пословања.</w:t>
      </w:r>
    </w:p>
    <w:p w:rsidR="00621082" w:rsidRDefault="00621082">
      <w:pPr>
        <w:jc w:val="both"/>
        <w:rPr>
          <w:rFonts w:hint="eastAsia"/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  <w:t>Валутни ризик, с обзиром да је курс националне валуте – конвертибилне марке фиксиран за курс европске валуте – еура, је занемарљив и једини ризик који се појављује тренутно у пословању предузећа је уговорање пласмана производа на инострано тржиште у валутама које се разликују од валуте у којој се врши наплата потраживања, то јест неуговарање пласмана производа</w:t>
      </w:r>
      <w:r w:rsidR="00CC3F25">
        <w:rPr>
          <w:lang w:val="sr-Cyrl-BA"/>
        </w:rPr>
        <w:t xml:space="preserve"> и услуга</w:t>
      </w:r>
      <w:r>
        <w:rPr>
          <w:lang w:val="sr-Cyrl-BA"/>
        </w:rPr>
        <w:t xml:space="preserve"> у еурима.</w:t>
      </w:r>
    </w:p>
    <w:p w:rsidR="00621082" w:rsidRDefault="00621082">
      <w:pPr>
        <w:jc w:val="both"/>
        <w:rPr>
          <w:rFonts w:hint="eastAsia"/>
        </w:rPr>
      </w:pPr>
      <w:r>
        <w:rPr>
          <w:lang w:val="sr-Cyrl-BA"/>
        </w:rPr>
        <w:tab/>
      </w:r>
      <w:r>
        <w:rPr>
          <w:lang w:val="sr-Cyrl-BA"/>
        </w:rPr>
        <w:tab/>
        <w:t>Према по</w:t>
      </w:r>
      <w:r w:rsidR="006C6BEC">
        <w:rPr>
          <w:lang w:val="sr-Cyrl-BA"/>
        </w:rPr>
        <w:t>словним плановима предузећа</w:t>
      </w:r>
      <w:r>
        <w:rPr>
          <w:lang w:val="sr-Cyrl-BA"/>
        </w:rPr>
        <w:t xml:space="preserve">, </w:t>
      </w:r>
      <w:r w:rsidR="006C6BEC">
        <w:rPr>
          <w:lang w:val="sr-Cyrl-BA"/>
        </w:rPr>
        <w:t>потребно је посебну пажњу</w:t>
      </w:r>
      <w:r>
        <w:rPr>
          <w:lang w:val="sr-Cyrl-BA"/>
        </w:rPr>
        <w:t xml:space="preserve"> обратити на рентабилност предузећа, да не дође до </w:t>
      </w:r>
      <w:r w:rsidR="006C6BEC">
        <w:rPr>
          <w:lang w:val="sr-Cyrl-BA"/>
        </w:rPr>
        <w:t>дугорочног нарушавања пословних активности</w:t>
      </w:r>
      <w:r>
        <w:rPr>
          <w:lang w:val="sr-Cyrl-BA"/>
        </w:rPr>
        <w:t xml:space="preserve">. Сходно наведеноме ризик ликвидности </w:t>
      </w:r>
      <w:r w:rsidR="006C6BEC">
        <w:rPr>
          <w:lang w:val="sr-Cyrl-BA"/>
        </w:rPr>
        <w:t>ће се покушати одржати</w:t>
      </w:r>
      <w:r>
        <w:rPr>
          <w:lang w:val="sr-Cyrl-BA"/>
        </w:rPr>
        <w:t xml:space="preserve"> под контролом управе предузећа и не очекују се </w:t>
      </w:r>
      <w:r w:rsidR="006C6BEC">
        <w:rPr>
          <w:lang w:val="sr-Cyrl-BA"/>
        </w:rPr>
        <w:t xml:space="preserve">даља </w:t>
      </w:r>
      <w:r>
        <w:rPr>
          <w:lang w:val="sr-Cyrl-BA"/>
        </w:rPr>
        <w:t xml:space="preserve">негативна кретања по питању ризика ликвидности. </w:t>
      </w: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C6BEC" w:rsidRDefault="006C6BEC">
      <w:pPr>
        <w:jc w:val="center"/>
        <w:rPr>
          <w:b/>
          <w:bCs/>
          <w:sz w:val="36"/>
          <w:szCs w:val="36"/>
          <w:lang w:val="sr-Cyrl-BA"/>
        </w:rPr>
      </w:pPr>
    </w:p>
    <w:p w:rsidR="006C6BEC" w:rsidRDefault="006C6BEC">
      <w:pPr>
        <w:jc w:val="center"/>
        <w:rPr>
          <w:b/>
          <w:bCs/>
          <w:sz w:val="36"/>
          <w:szCs w:val="36"/>
          <w:lang w:val="sr-Cyrl-BA"/>
        </w:rPr>
      </w:pPr>
    </w:p>
    <w:p w:rsidR="006C6BEC" w:rsidRDefault="006C6BEC">
      <w:pPr>
        <w:jc w:val="center"/>
        <w:rPr>
          <w:b/>
          <w:bCs/>
          <w:sz w:val="36"/>
          <w:szCs w:val="36"/>
          <w:lang w:val="sr-Cyrl-BA"/>
        </w:rPr>
      </w:pPr>
    </w:p>
    <w:p w:rsidR="00621082" w:rsidRDefault="00621082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IX </w:t>
      </w:r>
      <w:r>
        <w:rPr>
          <w:b/>
          <w:bCs/>
          <w:sz w:val="36"/>
          <w:szCs w:val="36"/>
          <w:lang w:val="sr-Cyrl-BA"/>
        </w:rPr>
        <w:t>ИНФОРМАЦИЈЕ О ПОСЛОВНИМ СЕГМЕНТИМА ПРЕДУЗЕЋА</w:t>
      </w:r>
    </w:p>
    <w:p w:rsidR="00621082" w:rsidRDefault="00621082">
      <w:pPr>
        <w:jc w:val="both"/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</w:p>
    <w:p w:rsidR="00621082" w:rsidRDefault="00621082">
      <w:pPr>
        <w:jc w:val="both"/>
        <w:rPr>
          <w:rFonts w:hint="eastAsia"/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  <w:t xml:space="preserve">Пословање предузећа </w:t>
      </w:r>
      <w:r w:rsidR="006C6BEC">
        <w:rPr>
          <w:lang w:val="sr-Cyrl-BA"/>
        </w:rPr>
        <w:t xml:space="preserve">тренутно је сведено на једно запослено лице – директора, који обавља све неопходне активности у предузећу. У случају потребе за додатним функцијама, ангажују се спољни сарадници и друга предузећа. </w:t>
      </w:r>
    </w:p>
    <w:p w:rsidR="00621082" w:rsidRDefault="00621082">
      <w:pPr>
        <w:jc w:val="both"/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</w:p>
    <w:p w:rsidR="00621082" w:rsidRDefault="00621082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X </w:t>
      </w:r>
      <w:r>
        <w:rPr>
          <w:b/>
          <w:bCs/>
          <w:sz w:val="36"/>
          <w:szCs w:val="36"/>
          <w:lang w:val="sr-Cyrl-BA"/>
        </w:rPr>
        <w:t>ЗАКЉУЧАК</w:t>
      </w:r>
    </w:p>
    <w:p w:rsidR="00621082" w:rsidRDefault="00621082">
      <w:pPr>
        <w:rPr>
          <w:rFonts w:hint="eastAsia"/>
        </w:rPr>
      </w:pPr>
    </w:p>
    <w:p w:rsidR="00621082" w:rsidRDefault="00621082">
      <w:pPr>
        <w:jc w:val="both"/>
        <w:rPr>
          <w:rFonts w:hint="eastAsia"/>
        </w:rPr>
      </w:pPr>
      <w:r>
        <w:tab/>
      </w:r>
      <w:r>
        <w:tab/>
      </w:r>
      <w:r w:rsidR="00390A48">
        <w:rPr>
          <w:lang w:val="sr-Cyrl-BA"/>
        </w:rPr>
        <w:t>Акционарско друштво</w:t>
      </w:r>
      <w:r>
        <w:rPr>
          <w:lang w:val="sr-Cyrl-BA"/>
        </w:rPr>
        <w:t xml:space="preserve"> </w:t>
      </w:r>
      <w:r w:rsidR="00B82F84">
        <w:rPr>
          <w:lang w:val="bs-Cyrl-BA"/>
        </w:rPr>
        <w:t>„</w:t>
      </w:r>
      <w:r w:rsidR="00390A48">
        <w:rPr>
          <w:lang w:val="bs-Cyrl-BA"/>
        </w:rPr>
        <w:t>Ушће Босне</w:t>
      </w:r>
      <w:r w:rsidR="00B82F84">
        <w:rPr>
          <w:lang w:val="bs-Cyrl-BA"/>
        </w:rPr>
        <w:t>“</w:t>
      </w:r>
      <w:r w:rsidR="008D44C0">
        <w:rPr>
          <w:lang w:val="bs-Cyrl-BA"/>
        </w:rPr>
        <w:t xml:space="preserve"> </w:t>
      </w:r>
      <w:r w:rsidR="00390A48">
        <w:rPr>
          <w:lang w:val="bs-Cyrl-BA"/>
        </w:rPr>
        <w:t>Цара Душана 106</w:t>
      </w:r>
      <w:r w:rsidR="00B82F84">
        <w:rPr>
          <w:lang w:val="sr-Cyrl-BA"/>
        </w:rPr>
        <w:t xml:space="preserve">, општина </w:t>
      </w:r>
      <w:r w:rsidR="00390A48">
        <w:rPr>
          <w:lang w:val="sr-Cyrl-BA"/>
        </w:rPr>
        <w:t>Шамац</w:t>
      </w:r>
      <w:r>
        <w:rPr>
          <w:lang w:val="sr-Cyrl-BA"/>
        </w:rPr>
        <w:t xml:space="preserve"> је предузеће са дугогодишњом традицијом. У 20</w:t>
      </w:r>
      <w:r w:rsidR="0048503F">
        <w:t>2</w:t>
      </w:r>
      <w:r w:rsidR="00B82F84">
        <w:t>4</w:t>
      </w:r>
      <w:r>
        <w:rPr>
          <w:lang w:val="sr-Cyrl-BA"/>
        </w:rPr>
        <w:t xml:space="preserve">. години предузеће је </w:t>
      </w:r>
      <w:r w:rsidR="00390A48">
        <w:rPr>
          <w:lang w:val="sr-Cyrl-BA"/>
        </w:rPr>
        <w:t>остварило негативно</w:t>
      </w:r>
      <w:r>
        <w:rPr>
          <w:lang w:val="sr-Cyrl-BA"/>
        </w:rPr>
        <w:t xml:space="preserve"> пословање. </w:t>
      </w:r>
    </w:p>
    <w:p w:rsidR="00621082" w:rsidRDefault="00621082">
      <w:pPr>
        <w:jc w:val="both"/>
        <w:rPr>
          <w:rFonts w:hint="eastAsia"/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  <w:t xml:space="preserve">Суочавајући се са озбиљним пословним нелагодностима и пријетњама у виду </w:t>
      </w:r>
      <w:r w:rsidR="00390A48">
        <w:rPr>
          <w:lang w:val="sr-Cyrl-BA"/>
        </w:rPr>
        <w:t>губитка у пословању,</w:t>
      </w:r>
      <w:r>
        <w:rPr>
          <w:lang w:val="sr-Cyrl-BA"/>
        </w:rPr>
        <w:t xml:space="preserve"> предузеће</w:t>
      </w:r>
      <w:r w:rsidR="00390A48">
        <w:rPr>
          <w:lang w:val="sr-Cyrl-BA"/>
        </w:rPr>
        <w:t xml:space="preserve"> тренутно опстаје</w:t>
      </w:r>
      <w:r>
        <w:rPr>
          <w:lang w:val="sr-Cyrl-BA"/>
        </w:rPr>
        <w:t>, чиме се доказује организованост, одговорност и максимална посве</w:t>
      </w:r>
      <w:r w:rsidR="00B82F84">
        <w:rPr>
          <w:lang w:val="sr-Cyrl-BA"/>
        </w:rPr>
        <w:t>ћ</w:t>
      </w:r>
      <w:r>
        <w:rPr>
          <w:lang w:val="sr-Cyrl-BA"/>
        </w:rPr>
        <w:t>еност запослен</w:t>
      </w:r>
      <w:r w:rsidR="00390A48">
        <w:rPr>
          <w:lang w:val="sr-Cyrl-BA"/>
        </w:rPr>
        <w:t>ог</w:t>
      </w:r>
      <w:r>
        <w:rPr>
          <w:lang w:val="sr-Cyrl-BA"/>
        </w:rPr>
        <w:t xml:space="preserve"> у предузећу ка остварењу круцијалног циља пословања предузећа, а то је остваривање позитивног пословања предузећа у дужем временском периоду.</w:t>
      </w:r>
    </w:p>
    <w:p w:rsidR="00185299" w:rsidRDefault="00185299">
      <w:pPr>
        <w:jc w:val="both"/>
        <w:rPr>
          <w:rFonts w:hint="eastAsia"/>
          <w:lang w:val="sr-Cyrl-BA"/>
        </w:rPr>
      </w:pPr>
    </w:p>
    <w:p w:rsidR="00185299" w:rsidRDefault="00185299">
      <w:pPr>
        <w:jc w:val="both"/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rPr>
          <w:rFonts w:hint="eastAsia"/>
        </w:rPr>
      </w:pPr>
    </w:p>
    <w:p w:rsidR="00621082" w:rsidRDefault="00621082">
      <w:pPr>
        <w:jc w:val="right"/>
        <w:rPr>
          <w:rFonts w:hint="eastAsia"/>
        </w:rPr>
      </w:pPr>
      <w:r>
        <w:rPr>
          <w:lang w:val="sr-Cyrl-BA"/>
        </w:rPr>
        <w:t xml:space="preserve">МП          </w:t>
      </w:r>
      <w:r w:rsidR="00F42388">
        <w:t>__</w:t>
      </w:r>
      <w:r w:rsidR="00185299">
        <w:rPr>
          <w:lang w:val="sr-Cyrl-BA"/>
        </w:rPr>
        <w:t>______</w:t>
      </w:r>
      <w:r>
        <w:rPr>
          <w:lang w:val="sr-Cyrl-BA"/>
        </w:rPr>
        <w:t>______</w:t>
      </w:r>
      <w:r>
        <w:t>____________________</w:t>
      </w:r>
    </w:p>
    <w:p w:rsidR="00621082" w:rsidRDefault="004B4586" w:rsidP="00EB119F">
      <w:pPr>
        <w:ind w:left="5040" w:firstLine="420"/>
        <w:jc w:val="center"/>
        <w:rPr>
          <w:rFonts w:hint="eastAsia"/>
        </w:rPr>
      </w:pPr>
      <w:r>
        <w:rPr>
          <w:lang w:val="sr-Cyrl-BA"/>
        </w:rPr>
        <w:t>Горан Стојичић</w:t>
      </w:r>
      <w:r w:rsidR="00621082">
        <w:rPr>
          <w:lang w:val="sr-Cyrl-BA"/>
        </w:rPr>
        <w:t>,</w:t>
      </w:r>
      <w:r w:rsidR="008D44C0">
        <w:rPr>
          <w:lang w:val="sr-Cyrl-BA"/>
        </w:rPr>
        <w:t xml:space="preserve"> </w:t>
      </w:r>
      <w:r w:rsidR="00621082">
        <w:rPr>
          <w:lang w:val="sr-Cyrl-BA"/>
        </w:rPr>
        <w:t>директор</w:t>
      </w:r>
    </w:p>
    <w:sectPr w:rsidR="00621082" w:rsidSect="00B74B6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A8" w:rsidRDefault="00FD0DA8">
      <w:pPr>
        <w:rPr>
          <w:rFonts w:hint="eastAsia"/>
        </w:rPr>
      </w:pPr>
      <w:r>
        <w:separator/>
      </w:r>
    </w:p>
  </w:endnote>
  <w:endnote w:type="continuationSeparator" w:id="1">
    <w:p w:rsidR="00FD0DA8" w:rsidRDefault="00FD0D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A8" w:rsidRDefault="00FD0DA8">
      <w:pPr>
        <w:rPr>
          <w:rFonts w:hint="eastAsia"/>
        </w:rPr>
      </w:pPr>
      <w:r>
        <w:separator/>
      </w:r>
    </w:p>
  </w:footnote>
  <w:footnote w:type="continuationSeparator" w:id="1">
    <w:p w:rsidR="00FD0DA8" w:rsidRDefault="00FD0DA8">
      <w:pPr>
        <w:rPr>
          <w:rFonts w:hint="eastAsia"/>
        </w:rPr>
      </w:pPr>
      <w:r>
        <w:continuationSeparator/>
      </w:r>
    </w:p>
  </w:footnote>
  <w:footnote w:id="2">
    <w:p w:rsidR="002E7495" w:rsidRDefault="002E7495">
      <w:pPr>
        <w:pStyle w:val="FootnoteText"/>
        <w:rPr>
          <w:rFonts w:hint="eastAsia"/>
        </w:rPr>
      </w:pPr>
      <w:r>
        <w:rPr>
          <w:rStyle w:val="FootnoteCharacters"/>
        </w:rPr>
        <w:footnoteRef/>
      </w:r>
      <w:r>
        <w:rPr>
          <w:lang w:val="sr-Cyrl-BA"/>
        </w:rPr>
        <w:tab/>
        <w:t>Завод за статистику Републике Српске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1476570"/>
    <w:multiLevelType w:val="hybridMultilevel"/>
    <w:tmpl w:val="762614E0"/>
    <w:lvl w:ilvl="0" w:tplc="4CD622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B2F9A"/>
    <w:multiLevelType w:val="hybridMultilevel"/>
    <w:tmpl w:val="182A6C04"/>
    <w:lvl w:ilvl="0" w:tplc="033A37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4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A12EC3"/>
    <w:rsid w:val="000148EB"/>
    <w:rsid w:val="00042448"/>
    <w:rsid w:val="000462B0"/>
    <w:rsid w:val="000E4287"/>
    <w:rsid w:val="0013081B"/>
    <w:rsid w:val="001417E5"/>
    <w:rsid w:val="00181F22"/>
    <w:rsid w:val="00185299"/>
    <w:rsid w:val="001A46CE"/>
    <w:rsid w:val="001D66E0"/>
    <w:rsid w:val="001F0E5F"/>
    <w:rsid w:val="001F58D2"/>
    <w:rsid w:val="0021712F"/>
    <w:rsid w:val="00242072"/>
    <w:rsid w:val="002601A6"/>
    <w:rsid w:val="002B53E9"/>
    <w:rsid w:val="002C7A0A"/>
    <w:rsid w:val="002E1287"/>
    <w:rsid w:val="002E386A"/>
    <w:rsid w:val="002E59FD"/>
    <w:rsid w:val="002E7495"/>
    <w:rsid w:val="00344DF3"/>
    <w:rsid w:val="00365DCB"/>
    <w:rsid w:val="00390A48"/>
    <w:rsid w:val="00411343"/>
    <w:rsid w:val="0042095A"/>
    <w:rsid w:val="004226E2"/>
    <w:rsid w:val="004237D2"/>
    <w:rsid w:val="00431B81"/>
    <w:rsid w:val="00435C49"/>
    <w:rsid w:val="004649FC"/>
    <w:rsid w:val="0048503F"/>
    <w:rsid w:val="004915A9"/>
    <w:rsid w:val="004B4586"/>
    <w:rsid w:val="004E6681"/>
    <w:rsid w:val="00501366"/>
    <w:rsid w:val="00513001"/>
    <w:rsid w:val="005147F4"/>
    <w:rsid w:val="00523FC8"/>
    <w:rsid w:val="00570C77"/>
    <w:rsid w:val="00573942"/>
    <w:rsid w:val="00596327"/>
    <w:rsid w:val="005A2B94"/>
    <w:rsid w:val="00621082"/>
    <w:rsid w:val="00632042"/>
    <w:rsid w:val="006465D7"/>
    <w:rsid w:val="006831D7"/>
    <w:rsid w:val="00687E11"/>
    <w:rsid w:val="006B12C3"/>
    <w:rsid w:val="006C6BEC"/>
    <w:rsid w:val="006D1FBE"/>
    <w:rsid w:val="006D653C"/>
    <w:rsid w:val="006E298A"/>
    <w:rsid w:val="007064C8"/>
    <w:rsid w:val="00754EE8"/>
    <w:rsid w:val="007721EE"/>
    <w:rsid w:val="007C6267"/>
    <w:rsid w:val="007E4EEA"/>
    <w:rsid w:val="00807212"/>
    <w:rsid w:val="00841507"/>
    <w:rsid w:val="0087478E"/>
    <w:rsid w:val="008777D7"/>
    <w:rsid w:val="00884373"/>
    <w:rsid w:val="00894FD9"/>
    <w:rsid w:val="008A04C7"/>
    <w:rsid w:val="008A6FD4"/>
    <w:rsid w:val="008D44C0"/>
    <w:rsid w:val="008E284E"/>
    <w:rsid w:val="008F61BF"/>
    <w:rsid w:val="00921C56"/>
    <w:rsid w:val="009D7A5B"/>
    <w:rsid w:val="009E3B2E"/>
    <w:rsid w:val="00A00BA8"/>
    <w:rsid w:val="00A12EC3"/>
    <w:rsid w:val="00A15ACA"/>
    <w:rsid w:val="00A261B4"/>
    <w:rsid w:val="00A37F52"/>
    <w:rsid w:val="00A407C0"/>
    <w:rsid w:val="00A72158"/>
    <w:rsid w:val="00A8439D"/>
    <w:rsid w:val="00AA4274"/>
    <w:rsid w:val="00AD5058"/>
    <w:rsid w:val="00AE63D6"/>
    <w:rsid w:val="00B0561C"/>
    <w:rsid w:val="00B12FEB"/>
    <w:rsid w:val="00B26756"/>
    <w:rsid w:val="00B53A2C"/>
    <w:rsid w:val="00B57A56"/>
    <w:rsid w:val="00B74B6C"/>
    <w:rsid w:val="00B82F84"/>
    <w:rsid w:val="00BD3ADC"/>
    <w:rsid w:val="00BE6452"/>
    <w:rsid w:val="00C9610D"/>
    <w:rsid w:val="00CA4800"/>
    <w:rsid w:val="00CB2993"/>
    <w:rsid w:val="00CB2C0E"/>
    <w:rsid w:val="00CC3F25"/>
    <w:rsid w:val="00CC5CDE"/>
    <w:rsid w:val="00CD76AB"/>
    <w:rsid w:val="00D01AEF"/>
    <w:rsid w:val="00D060BB"/>
    <w:rsid w:val="00D324EC"/>
    <w:rsid w:val="00D62F32"/>
    <w:rsid w:val="00DA60F1"/>
    <w:rsid w:val="00DB370E"/>
    <w:rsid w:val="00DB3BE1"/>
    <w:rsid w:val="00DC33C4"/>
    <w:rsid w:val="00DF61B0"/>
    <w:rsid w:val="00E11E59"/>
    <w:rsid w:val="00E17841"/>
    <w:rsid w:val="00E759FA"/>
    <w:rsid w:val="00E82BEB"/>
    <w:rsid w:val="00E87609"/>
    <w:rsid w:val="00EB119F"/>
    <w:rsid w:val="00EB1711"/>
    <w:rsid w:val="00EC6B3A"/>
    <w:rsid w:val="00EE24D1"/>
    <w:rsid w:val="00EE70F3"/>
    <w:rsid w:val="00EE73FE"/>
    <w:rsid w:val="00F15FCE"/>
    <w:rsid w:val="00F42388"/>
    <w:rsid w:val="00F44F5C"/>
    <w:rsid w:val="00F454B4"/>
    <w:rsid w:val="00F47869"/>
    <w:rsid w:val="00F750CB"/>
    <w:rsid w:val="00F941FB"/>
    <w:rsid w:val="00FD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6C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B74B6C"/>
  </w:style>
  <w:style w:type="character" w:styleId="FootnoteReference">
    <w:name w:val="footnote reference"/>
    <w:rsid w:val="00B74B6C"/>
    <w:rPr>
      <w:vertAlign w:val="superscript"/>
    </w:rPr>
  </w:style>
  <w:style w:type="character" w:customStyle="1" w:styleId="EndnoteCharacters">
    <w:name w:val="Endnote Characters"/>
    <w:rsid w:val="00B74B6C"/>
    <w:rPr>
      <w:vertAlign w:val="superscript"/>
    </w:rPr>
  </w:style>
  <w:style w:type="character" w:customStyle="1" w:styleId="WW-EndnoteCharacters">
    <w:name w:val="WW-Endnote Characters"/>
    <w:rsid w:val="00B74B6C"/>
  </w:style>
  <w:style w:type="character" w:styleId="EndnoteReference">
    <w:name w:val="endnote reference"/>
    <w:rsid w:val="00B74B6C"/>
    <w:rPr>
      <w:vertAlign w:val="superscript"/>
    </w:rPr>
  </w:style>
  <w:style w:type="paragraph" w:customStyle="1" w:styleId="Heading">
    <w:name w:val="Heading"/>
    <w:basedOn w:val="Normal"/>
    <w:next w:val="BodyText"/>
    <w:rsid w:val="00B74B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74B6C"/>
    <w:pPr>
      <w:spacing w:after="140" w:line="288" w:lineRule="auto"/>
    </w:pPr>
  </w:style>
  <w:style w:type="paragraph" w:styleId="List">
    <w:name w:val="List"/>
    <w:basedOn w:val="BodyText"/>
    <w:rsid w:val="00B74B6C"/>
  </w:style>
  <w:style w:type="paragraph" w:styleId="Caption">
    <w:name w:val="caption"/>
    <w:basedOn w:val="Normal"/>
    <w:qFormat/>
    <w:rsid w:val="00B74B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74B6C"/>
    <w:pPr>
      <w:suppressLineNumbers/>
    </w:pPr>
  </w:style>
  <w:style w:type="paragraph" w:customStyle="1" w:styleId="TableContents">
    <w:name w:val="Table Contents"/>
    <w:basedOn w:val="Normal"/>
    <w:rsid w:val="00B74B6C"/>
    <w:pPr>
      <w:suppressLineNumbers/>
    </w:pPr>
  </w:style>
  <w:style w:type="paragraph" w:styleId="Footer">
    <w:name w:val="footer"/>
    <w:basedOn w:val="Normal"/>
    <w:rsid w:val="00B74B6C"/>
    <w:pPr>
      <w:suppressLineNumbers/>
      <w:tabs>
        <w:tab w:val="center" w:pos="4819"/>
        <w:tab w:val="right" w:pos="9638"/>
      </w:tabs>
    </w:pPr>
  </w:style>
  <w:style w:type="paragraph" w:styleId="FootnoteText">
    <w:name w:val="footnote text"/>
    <w:basedOn w:val="Normal"/>
    <w:rsid w:val="00B74B6C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B74B6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9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9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Emphasis">
    <w:name w:val="Emphasis"/>
    <w:basedOn w:val="DefaultParagraphFont"/>
    <w:uiPriority w:val="20"/>
    <w:qFormat/>
    <w:rsid w:val="005147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8</Pages>
  <Words>1940</Words>
  <Characters>11061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MG</dc:creator>
  <cp:keywords/>
  <cp:lastModifiedBy>Gold MG</cp:lastModifiedBy>
  <cp:revision>13</cp:revision>
  <cp:lastPrinted>2025-06-30T11:56:00Z</cp:lastPrinted>
  <dcterms:created xsi:type="dcterms:W3CDTF">2025-06-29T15:14:00Z</dcterms:created>
  <dcterms:modified xsi:type="dcterms:W3CDTF">2025-06-30T11:56:00Z</dcterms:modified>
</cp:coreProperties>
</file>