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E" w:rsidRPr="002E2D8C" w:rsidRDefault="00773D89" w:rsidP="00773D89">
      <w:pPr>
        <w:spacing w:after="120"/>
        <w:jc w:val="both"/>
        <w:rPr>
          <w:b/>
          <w:sz w:val="32"/>
          <w:szCs w:val="28"/>
        </w:rPr>
      </w:pPr>
      <w:r w:rsidRPr="002E2D8C">
        <w:rPr>
          <w:b/>
          <w:sz w:val="32"/>
          <w:szCs w:val="28"/>
        </w:rPr>
        <w:t>ЈП „Комус“ АД Билећа</w:t>
      </w:r>
    </w:p>
    <w:p w:rsidR="00A2541E" w:rsidRPr="002E2D8C" w:rsidRDefault="00773D89" w:rsidP="00A2541E">
      <w:pPr>
        <w:jc w:val="both"/>
        <w:rPr>
          <w:b/>
          <w:sz w:val="26"/>
          <w:szCs w:val="26"/>
        </w:rPr>
      </w:pPr>
      <w:r w:rsidRPr="002E2D8C">
        <w:rPr>
          <w:b/>
          <w:sz w:val="26"/>
          <w:szCs w:val="26"/>
        </w:rPr>
        <w:t>Број</w:t>
      </w:r>
      <w:r w:rsidR="00A2541E" w:rsidRPr="002E2D8C">
        <w:rPr>
          <w:b/>
          <w:sz w:val="26"/>
          <w:szCs w:val="26"/>
          <w:lang w:val="sr-Latn-CS"/>
        </w:rPr>
        <w:t xml:space="preserve">: </w:t>
      </w:r>
      <w:r w:rsidR="004142A8" w:rsidRPr="002E2D8C">
        <w:rPr>
          <w:b/>
          <w:sz w:val="26"/>
          <w:szCs w:val="26"/>
        </w:rPr>
        <w:t>99</w:t>
      </w:r>
      <w:r w:rsidR="008D1DC1">
        <w:rPr>
          <w:b/>
          <w:sz w:val="26"/>
          <w:szCs w:val="26"/>
          <w:lang/>
        </w:rPr>
        <w:t>-1</w:t>
      </w:r>
      <w:r w:rsidR="00A2541E" w:rsidRPr="002E2D8C">
        <w:rPr>
          <w:b/>
          <w:sz w:val="26"/>
          <w:szCs w:val="26"/>
          <w:lang w:val="sr-Latn-CS"/>
        </w:rPr>
        <w:t>/2</w:t>
      </w:r>
      <w:r w:rsidR="004142A8" w:rsidRPr="002E2D8C">
        <w:rPr>
          <w:b/>
          <w:sz w:val="26"/>
          <w:szCs w:val="26"/>
        </w:rPr>
        <w:t>4</w:t>
      </w:r>
    </w:p>
    <w:p w:rsidR="00E45664" w:rsidRPr="002E2D8C" w:rsidRDefault="00773D89" w:rsidP="00A2541E">
      <w:pPr>
        <w:jc w:val="both"/>
        <w:rPr>
          <w:b/>
          <w:sz w:val="26"/>
          <w:szCs w:val="26"/>
          <w:lang w:val="sr-Latn-CS"/>
        </w:rPr>
      </w:pPr>
      <w:r w:rsidRPr="002E2D8C">
        <w:rPr>
          <w:b/>
          <w:sz w:val="26"/>
          <w:szCs w:val="26"/>
        </w:rPr>
        <w:t>Датум</w:t>
      </w:r>
      <w:r w:rsidR="00A2541E" w:rsidRPr="002E2D8C">
        <w:rPr>
          <w:b/>
          <w:sz w:val="26"/>
          <w:szCs w:val="26"/>
          <w:lang w:val="sr-Latn-CS"/>
        </w:rPr>
        <w:t xml:space="preserve">: </w:t>
      </w:r>
      <w:r w:rsidR="004142A8" w:rsidRPr="002E2D8C">
        <w:rPr>
          <w:b/>
          <w:sz w:val="26"/>
          <w:szCs w:val="26"/>
        </w:rPr>
        <w:t>5</w:t>
      </w:r>
      <w:r w:rsidR="0085781C" w:rsidRPr="002E2D8C">
        <w:rPr>
          <w:b/>
          <w:sz w:val="26"/>
          <w:szCs w:val="26"/>
          <w:lang w:val="sr-Latn-CS"/>
        </w:rPr>
        <w:t>.3.202</w:t>
      </w:r>
      <w:r w:rsidR="004142A8" w:rsidRPr="002E2D8C">
        <w:rPr>
          <w:b/>
          <w:sz w:val="26"/>
          <w:szCs w:val="26"/>
        </w:rPr>
        <w:t>4</w:t>
      </w:r>
      <w:r w:rsidR="00A2541E" w:rsidRPr="002E2D8C">
        <w:rPr>
          <w:b/>
          <w:sz w:val="26"/>
          <w:szCs w:val="26"/>
          <w:lang w:val="sr-Latn-CS"/>
        </w:rPr>
        <w:t>.</w:t>
      </w: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E45664" w:rsidRDefault="00E45664" w:rsidP="00E45664">
      <w:pPr>
        <w:jc w:val="both"/>
        <w:rPr>
          <w:b/>
          <w:sz w:val="28"/>
          <w:szCs w:val="28"/>
          <w:lang w:val="sr-Latn-CS"/>
        </w:rPr>
      </w:pPr>
    </w:p>
    <w:p w:rsidR="00D5723A" w:rsidRDefault="00D5723A" w:rsidP="00E45664">
      <w:pPr>
        <w:jc w:val="both"/>
        <w:rPr>
          <w:b/>
          <w:sz w:val="28"/>
          <w:szCs w:val="28"/>
          <w:lang/>
        </w:rPr>
      </w:pPr>
    </w:p>
    <w:p w:rsidR="002E2D8C" w:rsidRPr="002E2D8C" w:rsidRDefault="002E2D8C" w:rsidP="00E45664">
      <w:pPr>
        <w:jc w:val="both"/>
        <w:rPr>
          <w:b/>
          <w:sz w:val="28"/>
          <w:szCs w:val="28"/>
          <w:lang/>
        </w:rPr>
      </w:pPr>
    </w:p>
    <w:p w:rsidR="00E45664" w:rsidRDefault="00E45664" w:rsidP="00137F9B">
      <w:pPr>
        <w:spacing w:line="276" w:lineRule="auto"/>
        <w:jc w:val="center"/>
        <w:rPr>
          <w:b/>
          <w:sz w:val="28"/>
          <w:szCs w:val="28"/>
          <w:lang w:val="sr-Latn-CS"/>
        </w:rPr>
      </w:pPr>
    </w:p>
    <w:p w:rsidR="00854F54" w:rsidRPr="00854F54" w:rsidRDefault="00854F54" w:rsidP="00854F54">
      <w:pPr>
        <w:spacing w:line="276" w:lineRule="auto"/>
        <w:jc w:val="center"/>
        <w:rPr>
          <w:b/>
          <w:sz w:val="32"/>
          <w:szCs w:val="30"/>
          <w:lang w:val="sr-Latn-CS"/>
        </w:rPr>
      </w:pPr>
      <w:r w:rsidRPr="00854F54">
        <w:rPr>
          <w:b/>
          <w:sz w:val="32"/>
          <w:szCs w:val="30"/>
          <w:lang w:val="sr-Latn-CS"/>
        </w:rPr>
        <w:t>ИЗВЈЕШТАЈ О ПОСЛОВАЊУ ПРЕДУЗЕЋА</w:t>
      </w:r>
    </w:p>
    <w:p w:rsidR="00E45664" w:rsidRPr="003A3190" w:rsidRDefault="00854F54" w:rsidP="00854F54">
      <w:pPr>
        <w:spacing w:line="276" w:lineRule="auto"/>
        <w:jc w:val="center"/>
        <w:rPr>
          <w:b/>
          <w:sz w:val="32"/>
          <w:szCs w:val="30"/>
          <w:lang w:val="sr-Latn-CS"/>
        </w:rPr>
      </w:pPr>
      <w:r w:rsidRPr="00854F54">
        <w:rPr>
          <w:b/>
          <w:sz w:val="32"/>
          <w:szCs w:val="30"/>
          <w:lang w:val="sr-Latn-CS"/>
        </w:rPr>
        <w:t>ЗА ПЕРИОД 01.01 – 31.12.202</w:t>
      </w:r>
      <w:r w:rsidR="00AB60CC">
        <w:rPr>
          <w:b/>
          <w:sz w:val="32"/>
          <w:szCs w:val="30"/>
        </w:rPr>
        <w:t>3</w:t>
      </w:r>
      <w:r>
        <w:rPr>
          <w:b/>
          <w:sz w:val="32"/>
          <w:szCs w:val="30"/>
          <w:lang w:val="sr-Latn-CS"/>
        </w:rPr>
        <w:t>.</w:t>
      </w:r>
    </w:p>
    <w:p w:rsidR="00E45664" w:rsidRDefault="00DA67DB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</w:rPr>
      </w:pPr>
    </w:p>
    <w:p w:rsidR="00C26E97" w:rsidRDefault="00C26E97" w:rsidP="00497036">
      <w:pPr>
        <w:tabs>
          <w:tab w:val="left" w:pos="567"/>
        </w:tabs>
        <w:jc w:val="both"/>
        <w:rPr>
          <w:sz w:val="28"/>
          <w:szCs w:val="28"/>
        </w:rPr>
      </w:pPr>
    </w:p>
    <w:p w:rsidR="00C26E97" w:rsidRPr="00C26E97" w:rsidRDefault="00C26E97" w:rsidP="00497036">
      <w:pPr>
        <w:tabs>
          <w:tab w:val="left" w:pos="567"/>
        </w:tabs>
        <w:jc w:val="both"/>
        <w:rPr>
          <w:sz w:val="28"/>
          <w:szCs w:val="28"/>
        </w:rPr>
      </w:pPr>
    </w:p>
    <w:p w:rsidR="00E45664" w:rsidRDefault="00E45664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137F9B" w:rsidRDefault="00137F9B" w:rsidP="00497036">
      <w:pPr>
        <w:tabs>
          <w:tab w:val="left" w:pos="567"/>
        </w:tabs>
        <w:jc w:val="both"/>
        <w:rPr>
          <w:sz w:val="28"/>
          <w:szCs w:val="28"/>
          <w:lang w:val="sr-Latn-CS"/>
        </w:rPr>
      </w:pPr>
    </w:p>
    <w:p w:rsidR="00FF041E" w:rsidRDefault="00FF041E" w:rsidP="00FF041E">
      <w:pPr>
        <w:tabs>
          <w:tab w:val="left" w:pos="567"/>
        </w:tabs>
        <w:spacing w:after="120" w:line="360" w:lineRule="auto"/>
        <w:jc w:val="both"/>
        <w:rPr>
          <w:sz w:val="26"/>
          <w:szCs w:val="26"/>
        </w:rPr>
      </w:pPr>
    </w:p>
    <w:p w:rsidR="00090AAB" w:rsidRPr="00090AAB" w:rsidRDefault="00090AAB" w:rsidP="00FF041E">
      <w:pPr>
        <w:tabs>
          <w:tab w:val="left" w:pos="567"/>
        </w:tabs>
        <w:spacing w:after="120" w:line="360" w:lineRule="auto"/>
        <w:jc w:val="both"/>
        <w:rPr>
          <w:sz w:val="26"/>
          <w:szCs w:val="26"/>
        </w:rPr>
      </w:pPr>
    </w:p>
    <w:p w:rsidR="002E2D8C" w:rsidRDefault="0023720F" w:rsidP="00F80089">
      <w:pPr>
        <w:tabs>
          <w:tab w:val="left" w:pos="567"/>
        </w:tabs>
        <w:spacing w:after="120"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 w:val="sr-Latn-CS"/>
        </w:rPr>
        <w:tab/>
      </w:r>
    </w:p>
    <w:p w:rsidR="002E2D8C" w:rsidRDefault="002E2D8C" w:rsidP="00F80089">
      <w:pPr>
        <w:tabs>
          <w:tab w:val="left" w:pos="567"/>
        </w:tabs>
        <w:spacing w:after="120" w:line="360" w:lineRule="auto"/>
        <w:jc w:val="both"/>
        <w:rPr>
          <w:sz w:val="26"/>
          <w:szCs w:val="26"/>
          <w:lang/>
        </w:rPr>
      </w:pPr>
    </w:p>
    <w:p w:rsidR="00642734" w:rsidRPr="004420FC" w:rsidRDefault="002E2D8C" w:rsidP="00F80089">
      <w:pPr>
        <w:tabs>
          <w:tab w:val="left" w:pos="567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  <w:lang/>
        </w:rPr>
        <w:tab/>
      </w:r>
      <w:r w:rsidR="00642734" w:rsidRPr="00642734">
        <w:rPr>
          <w:sz w:val="26"/>
          <w:szCs w:val="26"/>
          <w:lang w:val="sr-Latn-CS"/>
        </w:rPr>
        <w:t>Осим основне дјелатности</w:t>
      </w:r>
      <w:r w:rsidR="00450280">
        <w:rPr>
          <w:sz w:val="26"/>
          <w:szCs w:val="26"/>
        </w:rPr>
        <w:t xml:space="preserve">, </w:t>
      </w:r>
      <w:r w:rsidR="00450280" w:rsidRPr="00642734">
        <w:rPr>
          <w:sz w:val="26"/>
          <w:szCs w:val="26"/>
          <w:lang w:val="sr-Latn-CS"/>
        </w:rPr>
        <w:t>чишћењ</w:t>
      </w:r>
      <w:r w:rsidR="008C1875">
        <w:rPr>
          <w:sz w:val="26"/>
          <w:szCs w:val="26"/>
        </w:rPr>
        <w:t>а</w:t>
      </w:r>
      <w:r w:rsidR="008C1875">
        <w:rPr>
          <w:sz w:val="26"/>
          <w:szCs w:val="26"/>
          <w:lang w:val="sr-Latn-CS"/>
        </w:rPr>
        <w:t xml:space="preserve"> јавних прометних површина</w:t>
      </w:r>
      <w:r w:rsidR="008C1875">
        <w:rPr>
          <w:sz w:val="26"/>
          <w:szCs w:val="26"/>
        </w:rPr>
        <w:t xml:space="preserve">, </w:t>
      </w:r>
      <w:r w:rsidR="00450280" w:rsidRPr="00642734">
        <w:rPr>
          <w:sz w:val="26"/>
          <w:szCs w:val="26"/>
          <w:lang w:val="sr-Latn-CS"/>
        </w:rPr>
        <w:t>одржавањ</w:t>
      </w:r>
      <w:r w:rsidR="008C1875">
        <w:rPr>
          <w:sz w:val="26"/>
          <w:szCs w:val="26"/>
        </w:rPr>
        <w:t>а</w:t>
      </w:r>
      <w:r w:rsidR="00450280" w:rsidRPr="00642734">
        <w:rPr>
          <w:sz w:val="26"/>
          <w:szCs w:val="26"/>
          <w:lang w:val="sr-Latn-CS"/>
        </w:rPr>
        <w:t xml:space="preserve"> јавних зелених површина</w:t>
      </w:r>
      <w:r w:rsidR="008C1875">
        <w:rPr>
          <w:sz w:val="26"/>
          <w:szCs w:val="26"/>
        </w:rPr>
        <w:t>,</w:t>
      </w:r>
      <w:r w:rsidR="00450280" w:rsidRPr="00642734">
        <w:rPr>
          <w:sz w:val="26"/>
          <w:szCs w:val="26"/>
          <w:lang w:val="sr-Latn-CS"/>
        </w:rPr>
        <w:t xml:space="preserve"> и прикуп</w:t>
      </w:r>
      <w:r w:rsidR="00512358">
        <w:rPr>
          <w:sz w:val="26"/>
          <w:szCs w:val="26"/>
          <w:lang w:val="sr-Latn-CS"/>
        </w:rPr>
        <w:t>љањ</w:t>
      </w:r>
      <w:r w:rsidR="00512358">
        <w:rPr>
          <w:sz w:val="26"/>
          <w:szCs w:val="26"/>
          <w:lang/>
        </w:rPr>
        <w:t>а</w:t>
      </w:r>
      <w:r w:rsidR="00450280" w:rsidRPr="00642734">
        <w:rPr>
          <w:sz w:val="26"/>
          <w:szCs w:val="26"/>
          <w:lang w:val="sr-Latn-CS"/>
        </w:rPr>
        <w:t xml:space="preserve"> отпада од физичких</w:t>
      </w:r>
      <w:r w:rsidR="00450280" w:rsidRPr="004420FC">
        <w:t xml:space="preserve"> </w:t>
      </w:r>
      <w:r w:rsidR="00450280">
        <w:t xml:space="preserve">и </w:t>
      </w:r>
      <w:r w:rsidR="00450280" w:rsidRPr="004420FC">
        <w:rPr>
          <w:sz w:val="26"/>
          <w:szCs w:val="26"/>
          <w:lang w:val="sr-Latn-CS"/>
        </w:rPr>
        <w:t xml:space="preserve">правних </w:t>
      </w:r>
      <w:r w:rsidR="008C1875">
        <w:rPr>
          <w:sz w:val="26"/>
          <w:szCs w:val="26"/>
          <w:lang w:val="sr-Latn-CS"/>
        </w:rPr>
        <w:t>лица</w:t>
      </w:r>
      <w:r w:rsidR="008C1875">
        <w:rPr>
          <w:sz w:val="26"/>
          <w:szCs w:val="26"/>
        </w:rPr>
        <w:t xml:space="preserve">, ЈП </w:t>
      </w:r>
      <w:r w:rsidR="00642734" w:rsidRPr="00642734">
        <w:rPr>
          <w:sz w:val="26"/>
          <w:szCs w:val="26"/>
          <w:lang w:val="sr-Latn-CS"/>
        </w:rPr>
        <w:t>„К</w:t>
      </w:r>
      <w:r w:rsidR="00F80089" w:rsidRPr="00642734">
        <w:rPr>
          <w:sz w:val="26"/>
          <w:szCs w:val="26"/>
          <w:lang w:val="sr-Latn-CS"/>
        </w:rPr>
        <w:t>омус</w:t>
      </w:r>
      <w:r w:rsidR="00642734" w:rsidRPr="00642734">
        <w:rPr>
          <w:sz w:val="26"/>
          <w:szCs w:val="26"/>
          <w:lang w:val="sr-Latn-CS"/>
        </w:rPr>
        <w:t>“</w:t>
      </w:r>
      <w:r w:rsidR="008C1875">
        <w:rPr>
          <w:sz w:val="26"/>
          <w:szCs w:val="26"/>
        </w:rPr>
        <w:t xml:space="preserve"> а.д.</w:t>
      </w:r>
      <w:r w:rsidR="00642734" w:rsidRPr="00642734">
        <w:rPr>
          <w:sz w:val="26"/>
          <w:szCs w:val="26"/>
          <w:lang w:val="sr-Latn-CS"/>
        </w:rPr>
        <w:t xml:space="preserve"> управља</w:t>
      </w:r>
      <w:r w:rsidR="008C1875">
        <w:rPr>
          <w:sz w:val="26"/>
          <w:szCs w:val="26"/>
        </w:rPr>
        <w:t xml:space="preserve"> и</w:t>
      </w:r>
      <w:r w:rsidR="00642734" w:rsidRPr="00642734">
        <w:rPr>
          <w:sz w:val="26"/>
          <w:szCs w:val="26"/>
          <w:lang w:val="sr-Latn-CS"/>
        </w:rPr>
        <w:t xml:space="preserve"> град</w:t>
      </w:r>
      <w:r w:rsidR="00F80089">
        <w:rPr>
          <w:sz w:val="26"/>
          <w:szCs w:val="26"/>
          <w:lang w:val="sr-Latn-CS"/>
        </w:rPr>
        <w:t>ским гробљем и градском капелом</w:t>
      </w:r>
      <w:r w:rsidR="00F80089">
        <w:rPr>
          <w:sz w:val="26"/>
          <w:szCs w:val="26"/>
        </w:rPr>
        <w:t xml:space="preserve">, те </w:t>
      </w:r>
      <w:r w:rsidR="00F80089" w:rsidRPr="00F80089">
        <w:rPr>
          <w:sz w:val="26"/>
          <w:szCs w:val="26"/>
        </w:rPr>
        <w:t xml:space="preserve"> градском пијацом</w:t>
      </w:r>
      <w:r w:rsidR="00F80089">
        <w:rPr>
          <w:sz w:val="26"/>
          <w:szCs w:val="26"/>
        </w:rPr>
        <w:t>.</w:t>
      </w:r>
      <w:r w:rsidR="00642734" w:rsidRPr="00642734">
        <w:rPr>
          <w:sz w:val="26"/>
          <w:szCs w:val="26"/>
          <w:lang w:val="sr-Latn-CS"/>
        </w:rPr>
        <w:t xml:space="preserve"> </w:t>
      </w:r>
    </w:p>
    <w:p w:rsidR="004420FC" w:rsidRDefault="007B13CC" w:rsidP="008C1875">
      <w:pPr>
        <w:tabs>
          <w:tab w:val="left" w:pos="567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 w:val="sr-Latn-CS"/>
        </w:rPr>
        <w:tab/>
      </w:r>
      <w:r w:rsidR="00642734" w:rsidRPr="00642734">
        <w:rPr>
          <w:sz w:val="26"/>
          <w:szCs w:val="26"/>
          <w:lang w:val="sr-Latn-CS"/>
        </w:rPr>
        <w:t>„К</w:t>
      </w:r>
      <w:r w:rsidR="00762500" w:rsidRPr="00642734">
        <w:rPr>
          <w:sz w:val="26"/>
          <w:szCs w:val="26"/>
          <w:lang w:val="sr-Latn-CS"/>
        </w:rPr>
        <w:t>омус</w:t>
      </w:r>
      <w:r w:rsidR="00642734" w:rsidRPr="00642734">
        <w:rPr>
          <w:sz w:val="26"/>
          <w:szCs w:val="26"/>
          <w:lang w:val="sr-Latn-CS"/>
        </w:rPr>
        <w:t>“ већ дуже</w:t>
      </w:r>
      <w:r w:rsidR="00F80089">
        <w:rPr>
          <w:sz w:val="26"/>
          <w:szCs w:val="26"/>
          <w:lang w:val="sr-Latn-CS"/>
        </w:rPr>
        <w:t xml:space="preserve"> вријеме не располаже</w:t>
      </w:r>
      <w:r w:rsidR="00F80089">
        <w:rPr>
          <w:sz w:val="26"/>
          <w:szCs w:val="26"/>
        </w:rPr>
        <w:t xml:space="preserve"> адекватном </w:t>
      </w:r>
      <w:r w:rsidR="00642734" w:rsidRPr="00642734">
        <w:rPr>
          <w:sz w:val="26"/>
          <w:szCs w:val="26"/>
          <w:lang w:val="sr-Latn-CS"/>
        </w:rPr>
        <w:t>опремом за обављање дјелатности. Одвоз комуналног отп</w:t>
      </w:r>
      <w:r w:rsidR="008A61EA">
        <w:rPr>
          <w:sz w:val="26"/>
          <w:szCs w:val="26"/>
          <w:lang w:val="sr-Latn-CS"/>
        </w:rPr>
        <w:t xml:space="preserve">ада вршио се </w:t>
      </w:r>
      <w:r w:rsidR="008A61EA">
        <w:rPr>
          <w:sz w:val="26"/>
          <w:szCs w:val="26"/>
          <w:lang/>
        </w:rPr>
        <w:t>једним</w:t>
      </w:r>
      <w:r w:rsidR="008A61EA">
        <w:rPr>
          <w:sz w:val="26"/>
          <w:szCs w:val="26"/>
        </w:rPr>
        <w:t xml:space="preserve"> половн</w:t>
      </w:r>
      <w:r w:rsidR="008A61EA">
        <w:rPr>
          <w:sz w:val="26"/>
          <w:szCs w:val="26"/>
          <w:lang/>
        </w:rPr>
        <w:t>им</w:t>
      </w:r>
      <w:r w:rsidR="004754FC">
        <w:rPr>
          <w:sz w:val="26"/>
          <w:szCs w:val="26"/>
          <w:lang w:val="sr-Latn-CS"/>
        </w:rPr>
        <w:t xml:space="preserve"> а</w:t>
      </w:r>
      <w:r w:rsidR="008A61EA">
        <w:rPr>
          <w:sz w:val="26"/>
          <w:szCs w:val="26"/>
          <w:lang w:val="sr-Latn-CS"/>
        </w:rPr>
        <w:t>утосмећар</w:t>
      </w:r>
      <w:r w:rsidR="008A61EA">
        <w:rPr>
          <w:sz w:val="26"/>
          <w:szCs w:val="26"/>
          <w:lang/>
        </w:rPr>
        <w:t>ом</w:t>
      </w:r>
      <w:r w:rsidR="004754FC">
        <w:rPr>
          <w:sz w:val="26"/>
          <w:szCs w:val="26"/>
          <w:lang w:val="sr-Latn-CS"/>
        </w:rPr>
        <w:t xml:space="preserve"> и</w:t>
      </w:r>
      <w:r w:rsidR="00642734" w:rsidRPr="00642734">
        <w:rPr>
          <w:sz w:val="26"/>
          <w:szCs w:val="26"/>
          <w:lang w:val="sr-Latn-CS"/>
        </w:rPr>
        <w:t xml:space="preserve"> једним аутоподизачем, који су</w:t>
      </w:r>
      <w:r w:rsidR="00F80089">
        <w:rPr>
          <w:sz w:val="26"/>
          <w:szCs w:val="26"/>
        </w:rPr>
        <w:t xml:space="preserve"> често</w:t>
      </w:r>
      <w:r w:rsidR="00642734" w:rsidRPr="00642734">
        <w:rPr>
          <w:sz w:val="26"/>
          <w:szCs w:val="26"/>
          <w:lang w:val="sr-Latn-CS"/>
        </w:rPr>
        <w:t xml:space="preserve"> у квару. Овакво стање проузрокује застоје са прикупљањем и одвозом отпада.</w:t>
      </w:r>
      <w:r w:rsidR="00090AAB">
        <w:rPr>
          <w:sz w:val="26"/>
          <w:szCs w:val="26"/>
        </w:rPr>
        <w:t xml:space="preserve"> </w:t>
      </w:r>
    </w:p>
    <w:p w:rsidR="00A95330" w:rsidRDefault="008A61EA" w:rsidP="008C1875">
      <w:pPr>
        <w:tabs>
          <w:tab w:val="left" w:pos="567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>Кашњење плата и отежани услови рада</w:t>
      </w:r>
      <w:r w:rsidR="00512358">
        <w:rPr>
          <w:sz w:val="26"/>
          <w:szCs w:val="26"/>
          <w:lang/>
        </w:rPr>
        <w:t>,</w:t>
      </w:r>
      <w:r>
        <w:rPr>
          <w:sz w:val="26"/>
          <w:szCs w:val="26"/>
          <w:lang/>
        </w:rPr>
        <w:t xml:space="preserve"> навели су наше раднике </w:t>
      </w:r>
      <w:r w:rsidR="00512358">
        <w:rPr>
          <w:sz w:val="26"/>
          <w:szCs w:val="26"/>
          <w:lang/>
        </w:rPr>
        <w:t xml:space="preserve">који су радили на </w:t>
      </w:r>
      <w:r>
        <w:rPr>
          <w:sz w:val="26"/>
          <w:szCs w:val="26"/>
          <w:lang/>
        </w:rPr>
        <w:t>одржавању градске чистоће да егзистенцију потраже у сусједним општин</w:t>
      </w:r>
      <w:r w:rsidR="00DA0E9D">
        <w:rPr>
          <w:sz w:val="26"/>
          <w:szCs w:val="26"/>
          <w:lang/>
        </w:rPr>
        <w:t>а</w:t>
      </w:r>
      <w:r>
        <w:rPr>
          <w:sz w:val="26"/>
          <w:szCs w:val="26"/>
          <w:lang/>
        </w:rPr>
        <w:t xml:space="preserve">ма. </w:t>
      </w:r>
      <w:r w:rsidR="004207E3">
        <w:rPr>
          <w:sz w:val="26"/>
          <w:szCs w:val="26"/>
          <w:lang/>
        </w:rPr>
        <w:t>T</w:t>
      </w:r>
      <w:r>
        <w:rPr>
          <w:sz w:val="26"/>
          <w:szCs w:val="26"/>
          <w:lang/>
        </w:rPr>
        <w:t>ренутно на одржавању градске чистоће раде само 4 радника.</w:t>
      </w:r>
    </w:p>
    <w:p w:rsidR="008A61EA" w:rsidRPr="008A61EA" w:rsidRDefault="00512358" w:rsidP="008C1875">
      <w:pPr>
        <w:tabs>
          <w:tab w:val="left" w:pos="567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>У току 2023. године, исплаћене су</w:t>
      </w:r>
      <w:r w:rsidRPr="00512358">
        <w:rPr>
          <w:sz w:val="26"/>
          <w:szCs w:val="26"/>
          <w:lang/>
        </w:rPr>
        <w:t xml:space="preserve"> </w:t>
      </w:r>
      <w:r>
        <w:rPr>
          <w:sz w:val="26"/>
          <w:szCs w:val="26"/>
          <w:lang/>
        </w:rPr>
        <w:t>стимулативне отпремине за еко</w:t>
      </w:r>
      <w:r w:rsidR="001D1610">
        <w:rPr>
          <w:sz w:val="26"/>
          <w:szCs w:val="26"/>
          <w:lang/>
        </w:rPr>
        <w:t>н</w:t>
      </w:r>
      <w:r>
        <w:rPr>
          <w:sz w:val="26"/>
          <w:szCs w:val="26"/>
          <w:lang/>
        </w:rPr>
        <w:t>омско-социјално збрињавање 8 радника, који су одобрене п</w:t>
      </w:r>
      <w:r w:rsidR="008A61EA">
        <w:rPr>
          <w:sz w:val="26"/>
          <w:szCs w:val="26"/>
          <w:lang/>
        </w:rPr>
        <w:t>рерасподјелом новчаних средстава из буџета опшине Билећа у износ</w:t>
      </w:r>
      <w:r>
        <w:rPr>
          <w:sz w:val="26"/>
          <w:szCs w:val="26"/>
          <w:lang/>
        </w:rPr>
        <w:t>у</w:t>
      </w:r>
      <w:r w:rsidR="008A61EA">
        <w:rPr>
          <w:sz w:val="26"/>
          <w:szCs w:val="26"/>
          <w:lang/>
        </w:rPr>
        <w:t xml:space="preserve"> 203</w:t>
      </w:r>
      <w:r>
        <w:rPr>
          <w:sz w:val="26"/>
          <w:szCs w:val="26"/>
          <w:lang/>
        </w:rPr>
        <w:t>.308 КМ.</w:t>
      </w:r>
    </w:p>
    <w:p w:rsidR="00BC3172" w:rsidRDefault="00BC3172" w:rsidP="0036013E">
      <w:pPr>
        <w:tabs>
          <w:tab w:val="left" w:pos="567"/>
        </w:tabs>
        <w:spacing w:after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3172">
        <w:rPr>
          <w:sz w:val="26"/>
          <w:szCs w:val="26"/>
        </w:rPr>
        <w:t>Ризик неликвидн</w:t>
      </w:r>
      <w:r>
        <w:rPr>
          <w:sz w:val="26"/>
          <w:szCs w:val="26"/>
        </w:rPr>
        <w:t xml:space="preserve">ости предузећа је континуиран. </w:t>
      </w:r>
      <w:r w:rsidRPr="00BC3172">
        <w:rPr>
          <w:sz w:val="26"/>
          <w:szCs w:val="26"/>
        </w:rPr>
        <w:t>Наплата п</w:t>
      </w:r>
      <w:r>
        <w:rPr>
          <w:sz w:val="26"/>
          <w:szCs w:val="26"/>
        </w:rPr>
        <w:t xml:space="preserve">отраживања од корисника услуга </w:t>
      </w:r>
      <w:r w:rsidRPr="00BC3172">
        <w:rPr>
          <w:sz w:val="26"/>
          <w:szCs w:val="26"/>
        </w:rPr>
        <w:t xml:space="preserve">није на задовољавајућем нивоу, што </w:t>
      </w:r>
      <w:r>
        <w:rPr>
          <w:sz w:val="26"/>
          <w:szCs w:val="26"/>
        </w:rPr>
        <w:t xml:space="preserve">лоше утиче на пословање нашег предузећа. Ово резултира честим блокадама нашег рачуна од стране Пореске управе РС, као и Управе за индиректно опорезивање, што </w:t>
      </w:r>
      <w:r w:rsidR="00CC5941">
        <w:rPr>
          <w:sz w:val="26"/>
          <w:szCs w:val="26"/>
        </w:rPr>
        <w:t xml:space="preserve">доводи до </w:t>
      </w:r>
      <w:r>
        <w:rPr>
          <w:sz w:val="26"/>
          <w:szCs w:val="26"/>
        </w:rPr>
        <w:t>додатни</w:t>
      </w:r>
      <w:r w:rsidR="00CC5941">
        <w:rPr>
          <w:sz w:val="26"/>
          <w:szCs w:val="26"/>
        </w:rPr>
        <w:t>х</w:t>
      </w:r>
      <w:r>
        <w:rPr>
          <w:sz w:val="26"/>
          <w:szCs w:val="26"/>
        </w:rPr>
        <w:t xml:space="preserve"> трошков</w:t>
      </w:r>
      <w:r w:rsidR="00CC5941">
        <w:rPr>
          <w:sz w:val="26"/>
          <w:szCs w:val="26"/>
        </w:rPr>
        <w:t>а</w:t>
      </w:r>
      <w:r w:rsidRPr="00BC3172">
        <w:rPr>
          <w:sz w:val="26"/>
          <w:szCs w:val="26"/>
        </w:rPr>
        <w:t xml:space="preserve"> </w:t>
      </w:r>
      <w:r>
        <w:rPr>
          <w:sz w:val="26"/>
          <w:szCs w:val="26"/>
        </w:rPr>
        <w:t>принудне</w:t>
      </w:r>
      <w:r w:rsidRPr="00BC3172">
        <w:rPr>
          <w:sz w:val="26"/>
          <w:szCs w:val="26"/>
        </w:rPr>
        <w:t xml:space="preserve"> наплат</w:t>
      </w:r>
      <w:r>
        <w:rPr>
          <w:sz w:val="26"/>
          <w:szCs w:val="26"/>
        </w:rPr>
        <w:t>е</w:t>
      </w:r>
      <w:r w:rsidR="005120C7">
        <w:rPr>
          <w:sz w:val="26"/>
          <w:szCs w:val="26"/>
        </w:rPr>
        <w:t xml:space="preserve"> и</w:t>
      </w:r>
      <w:r w:rsidRPr="00BC3172">
        <w:t xml:space="preserve"> </w:t>
      </w:r>
      <w:r w:rsidRPr="00BC3172">
        <w:rPr>
          <w:sz w:val="26"/>
          <w:szCs w:val="26"/>
        </w:rPr>
        <w:t>к</w:t>
      </w:r>
      <w:r w:rsidR="005120C7">
        <w:rPr>
          <w:sz w:val="26"/>
          <w:szCs w:val="26"/>
        </w:rPr>
        <w:t>амата</w:t>
      </w:r>
      <w:r w:rsidR="00CC5941">
        <w:rPr>
          <w:sz w:val="26"/>
          <w:szCs w:val="26"/>
        </w:rPr>
        <w:t>, чији износ није нимало  занемарљив.</w:t>
      </w:r>
      <w:r w:rsidRPr="00BC3172">
        <w:rPr>
          <w:sz w:val="26"/>
          <w:szCs w:val="26"/>
        </w:rPr>
        <w:t xml:space="preserve"> </w:t>
      </w:r>
      <w:r>
        <w:rPr>
          <w:sz w:val="26"/>
          <w:szCs w:val="26"/>
        </w:rPr>
        <w:t>Осим тога, ц</w:t>
      </w:r>
      <w:r w:rsidRPr="00BC3172">
        <w:rPr>
          <w:sz w:val="26"/>
          <w:szCs w:val="26"/>
        </w:rPr>
        <w:t xml:space="preserve">ијене за услуге које предузеће пружа одређене су прије </w:t>
      </w:r>
      <w:r w:rsidR="008A61EA">
        <w:rPr>
          <w:sz w:val="26"/>
          <w:szCs w:val="26"/>
          <w:lang/>
        </w:rPr>
        <w:t>8</w:t>
      </w:r>
      <w:r w:rsidRPr="00BC3172">
        <w:rPr>
          <w:sz w:val="26"/>
          <w:szCs w:val="26"/>
        </w:rPr>
        <w:t xml:space="preserve"> година</w:t>
      </w:r>
      <w:r w:rsidR="007861A6">
        <w:rPr>
          <w:sz w:val="26"/>
          <w:szCs w:val="26"/>
        </w:rPr>
        <w:t>, док  је цијена горива знатно порасла</w:t>
      </w:r>
      <w:r w:rsidRPr="00BC3172">
        <w:rPr>
          <w:sz w:val="26"/>
          <w:szCs w:val="26"/>
        </w:rPr>
        <w:t xml:space="preserve">, </w:t>
      </w:r>
      <w:r w:rsidR="007861A6">
        <w:rPr>
          <w:sz w:val="26"/>
          <w:szCs w:val="26"/>
        </w:rPr>
        <w:t>као и плате запослених</w:t>
      </w:r>
      <w:r w:rsidRPr="00BC3172">
        <w:rPr>
          <w:sz w:val="26"/>
          <w:szCs w:val="26"/>
        </w:rPr>
        <w:t>.</w:t>
      </w:r>
      <w:r w:rsidR="00CC5941">
        <w:rPr>
          <w:sz w:val="26"/>
          <w:szCs w:val="26"/>
        </w:rPr>
        <w:t xml:space="preserve"> </w:t>
      </w:r>
      <w:r w:rsidR="007861A6" w:rsidRPr="007861A6">
        <w:rPr>
          <w:sz w:val="26"/>
          <w:szCs w:val="26"/>
        </w:rPr>
        <w:t>Овакве цијене нису довољне да покрију основне трошкове пословања</w:t>
      </w:r>
      <w:r w:rsidR="007861A6">
        <w:rPr>
          <w:sz w:val="26"/>
          <w:szCs w:val="26"/>
        </w:rPr>
        <w:t>, с</w:t>
      </w:r>
      <w:r w:rsidR="0036013E" w:rsidRPr="0036013E">
        <w:rPr>
          <w:sz w:val="26"/>
          <w:szCs w:val="26"/>
        </w:rPr>
        <w:t xml:space="preserve">тога </w:t>
      </w:r>
      <w:r w:rsidR="0036013E">
        <w:rPr>
          <w:sz w:val="26"/>
          <w:szCs w:val="26"/>
        </w:rPr>
        <w:t xml:space="preserve">је неопходно </w:t>
      </w:r>
      <w:r w:rsidR="00225943" w:rsidRPr="00225943">
        <w:rPr>
          <w:sz w:val="26"/>
          <w:szCs w:val="26"/>
          <w:lang w:val="sr-Latn-CS"/>
        </w:rPr>
        <w:t>у наредном периоду, веће ангажовање већинског власника</w:t>
      </w:r>
      <w:r w:rsidR="008541B0">
        <w:rPr>
          <w:sz w:val="26"/>
          <w:szCs w:val="26"/>
          <w:lang/>
        </w:rPr>
        <w:t xml:space="preserve"> и локалне заједнице</w:t>
      </w:r>
      <w:r w:rsidR="0036013E" w:rsidRPr="0036013E">
        <w:t xml:space="preserve"> </w:t>
      </w:r>
      <w:r w:rsidR="0036013E" w:rsidRPr="0036013E">
        <w:rPr>
          <w:sz w:val="26"/>
          <w:szCs w:val="26"/>
          <w:lang w:val="sr-Latn-CS"/>
        </w:rPr>
        <w:t xml:space="preserve">ради </w:t>
      </w:r>
      <w:r w:rsidR="008541B0">
        <w:rPr>
          <w:sz w:val="26"/>
          <w:szCs w:val="26"/>
          <w:lang/>
        </w:rPr>
        <w:t xml:space="preserve">опстанка предузећа и </w:t>
      </w:r>
      <w:r w:rsidR="0036013E" w:rsidRPr="0036013E">
        <w:rPr>
          <w:sz w:val="26"/>
          <w:szCs w:val="26"/>
          <w:lang w:val="sr-Latn-CS"/>
        </w:rPr>
        <w:t>п</w:t>
      </w:r>
      <w:r w:rsidR="0036013E">
        <w:rPr>
          <w:sz w:val="26"/>
          <w:szCs w:val="26"/>
          <w:lang w:val="sr-Latn-CS"/>
        </w:rPr>
        <w:t>обољшања финансијских резултата</w:t>
      </w:r>
      <w:r w:rsidR="0036013E">
        <w:rPr>
          <w:sz w:val="26"/>
          <w:szCs w:val="26"/>
        </w:rPr>
        <w:t>.</w:t>
      </w:r>
    </w:p>
    <w:p w:rsidR="00BC3172" w:rsidRDefault="00BC3172" w:rsidP="0036013E">
      <w:pPr>
        <w:tabs>
          <w:tab w:val="left" w:pos="567"/>
        </w:tabs>
        <w:spacing w:after="80" w:line="360" w:lineRule="auto"/>
        <w:jc w:val="both"/>
        <w:rPr>
          <w:sz w:val="26"/>
          <w:szCs w:val="26"/>
        </w:rPr>
      </w:pPr>
    </w:p>
    <w:p w:rsidR="00BC3172" w:rsidRDefault="00BC3172" w:rsidP="0036013E">
      <w:pPr>
        <w:tabs>
          <w:tab w:val="left" w:pos="567"/>
        </w:tabs>
        <w:spacing w:after="80" w:line="360" w:lineRule="auto"/>
        <w:jc w:val="both"/>
        <w:rPr>
          <w:sz w:val="26"/>
          <w:szCs w:val="26"/>
        </w:rPr>
      </w:pPr>
    </w:p>
    <w:p w:rsidR="007861A6" w:rsidRDefault="007861A6" w:rsidP="0036013E">
      <w:pPr>
        <w:tabs>
          <w:tab w:val="left" w:pos="567"/>
        </w:tabs>
        <w:spacing w:after="80" w:line="360" w:lineRule="auto"/>
        <w:jc w:val="both"/>
        <w:rPr>
          <w:sz w:val="26"/>
          <w:szCs w:val="26"/>
        </w:rPr>
      </w:pPr>
    </w:p>
    <w:p w:rsidR="008C1875" w:rsidRDefault="008C1875" w:rsidP="00C26E97">
      <w:pPr>
        <w:tabs>
          <w:tab w:val="left" w:pos="567"/>
        </w:tabs>
        <w:spacing w:after="120" w:line="360" w:lineRule="auto"/>
        <w:rPr>
          <w:sz w:val="26"/>
          <w:szCs w:val="26"/>
          <w:lang/>
        </w:rPr>
      </w:pPr>
    </w:p>
    <w:p w:rsidR="00DF156D" w:rsidRDefault="00DF156D" w:rsidP="00C26E97">
      <w:pPr>
        <w:tabs>
          <w:tab w:val="left" w:pos="567"/>
        </w:tabs>
        <w:spacing w:after="120" w:line="360" w:lineRule="auto"/>
        <w:rPr>
          <w:sz w:val="26"/>
          <w:szCs w:val="26"/>
          <w:lang/>
        </w:rPr>
      </w:pPr>
    </w:p>
    <w:p w:rsidR="00402EF2" w:rsidRPr="00DF156D" w:rsidRDefault="00402EF2" w:rsidP="00C26E97">
      <w:pPr>
        <w:tabs>
          <w:tab w:val="left" w:pos="567"/>
        </w:tabs>
        <w:spacing w:after="120" w:line="360" w:lineRule="auto"/>
        <w:rPr>
          <w:sz w:val="26"/>
          <w:szCs w:val="26"/>
          <w:lang/>
        </w:rPr>
      </w:pPr>
    </w:p>
    <w:p w:rsidR="00F8076E" w:rsidRDefault="00F8076E" w:rsidP="008541B0">
      <w:pPr>
        <w:tabs>
          <w:tab w:val="left" w:pos="567"/>
        </w:tabs>
        <w:jc w:val="center"/>
        <w:rPr>
          <w:b/>
          <w:sz w:val="28"/>
          <w:szCs w:val="26"/>
          <w:lang/>
        </w:rPr>
      </w:pPr>
    </w:p>
    <w:p w:rsidR="008541B0" w:rsidRPr="008E3285" w:rsidRDefault="00C26E97" w:rsidP="008541B0">
      <w:pPr>
        <w:tabs>
          <w:tab w:val="left" w:pos="567"/>
        </w:tabs>
        <w:jc w:val="center"/>
        <w:rPr>
          <w:b/>
          <w:sz w:val="28"/>
          <w:szCs w:val="26"/>
          <w:lang/>
        </w:rPr>
      </w:pPr>
      <w:r>
        <w:rPr>
          <w:b/>
          <w:sz w:val="28"/>
          <w:szCs w:val="26"/>
        </w:rPr>
        <w:lastRenderedPageBreak/>
        <w:t xml:space="preserve">  </w:t>
      </w:r>
      <w:r w:rsidR="008E3285">
        <w:rPr>
          <w:b/>
          <w:sz w:val="28"/>
          <w:szCs w:val="26"/>
          <w:lang/>
        </w:rPr>
        <w:t xml:space="preserve">ПРЕГЛЕД </w:t>
      </w:r>
      <w:r w:rsidR="0036013E" w:rsidRPr="008443CE">
        <w:rPr>
          <w:b/>
          <w:sz w:val="28"/>
          <w:szCs w:val="26"/>
        </w:rPr>
        <w:t>ПРИХОД</w:t>
      </w:r>
      <w:r w:rsidR="008E3285">
        <w:rPr>
          <w:b/>
          <w:sz w:val="28"/>
          <w:szCs w:val="26"/>
          <w:lang/>
        </w:rPr>
        <w:t>А</w:t>
      </w:r>
      <w:r w:rsidR="0036013E" w:rsidRPr="008443CE">
        <w:rPr>
          <w:b/>
          <w:sz w:val="28"/>
          <w:szCs w:val="26"/>
        </w:rPr>
        <w:t xml:space="preserve"> И РАСХОД</w:t>
      </w:r>
      <w:r w:rsidR="008E3285">
        <w:rPr>
          <w:b/>
          <w:sz w:val="28"/>
          <w:szCs w:val="26"/>
          <w:lang/>
        </w:rPr>
        <w:t>А</w:t>
      </w:r>
    </w:p>
    <w:p w:rsidR="008E3285" w:rsidRPr="00F8076E" w:rsidRDefault="008E3285" w:rsidP="008E3285">
      <w:pPr>
        <w:spacing w:line="276" w:lineRule="auto"/>
        <w:jc w:val="center"/>
        <w:rPr>
          <w:b/>
          <w:sz w:val="20"/>
          <w:szCs w:val="30"/>
          <w:lang w:val="sr-Latn-CS"/>
        </w:rPr>
      </w:pPr>
      <w:r w:rsidRPr="00F8076E">
        <w:rPr>
          <w:b/>
          <w:sz w:val="20"/>
          <w:szCs w:val="30"/>
          <w:lang w:val="sr-Latn-CS"/>
        </w:rPr>
        <w:t>ЗА ПЕРИОД 01.01 – 31.12.202</w:t>
      </w:r>
      <w:r w:rsidRPr="00F8076E">
        <w:rPr>
          <w:b/>
          <w:sz w:val="20"/>
          <w:szCs w:val="30"/>
        </w:rPr>
        <w:t>3</w:t>
      </w:r>
      <w:r w:rsidRPr="00F8076E">
        <w:rPr>
          <w:b/>
          <w:sz w:val="20"/>
          <w:szCs w:val="30"/>
          <w:lang w:val="sr-Latn-CS"/>
        </w:rPr>
        <w:t>.</w:t>
      </w:r>
    </w:p>
    <w:p w:rsidR="008E3285" w:rsidRDefault="008E3285" w:rsidP="00CC5941">
      <w:pPr>
        <w:tabs>
          <w:tab w:val="left" w:pos="567"/>
        </w:tabs>
        <w:jc w:val="both"/>
        <w:rPr>
          <w:b/>
          <w:sz w:val="26"/>
          <w:szCs w:val="26"/>
          <w:lang/>
        </w:rPr>
      </w:pPr>
    </w:p>
    <w:p w:rsidR="00CC5941" w:rsidRPr="00CC5941" w:rsidRDefault="00CC5941" w:rsidP="00CC5941">
      <w:pPr>
        <w:tabs>
          <w:tab w:val="left" w:pos="567"/>
        </w:tabs>
        <w:jc w:val="both"/>
        <w:rPr>
          <w:b/>
          <w:sz w:val="26"/>
          <w:szCs w:val="26"/>
        </w:rPr>
      </w:pPr>
      <w:r w:rsidRPr="00CC5941">
        <w:rPr>
          <w:b/>
          <w:sz w:val="26"/>
          <w:szCs w:val="26"/>
        </w:rPr>
        <w:t>Преглед прихода на дан 31.12.202</w:t>
      </w:r>
      <w:r w:rsidR="00AD25D5">
        <w:rPr>
          <w:b/>
          <w:sz w:val="26"/>
          <w:szCs w:val="26"/>
        </w:rPr>
        <w:t>3</w:t>
      </w:r>
      <w:r w:rsidRPr="00CC5941">
        <w:rPr>
          <w:b/>
          <w:sz w:val="26"/>
          <w:szCs w:val="26"/>
        </w:rPr>
        <w:t>.</w:t>
      </w:r>
    </w:p>
    <w:tbl>
      <w:tblPr>
        <w:tblW w:w="927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78"/>
        <w:gridCol w:w="2614"/>
        <w:gridCol w:w="1878"/>
      </w:tblGrid>
      <w:tr w:rsidR="0013317C" w:rsidTr="00CC20E6">
        <w:trPr>
          <w:trHeight w:val="420"/>
        </w:trPr>
        <w:tc>
          <w:tcPr>
            <w:tcW w:w="4778" w:type="dxa"/>
            <w:shd w:val="clear" w:color="auto" w:fill="FFFFFF"/>
            <w:vAlign w:val="center"/>
          </w:tcPr>
          <w:p w:rsidR="0013317C" w:rsidRPr="00CC20E6" w:rsidRDefault="00F80089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НАЗИВ</w:t>
            </w:r>
          </w:p>
        </w:tc>
        <w:tc>
          <w:tcPr>
            <w:tcW w:w="2614" w:type="dxa"/>
            <w:shd w:val="clear" w:color="auto" w:fill="FFFFFF"/>
            <w:vAlign w:val="center"/>
          </w:tcPr>
          <w:p w:rsidR="0013317C" w:rsidRPr="00CC20E6" w:rsidRDefault="0013317C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ИЗНОС КМ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13317C" w:rsidRPr="00CC20E6" w:rsidRDefault="0013317C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ПРОЦЕНАТ</w:t>
            </w:r>
          </w:p>
        </w:tc>
      </w:tr>
      <w:tr w:rsidR="0013317C" w:rsidTr="00CC20E6">
        <w:trPr>
          <w:trHeight w:val="342"/>
        </w:trPr>
        <w:tc>
          <w:tcPr>
            <w:tcW w:w="4778" w:type="dxa"/>
            <w:vAlign w:val="center"/>
          </w:tcPr>
          <w:p w:rsidR="0013317C" w:rsidRPr="00CC20E6" w:rsidRDefault="0013317C" w:rsidP="00CC20E6">
            <w:pPr>
              <w:tabs>
                <w:tab w:val="left" w:pos="567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Приход од услуга</w:t>
            </w:r>
            <w:r w:rsidRPr="00CC20E6">
              <w:rPr>
                <w:rFonts w:eastAsia="Calibri"/>
                <w:sz w:val="26"/>
                <w:szCs w:val="26"/>
              </w:rPr>
              <w:tab/>
            </w:r>
            <w:r w:rsidRPr="00CC20E6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2614" w:type="dxa"/>
            <w:vAlign w:val="center"/>
          </w:tcPr>
          <w:p w:rsidR="0013317C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501.759.99</w:t>
            </w:r>
          </w:p>
        </w:tc>
        <w:tc>
          <w:tcPr>
            <w:tcW w:w="1878" w:type="dxa"/>
            <w:vAlign w:val="center"/>
          </w:tcPr>
          <w:p w:rsidR="0013317C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71,16</w:t>
            </w:r>
          </w:p>
        </w:tc>
      </w:tr>
      <w:tr w:rsidR="0013317C" w:rsidTr="00CC20E6">
        <w:trPr>
          <w:trHeight w:val="359"/>
        </w:trPr>
        <w:tc>
          <w:tcPr>
            <w:tcW w:w="4778" w:type="dxa"/>
            <w:shd w:val="clear" w:color="auto" w:fill="FFFFFF"/>
            <w:vAlign w:val="center"/>
          </w:tcPr>
          <w:p w:rsidR="0013317C" w:rsidRPr="00CC20E6" w:rsidRDefault="0013317C" w:rsidP="00CC20E6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CC20E6">
              <w:rPr>
                <w:rFonts w:eastAsia="Calibri"/>
                <w:sz w:val="26"/>
                <w:szCs w:val="26"/>
              </w:rPr>
              <w:t>П</w:t>
            </w:r>
            <w:r w:rsidR="00451836" w:rsidRPr="00CC20E6">
              <w:rPr>
                <w:rFonts w:ascii="Calibri" w:eastAsia="Calibri" w:hAnsi="Calibri"/>
                <w:sz w:val="26"/>
                <w:szCs w:val="26"/>
              </w:rPr>
              <w:fldChar w:fldCharType="begin"/>
            </w:r>
            <w:r w:rsidRPr="00CC20E6">
              <w:rPr>
                <w:rFonts w:eastAsia="Calibri"/>
                <w:sz w:val="26"/>
                <w:szCs w:val="26"/>
              </w:rPr>
              <w:instrText xml:space="preserve"> LINK </w:instrText>
            </w:r>
            <w:r w:rsidR="00876114" w:rsidRPr="00CC20E6">
              <w:rPr>
                <w:rFonts w:eastAsia="Calibri"/>
                <w:sz w:val="26"/>
                <w:szCs w:val="26"/>
              </w:rPr>
              <w:instrText xml:space="preserve">Excel.Sheet.8 "C:\\Users\\Korisnik\\Desktop\\31-12-2021-\\NOTE 31.12.2021..xlsx" Sheet1!R30C4:R30C6 </w:instrText>
            </w:r>
            <w:r w:rsidRPr="00CC20E6">
              <w:rPr>
                <w:rFonts w:eastAsia="Calibri"/>
                <w:sz w:val="26"/>
                <w:szCs w:val="26"/>
              </w:rPr>
              <w:instrText xml:space="preserve">\a \f 4 \h  \* MERGEFORMAT </w:instrText>
            </w:r>
            <w:r w:rsidR="00451836" w:rsidRPr="00CC20E6">
              <w:rPr>
                <w:rFonts w:ascii="Calibri" w:eastAsia="Calibri" w:hAnsi="Calibri"/>
                <w:sz w:val="26"/>
                <w:szCs w:val="26"/>
              </w:rPr>
              <w:fldChar w:fldCharType="end"/>
            </w:r>
            <w:r w:rsidRPr="00CC20E6">
              <w:rPr>
                <w:rFonts w:eastAsia="Calibri"/>
                <w:sz w:val="26"/>
                <w:szCs w:val="26"/>
              </w:rPr>
              <w:t>риходи од субвенција, дотација</w:t>
            </w:r>
          </w:p>
        </w:tc>
        <w:tc>
          <w:tcPr>
            <w:tcW w:w="2614" w:type="dxa"/>
            <w:vAlign w:val="center"/>
          </w:tcPr>
          <w:p w:rsidR="0013317C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203.388.99</w:t>
            </w:r>
          </w:p>
        </w:tc>
        <w:tc>
          <w:tcPr>
            <w:tcW w:w="1878" w:type="dxa"/>
            <w:vAlign w:val="center"/>
          </w:tcPr>
          <w:p w:rsidR="0013317C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28,84</w:t>
            </w:r>
          </w:p>
        </w:tc>
      </w:tr>
      <w:tr w:rsidR="00D75888" w:rsidTr="00CC20E6">
        <w:trPr>
          <w:trHeight w:val="316"/>
        </w:trPr>
        <w:tc>
          <w:tcPr>
            <w:tcW w:w="4778" w:type="dxa"/>
            <w:shd w:val="clear" w:color="auto" w:fill="FFFFFF"/>
            <w:vAlign w:val="center"/>
          </w:tcPr>
          <w:p w:rsidR="00D75888" w:rsidRPr="00CC20E6" w:rsidRDefault="00D75888" w:rsidP="00CC20E6">
            <w:pPr>
              <w:tabs>
                <w:tab w:val="left" w:pos="567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Приходи из фондова</w:t>
            </w:r>
          </w:p>
        </w:tc>
        <w:tc>
          <w:tcPr>
            <w:tcW w:w="2614" w:type="dxa"/>
            <w:vAlign w:val="center"/>
          </w:tcPr>
          <w:p w:rsidR="00D75888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878" w:type="dxa"/>
            <w:vAlign w:val="center"/>
          </w:tcPr>
          <w:p w:rsidR="00D75888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D75888" w:rsidTr="00CC20E6">
        <w:trPr>
          <w:trHeight w:val="256"/>
        </w:trPr>
        <w:tc>
          <w:tcPr>
            <w:tcW w:w="4778" w:type="dxa"/>
            <w:vAlign w:val="center"/>
          </w:tcPr>
          <w:p w:rsidR="00D75888" w:rsidRPr="00CC20E6" w:rsidRDefault="00D75888" w:rsidP="00CC20E6">
            <w:pPr>
              <w:tabs>
                <w:tab w:val="left" w:pos="567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УКУПНО</w:t>
            </w:r>
            <w:r w:rsidR="00EC2E6A" w:rsidRPr="00CC20E6">
              <w:rPr>
                <w:rFonts w:eastAsia="Calibri"/>
                <w:sz w:val="26"/>
                <w:szCs w:val="26"/>
              </w:rPr>
              <w:t xml:space="preserve"> КМ:</w:t>
            </w:r>
          </w:p>
        </w:tc>
        <w:tc>
          <w:tcPr>
            <w:tcW w:w="2614" w:type="dxa"/>
            <w:vAlign w:val="center"/>
          </w:tcPr>
          <w:p w:rsidR="00D75888" w:rsidRPr="00CC20E6" w:rsidRDefault="008D5C92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705.148,98</w:t>
            </w:r>
          </w:p>
        </w:tc>
        <w:tc>
          <w:tcPr>
            <w:tcW w:w="1878" w:type="dxa"/>
            <w:vAlign w:val="center"/>
          </w:tcPr>
          <w:p w:rsidR="00D75888" w:rsidRPr="00CC20E6" w:rsidRDefault="00D75888" w:rsidP="00CC20E6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100%</w:t>
            </w:r>
          </w:p>
        </w:tc>
      </w:tr>
    </w:tbl>
    <w:p w:rsidR="0013317C" w:rsidRDefault="0013317C" w:rsidP="007B13CC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</w:p>
    <w:p w:rsidR="00A2541E" w:rsidRPr="00A2541E" w:rsidRDefault="00A2541E" w:rsidP="007B13CC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  <w:lang w:val="sr-Latn-BA"/>
        </w:rPr>
      </w:pPr>
      <w:r w:rsidRPr="00A2541E">
        <w:rPr>
          <w:b/>
          <w:sz w:val="26"/>
          <w:szCs w:val="26"/>
        </w:rPr>
        <w:t>Структура прихода од услуга на дан 31.12.202</w:t>
      </w:r>
      <w:r w:rsidR="000E4F64">
        <w:rPr>
          <w:b/>
          <w:sz w:val="26"/>
          <w:szCs w:val="26"/>
          <w:lang/>
        </w:rPr>
        <w:t>3</w:t>
      </w:r>
      <w:r>
        <w:rPr>
          <w:b/>
          <w:sz w:val="26"/>
          <w:szCs w:val="26"/>
          <w:lang w:val="sr-Latn-BA"/>
        </w:rPr>
        <w:t>.</w:t>
      </w:r>
    </w:p>
    <w:tbl>
      <w:tblPr>
        <w:tblW w:w="934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717"/>
        <w:gridCol w:w="1814"/>
        <w:gridCol w:w="1814"/>
      </w:tblGrid>
      <w:tr w:rsidR="00A74312" w:rsidTr="00CC20E6">
        <w:trPr>
          <w:trHeight w:val="320"/>
        </w:trPr>
        <w:tc>
          <w:tcPr>
            <w:tcW w:w="5717" w:type="dxa"/>
            <w:shd w:val="clear" w:color="auto" w:fill="FFFFFF"/>
            <w:vAlign w:val="center"/>
          </w:tcPr>
          <w:p w:rsidR="00A74312" w:rsidRPr="00CC20E6" w:rsidRDefault="00A74312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КУПАЦ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4312" w:rsidRPr="00CC20E6" w:rsidRDefault="00A74312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ИЗНОС КМ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74312" w:rsidRPr="00CC20E6" w:rsidRDefault="00A74312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ПРОЦЕНАТ</w:t>
            </w:r>
          </w:p>
        </w:tc>
      </w:tr>
      <w:tr w:rsidR="00A74312" w:rsidRPr="00A2541E" w:rsidTr="00CC20E6">
        <w:trPr>
          <w:trHeight w:val="390"/>
        </w:trPr>
        <w:tc>
          <w:tcPr>
            <w:tcW w:w="5717" w:type="dxa"/>
            <w:vAlign w:val="center"/>
          </w:tcPr>
          <w:p w:rsidR="00A74312" w:rsidRPr="00CC20E6" w:rsidRDefault="00A74312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Физичка лица - грађани</w:t>
            </w:r>
          </w:p>
        </w:tc>
        <w:tc>
          <w:tcPr>
            <w:tcW w:w="1814" w:type="dxa"/>
            <w:vAlign w:val="center"/>
          </w:tcPr>
          <w:p w:rsidR="00A74312" w:rsidRPr="00CC20E6" w:rsidRDefault="000E4F64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115.617</w:t>
            </w:r>
            <w:r w:rsidR="00B52099" w:rsidRPr="00CC20E6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814" w:type="dxa"/>
            <w:vAlign w:val="center"/>
          </w:tcPr>
          <w:p w:rsidR="00A74312" w:rsidRPr="00CC20E6" w:rsidRDefault="00762051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23,04</w:t>
            </w:r>
          </w:p>
        </w:tc>
      </w:tr>
      <w:tr w:rsidR="00A74312" w:rsidRPr="00A2541E" w:rsidTr="00CC20E6">
        <w:trPr>
          <w:trHeight w:val="390"/>
        </w:trPr>
        <w:tc>
          <w:tcPr>
            <w:tcW w:w="5717" w:type="dxa"/>
            <w:vAlign w:val="center"/>
          </w:tcPr>
          <w:p w:rsidR="00A74312" w:rsidRPr="00CC20E6" w:rsidRDefault="00A74312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Услуге коришћења градске капеле</w:t>
            </w:r>
          </w:p>
        </w:tc>
        <w:tc>
          <w:tcPr>
            <w:tcW w:w="1814" w:type="dxa"/>
            <w:vAlign w:val="center"/>
          </w:tcPr>
          <w:p w:rsidR="00A74312" w:rsidRPr="00CC20E6" w:rsidRDefault="000E4F64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45.290,00</w:t>
            </w:r>
          </w:p>
        </w:tc>
        <w:tc>
          <w:tcPr>
            <w:tcW w:w="1814" w:type="dxa"/>
            <w:vAlign w:val="center"/>
          </w:tcPr>
          <w:p w:rsidR="00A74312" w:rsidRPr="00CC20E6" w:rsidRDefault="00762051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9,03</w:t>
            </w:r>
          </w:p>
        </w:tc>
      </w:tr>
      <w:tr w:rsidR="00A74312" w:rsidRPr="00A2541E" w:rsidTr="00CC20E6">
        <w:trPr>
          <w:trHeight w:val="390"/>
        </w:trPr>
        <w:tc>
          <w:tcPr>
            <w:tcW w:w="5717" w:type="dxa"/>
            <w:vAlign w:val="center"/>
          </w:tcPr>
          <w:p w:rsidR="00A74312" w:rsidRPr="00CC20E6" w:rsidRDefault="00A74312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  <w:lang w:val="sr-Latn-CS"/>
              </w:rPr>
            </w:pPr>
            <w:r w:rsidRPr="00CC20E6">
              <w:rPr>
                <w:rFonts w:eastAsia="Calibri"/>
                <w:sz w:val="26"/>
                <w:szCs w:val="26"/>
                <w:lang w:val="sr-Latn-CS"/>
              </w:rPr>
              <w:t>Продаја гробница и гробних мјеста</w:t>
            </w:r>
          </w:p>
        </w:tc>
        <w:tc>
          <w:tcPr>
            <w:tcW w:w="1814" w:type="dxa"/>
            <w:vAlign w:val="center"/>
          </w:tcPr>
          <w:p w:rsidR="00A74312" w:rsidRPr="00CC20E6" w:rsidRDefault="000E4F64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42.471,00</w:t>
            </w:r>
          </w:p>
        </w:tc>
        <w:tc>
          <w:tcPr>
            <w:tcW w:w="1814" w:type="dxa"/>
            <w:vAlign w:val="center"/>
          </w:tcPr>
          <w:p w:rsidR="00A74312" w:rsidRPr="00CC20E6" w:rsidRDefault="00762051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8,46</w:t>
            </w:r>
          </w:p>
        </w:tc>
      </w:tr>
      <w:tr w:rsidR="00A74312" w:rsidRPr="00A2541E" w:rsidTr="00CC20E6">
        <w:trPr>
          <w:trHeight w:val="390"/>
        </w:trPr>
        <w:tc>
          <w:tcPr>
            <w:tcW w:w="5717" w:type="dxa"/>
            <w:vAlign w:val="center"/>
          </w:tcPr>
          <w:p w:rsidR="00A74312" w:rsidRPr="00CC20E6" w:rsidRDefault="007B13CC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  <w:lang w:val="sr-Latn-CS"/>
              </w:rPr>
              <w:t>Општина Билећа</w:t>
            </w:r>
            <w:r w:rsidRPr="00CC20E6">
              <w:rPr>
                <w:rFonts w:eastAsia="Calibri"/>
                <w:sz w:val="26"/>
                <w:szCs w:val="26"/>
              </w:rPr>
              <w:t xml:space="preserve"> (</w:t>
            </w:r>
            <w:r w:rsidRPr="00CC20E6">
              <w:rPr>
                <w:rFonts w:eastAsia="Calibri"/>
                <w:sz w:val="26"/>
                <w:szCs w:val="26"/>
                <w:lang w:val="sr-Latn-CS"/>
              </w:rPr>
              <w:t>јавн</w:t>
            </w:r>
            <w:r w:rsidRPr="00CC20E6">
              <w:rPr>
                <w:rFonts w:eastAsia="Calibri"/>
                <w:sz w:val="26"/>
                <w:szCs w:val="26"/>
              </w:rPr>
              <w:t>е</w:t>
            </w:r>
            <w:r w:rsidRPr="00CC20E6">
              <w:rPr>
                <w:rFonts w:eastAsia="Calibri"/>
                <w:sz w:val="26"/>
                <w:szCs w:val="26"/>
                <w:lang w:val="sr-Latn-CS"/>
              </w:rPr>
              <w:t xml:space="preserve"> повр</w:t>
            </w:r>
            <w:r w:rsidRPr="00CC20E6">
              <w:rPr>
                <w:rFonts w:eastAsia="Calibri"/>
                <w:sz w:val="26"/>
                <w:szCs w:val="26"/>
              </w:rPr>
              <w:t>шине,</w:t>
            </w:r>
            <w:r w:rsidR="00101D8C" w:rsidRPr="00CC20E6">
              <w:rPr>
                <w:rFonts w:eastAsia="Calibri"/>
                <w:sz w:val="26"/>
                <w:szCs w:val="26"/>
              </w:rPr>
              <w:t xml:space="preserve"> одр.</w:t>
            </w:r>
            <w:r w:rsidR="00A74312" w:rsidRPr="00CC20E6">
              <w:rPr>
                <w:rFonts w:eastAsia="Calibri"/>
                <w:sz w:val="26"/>
                <w:szCs w:val="26"/>
                <w:lang w:val="sr-Latn-CS"/>
              </w:rPr>
              <w:t>депонија</w:t>
            </w:r>
            <w:r w:rsidRPr="00CC20E6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814" w:type="dxa"/>
            <w:vAlign w:val="center"/>
          </w:tcPr>
          <w:p w:rsidR="00A74312" w:rsidRPr="00CC20E6" w:rsidRDefault="00D420CF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241</w:t>
            </w:r>
            <w:r w:rsidR="00217A14" w:rsidRPr="00CC20E6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  <w:lang/>
              </w:rPr>
              <w:t>951,00</w:t>
            </w:r>
          </w:p>
        </w:tc>
        <w:tc>
          <w:tcPr>
            <w:tcW w:w="1814" w:type="dxa"/>
            <w:vAlign w:val="center"/>
          </w:tcPr>
          <w:p w:rsidR="00A74312" w:rsidRPr="00CC20E6" w:rsidRDefault="00762051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48,22</w:t>
            </w:r>
          </w:p>
        </w:tc>
      </w:tr>
      <w:tr w:rsidR="00A74312" w:rsidRPr="00A2541E" w:rsidTr="00CC20E6">
        <w:trPr>
          <w:trHeight w:val="86"/>
        </w:trPr>
        <w:tc>
          <w:tcPr>
            <w:tcW w:w="5717" w:type="dxa"/>
            <w:vAlign w:val="center"/>
          </w:tcPr>
          <w:p w:rsidR="00A74312" w:rsidRPr="00CC20E6" w:rsidRDefault="00A74312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  <w:lang w:val="sr-Latn-CS"/>
              </w:rPr>
            </w:pPr>
            <w:r w:rsidRPr="00CC20E6">
              <w:rPr>
                <w:rFonts w:eastAsia="Calibri"/>
                <w:sz w:val="26"/>
                <w:szCs w:val="26"/>
                <w:lang w:val="sr-Latn-CS"/>
              </w:rPr>
              <w:t>Правна лица и предузетници</w:t>
            </w:r>
          </w:p>
        </w:tc>
        <w:tc>
          <w:tcPr>
            <w:tcW w:w="1814" w:type="dxa"/>
            <w:vAlign w:val="center"/>
          </w:tcPr>
          <w:p w:rsidR="00A74312" w:rsidRPr="00CC20E6" w:rsidRDefault="00217A14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56.431,</w:t>
            </w:r>
            <w:r w:rsidR="00746B97" w:rsidRPr="00CC20E6">
              <w:rPr>
                <w:rFonts w:eastAsia="Calibri"/>
                <w:sz w:val="26"/>
                <w:szCs w:val="26"/>
                <w:lang/>
              </w:rPr>
              <w:t>00</w:t>
            </w:r>
          </w:p>
        </w:tc>
        <w:tc>
          <w:tcPr>
            <w:tcW w:w="1814" w:type="dxa"/>
            <w:vAlign w:val="center"/>
          </w:tcPr>
          <w:p w:rsidR="00762051" w:rsidRPr="00CC20E6" w:rsidRDefault="00762051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11,25</w:t>
            </w:r>
          </w:p>
        </w:tc>
      </w:tr>
      <w:tr w:rsidR="00A74312" w:rsidRPr="00A2541E" w:rsidTr="00CC20E6">
        <w:trPr>
          <w:trHeight w:val="302"/>
        </w:trPr>
        <w:tc>
          <w:tcPr>
            <w:tcW w:w="5717" w:type="dxa"/>
            <w:vAlign w:val="center"/>
          </w:tcPr>
          <w:p w:rsidR="00A74312" w:rsidRPr="00CC20E6" w:rsidRDefault="00A74312" w:rsidP="00CC20E6">
            <w:pPr>
              <w:tabs>
                <w:tab w:val="left" w:pos="567"/>
              </w:tabs>
              <w:rPr>
                <w:rFonts w:eastAsia="Calibri"/>
                <w:sz w:val="26"/>
                <w:szCs w:val="26"/>
                <w:lang w:val="sr-Latn-CS"/>
              </w:rPr>
            </w:pPr>
            <w:r w:rsidRPr="00CC20E6">
              <w:rPr>
                <w:rFonts w:eastAsia="Calibri"/>
                <w:sz w:val="26"/>
                <w:szCs w:val="26"/>
                <w:lang w:val="sr-Latn-CS"/>
              </w:rPr>
              <w:t>УКУПНО КМ:</w:t>
            </w:r>
          </w:p>
        </w:tc>
        <w:tc>
          <w:tcPr>
            <w:tcW w:w="1814" w:type="dxa"/>
            <w:vAlign w:val="center"/>
          </w:tcPr>
          <w:p w:rsidR="00A74312" w:rsidRPr="00CC20E6" w:rsidRDefault="00D420CF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 w:rsidRPr="00CC20E6">
              <w:rPr>
                <w:rFonts w:eastAsia="Calibri"/>
                <w:sz w:val="26"/>
                <w:szCs w:val="26"/>
                <w:lang/>
              </w:rPr>
              <w:t>501</w:t>
            </w:r>
            <w:r w:rsidR="00746B97" w:rsidRPr="00CC20E6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  <w:lang/>
              </w:rPr>
              <w:t>7</w:t>
            </w:r>
            <w:r w:rsidR="00746B97" w:rsidRPr="00CC20E6">
              <w:rPr>
                <w:rFonts w:eastAsia="Calibri"/>
                <w:sz w:val="26"/>
                <w:szCs w:val="26"/>
                <w:lang/>
              </w:rPr>
              <w:t>60,00</w:t>
            </w:r>
          </w:p>
        </w:tc>
        <w:tc>
          <w:tcPr>
            <w:tcW w:w="1814" w:type="dxa"/>
            <w:vAlign w:val="center"/>
          </w:tcPr>
          <w:p w:rsidR="00A74312" w:rsidRPr="00CC20E6" w:rsidRDefault="0055719A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100%</w:t>
            </w:r>
          </w:p>
        </w:tc>
      </w:tr>
    </w:tbl>
    <w:p w:rsidR="000C42BD" w:rsidRPr="000C42BD" w:rsidRDefault="000C42BD" w:rsidP="0095716F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</w:p>
    <w:p w:rsidR="0095716F" w:rsidRPr="00A2541E" w:rsidRDefault="0095716F" w:rsidP="0095716F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6"/>
          <w:szCs w:val="26"/>
          <w:lang w:val="sr-Latn-BA"/>
        </w:rPr>
      </w:pPr>
      <w:r>
        <w:rPr>
          <w:b/>
          <w:sz w:val="26"/>
          <w:szCs w:val="26"/>
        </w:rPr>
        <w:t>Значајне ставке</w:t>
      </w:r>
      <w:r w:rsidRPr="00A254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расхода</w:t>
      </w:r>
      <w:r w:rsidRPr="00A2541E">
        <w:rPr>
          <w:b/>
          <w:sz w:val="26"/>
          <w:szCs w:val="26"/>
        </w:rPr>
        <w:t xml:space="preserve"> на дан 31.12.202</w:t>
      </w:r>
      <w:r w:rsidR="00762051">
        <w:rPr>
          <w:b/>
          <w:sz w:val="26"/>
          <w:szCs w:val="26"/>
          <w:lang/>
        </w:rPr>
        <w:t>3</w:t>
      </w:r>
      <w:r>
        <w:rPr>
          <w:b/>
          <w:sz w:val="26"/>
          <w:szCs w:val="26"/>
          <w:lang w:val="sr-Latn-BA"/>
        </w:rPr>
        <w:t>.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50"/>
        <w:gridCol w:w="1710"/>
        <w:gridCol w:w="1800"/>
      </w:tblGrid>
      <w:tr w:rsidR="0095716F" w:rsidTr="00CC20E6">
        <w:trPr>
          <w:trHeight w:val="523"/>
        </w:trPr>
        <w:tc>
          <w:tcPr>
            <w:tcW w:w="5850" w:type="dxa"/>
            <w:shd w:val="clear" w:color="auto" w:fill="FFFFFF"/>
            <w:vAlign w:val="center"/>
          </w:tcPr>
          <w:p w:rsidR="0095716F" w:rsidRPr="00CC20E6" w:rsidRDefault="0095716F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НАЗИВ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5716F" w:rsidRPr="00CC20E6" w:rsidRDefault="0095716F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ИЗНОС КМ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95716F" w:rsidRPr="00CC20E6" w:rsidRDefault="0095716F" w:rsidP="00CC20E6">
            <w:pPr>
              <w:shd w:val="clear" w:color="auto" w:fill="FFFFFF"/>
              <w:tabs>
                <w:tab w:val="left" w:pos="567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C20E6">
              <w:rPr>
                <w:rFonts w:eastAsia="Calibri"/>
                <w:b/>
                <w:sz w:val="26"/>
                <w:szCs w:val="26"/>
              </w:rPr>
              <w:t>ПРОЦЕНАТ</w:t>
            </w:r>
          </w:p>
        </w:tc>
      </w:tr>
      <w:tr w:rsidR="0095716F" w:rsidRPr="0095716F" w:rsidTr="00CC20E6">
        <w:trPr>
          <w:trHeight w:val="393"/>
        </w:trPr>
        <w:tc>
          <w:tcPr>
            <w:tcW w:w="5850" w:type="dxa"/>
            <w:vAlign w:val="bottom"/>
          </w:tcPr>
          <w:p w:rsidR="0095716F" w:rsidRPr="00CC20E6" w:rsidRDefault="00827567" w:rsidP="009A6AC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 xml:space="preserve">Трошкови </w:t>
            </w:r>
            <w:r w:rsidR="009A6AC5" w:rsidRPr="00CC20E6">
              <w:rPr>
                <w:rFonts w:eastAsia="Calibri"/>
                <w:color w:val="000000"/>
                <w:sz w:val="26"/>
                <w:szCs w:val="26"/>
              </w:rPr>
              <w:t>зарада и накнада</w:t>
            </w:r>
          </w:p>
        </w:tc>
        <w:tc>
          <w:tcPr>
            <w:tcW w:w="1710" w:type="dxa"/>
            <w:vAlign w:val="center"/>
          </w:tcPr>
          <w:p w:rsidR="0095716F" w:rsidRPr="00CC20E6" w:rsidRDefault="00061B06" w:rsidP="00694A83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551</w:t>
            </w:r>
            <w:r w:rsidR="00694A83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547</w:t>
            </w:r>
            <w:r w:rsidR="00694A83">
              <w:rPr>
                <w:rFonts w:eastAsia="Calibri"/>
                <w:sz w:val="26"/>
                <w:szCs w:val="26"/>
                <w:lang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1800" w:type="dxa"/>
            <w:vAlign w:val="center"/>
          </w:tcPr>
          <w:p w:rsidR="0095716F" w:rsidRPr="00213284" w:rsidRDefault="00213284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84,80</w:t>
            </w:r>
          </w:p>
        </w:tc>
      </w:tr>
      <w:tr w:rsidR="0095716F" w:rsidRPr="0095716F" w:rsidTr="00CC20E6">
        <w:trPr>
          <w:trHeight w:val="330"/>
        </w:trPr>
        <w:tc>
          <w:tcPr>
            <w:tcW w:w="5850" w:type="dxa"/>
            <w:vAlign w:val="bottom"/>
          </w:tcPr>
          <w:p w:rsidR="0095716F" w:rsidRPr="00CC20E6" w:rsidRDefault="0095716F" w:rsidP="00CC20E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>Трошкови</w:t>
            </w:r>
            <w:r w:rsidR="00D75888" w:rsidRPr="00CC20E6">
              <w:rPr>
                <w:rFonts w:eastAsia="Calibri"/>
                <w:color w:val="000000"/>
                <w:sz w:val="26"/>
                <w:szCs w:val="26"/>
              </w:rPr>
              <w:t xml:space="preserve"> материјала</w:t>
            </w:r>
          </w:p>
        </w:tc>
        <w:tc>
          <w:tcPr>
            <w:tcW w:w="1710" w:type="dxa"/>
            <w:vAlign w:val="center"/>
          </w:tcPr>
          <w:p w:rsidR="0095716F" w:rsidRPr="00CC20E6" w:rsidRDefault="00061B06" w:rsidP="00694A83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20</w:t>
            </w:r>
            <w:r w:rsidR="00694A83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281</w:t>
            </w:r>
            <w:r w:rsidR="00694A83">
              <w:rPr>
                <w:rFonts w:eastAsia="Calibri"/>
                <w:sz w:val="26"/>
                <w:szCs w:val="26"/>
                <w:lang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92</w:t>
            </w:r>
          </w:p>
        </w:tc>
        <w:tc>
          <w:tcPr>
            <w:tcW w:w="1800" w:type="dxa"/>
            <w:vAlign w:val="center"/>
          </w:tcPr>
          <w:p w:rsidR="0095716F" w:rsidRPr="00086279" w:rsidRDefault="00086279" w:rsidP="00086279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3,12</w:t>
            </w:r>
          </w:p>
        </w:tc>
      </w:tr>
      <w:tr w:rsidR="0095716F" w:rsidRPr="0095716F" w:rsidTr="00CC20E6">
        <w:trPr>
          <w:trHeight w:val="330"/>
        </w:trPr>
        <w:tc>
          <w:tcPr>
            <w:tcW w:w="5850" w:type="dxa"/>
            <w:vAlign w:val="bottom"/>
          </w:tcPr>
          <w:p w:rsidR="0095716F" w:rsidRPr="00CC20E6" w:rsidRDefault="0095716F" w:rsidP="00CC20E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 xml:space="preserve">Трошкови </w:t>
            </w:r>
            <w:r w:rsidR="00D75888" w:rsidRPr="00CC20E6">
              <w:rPr>
                <w:rFonts w:eastAsia="Calibri"/>
                <w:color w:val="000000"/>
                <w:sz w:val="26"/>
                <w:szCs w:val="26"/>
              </w:rPr>
              <w:t>горива и енергије</w:t>
            </w:r>
          </w:p>
        </w:tc>
        <w:tc>
          <w:tcPr>
            <w:tcW w:w="1710" w:type="dxa"/>
            <w:vAlign w:val="center"/>
          </w:tcPr>
          <w:p w:rsidR="0095716F" w:rsidRPr="00CC20E6" w:rsidRDefault="00061B06" w:rsidP="00694A83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23</w:t>
            </w:r>
            <w:r w:rsidR="00694A83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169</w:t>
            </w:r>
            <w:r w:rsidR="00694A83">
              <w:rPr>
                <w:rFonts w:eastAsia="Calibri"/>
                <w:sz w:val="26"/>
                <w:szCs w:val="26"/>
                <w:lang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91</w:t>
            </w:r>
          </w:p>
        </w:tc>
        <w:tc>
          <w:tcPr>
            <w:tcW w:w="1800" w:type="dxa"/>
            <w:vAlign w:val="center"/>
          </w:tcPr>
          <w:p w:rsidR="0095716F" w:rsidRPr="00086279" w:rsidRDefault="00086279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3,56</w:t>
            </w:r>
          </w:p>
        </w:tc>
      </w:tr>
      <w:tr w:rsidR="0095716F" w:rsidRPr="0095716F" w:rsidTr="00CC20E6">
        <w:trPr>
          <w:trHeight w:val="330"/>
        </w:trPr>
        <w:tc>
          <w:tcPr>
            <w:tcW w:w="5850" w:type="dxa"/>
            <w:vAlign w:val="bottom"/>
          </w:tcPr>
          <w:p w:rsidR="0095716F" w:rsidRPr="00CC20E6" w:rsidRDefault="0095716F" w:rsidP="00CC20E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>Трошкови амортизације</w:t>
            </w:r>
          </w:p>
        </w:tc>
        <w:tc>
          <w:tcPr>
            <w:tcW w:w="1710" w:type="dxa"/>
            <w:vAlign w:val="center"/>
          </w:tcPr>
          <w:p w:rsidR="0095716F" w:rsidRPr="00CC20E6" w:rsidRDefault="00061B06" w:rsidP="00694A83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6</w:t>
            </w:r>
            <w:r w:rsidR="00694A83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700</w:t>
            </w:r>
            <w:r w:rsidR="00694A83">
              <w:rPr>
                <w:rFonts w:eastAsia="Calibri"/>
                <w:sz w:val="26"/>
                <w:szCs w:val="26"/>
                <w:lang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1800" w:type="dxa"/>
            <w:vAlign w:val="center"/>
          </w:tcPr>
          <w:p w:rsidR="0095716F" w:rsidRPr="00034A17" w:rsidRDefault="00034A17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1,03</w:t>
            </w:r>
          </w:p>
        </w:tc>
      </w:tr>
      <w:tr w:rsidR="0095716F" w:rsidRPr="0095716F" w:rsidTr="00CC20E6">
        <w:trPr>
          <w:trHeight w:val="330"/>
        </w:trPr>
        <w:tc>
          <w:tcPr>
            <w:tcW w:w="5850" w:type="dxa"/>
            <w:vAlign w:val="bottom"/>
          </w:tcPr>
          <w:p w:rsidR="0095716F" w:rsidRPr="00CC20E6" w:rsidRDefault="002E7E2F" w:rsidP="00CC20E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>Порези, доприноси, таксе</w:t>
            </w:r>
          </w:p>
        </w:tc>
        <w:tc>
          <w:tcPr>
            <w:tcW w:w="1710" w:type="dxa"/>
            <w:vAlign w:val="center"/>
          </w:tcPr>
          <w:p w:rsidR="0095716F" w:rsidRPr="00CC20E6" w:rsidRDefault="001764FE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2</w:t>
            </w:r>
            <w:r w:rsidR="00026E5A" w:rsidRPr="00CC20E6">
              <w:rPr>
                <w:rFonts w:eastAsia="Calibri"/>
                <w:sz w:val="26"/>
                <w:szCs w:val="26"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083</w:t>
            </w:r>
            <w:r w:rsidR="00026E5A" w:rsidRPr="00CC20E6">
              <w:rPr>
                <w:rFonts w:eastAsia="Calibri"/>
                <w:sz w:val="26"/>
                <w:szCs w:val="26"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800" w:type="dxa"/>
            <w:vAlign w:val="center"/>
          </w:tcPr>
          <w:p w:rsidR="0095716F" w:rsidRPr="00034A17" w:rsidRDefault="00034A17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0,32</w:t>
            </w:r>
          </w:p>
        </w:tc>
      </w:tr>
      <w:tr w:rsidR="0095716F" w:rsidRPr="0095716F" w:rsidTr="00CC20E6">
        <w:trPr>
          <w:trHeight w:val="357"/>
        </w:trPr>
        <w:tc>
          <w:tcPr>
            <w:tcW w:w="5850" w:type="dxa"/>
            <w:vAlign w:val="bottom"/>
          </w:tcPr>
          <w:p w:rsidR="0095716F" w:rsidRPr="00CC20E6" w:rsidRDefault="00061B06" w:rsidP="00061B0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  <w:lang/>
              </w:rPr>
              <w:t>Непроизводне услуге</w:t>
            </w:r>
            <w:r w:rsidR="002E7E2F" w:rsidRPr="00CC20E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95716F" w:rsidRPr="00CC20E6" w:rsidRDefault="00061B06" w:rsidP="00694A83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4</w:t>
            </w:r>
            <w:r w:rsidR="00694A83">
              <w:rPr>
                <w:rFonts w:eastAsia="Calibri"/>
                <w:sz w:val="26"/>
                <w:szCs w:val="26"/>
                <w:lang/>
              </w:rPr>
              <w:t>.</w:t>
            </w:r>
            <w:r w:rsidRPr="00CC20E6">
              <w:rPr>
                <w:rFonts w:eastAsia="Calibri"/>
                <w:sz w:val="26"/>
                <w:szCs w:val="26"/>
              </w:rPr>
              <w:t>024</w:t>
            </w:r>
            <w:r w:rsidR="00694A83">
              <w:rPr>
                <w:rFonts w:eastAsia="Calibri"/>
                <w:sz w:val="26"/>
                <w:szCs w:val="26"/>
                <w:lang/>
              </w:rPr>
              <w:t>,</w:t>
            </w:r>
            <w:r w:rsidRPr="00CC20E6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800" w:type="dxa"/>
            <w:vAlign w:val="center"/>
          </w:tcPr>
          <w:p w:rsidR="0095716F" w:rsidRPr="00034A17" w:rsidRDefault="00034A17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0,62</w:t>
            </w:r>
          </w:p>
        </w:tc>
      </w:tr>
      <w:tr w:rsidR="002E7E2F" w:rsidRPr="0095716F" w:rsidTr="00CC20E6">
        <w:trPr>
          <w:trHeight w:val="330"/>
        </w:trPr>
        <w:tc>
          <w:tcPr>
            <w:tcW w:w="5850" w:type="dxa"/>
            <w:vAlign w:val="bottom"/>
          </w:tcPr>
          <w:p w:rsidR="002E7E2F" w:rsidRPr="00CC20E6" w:rsidRDefault="00061B06" w:rsidP="002E7E2F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>Остали трошкови</w:t>
            </w:r>
          </w:p>
        </w:tc>
        <w:tc>
          <w:tcPr>
            <w:tcW w:w="1710" w:type="dxa"/>
            <w:vAlign w:val="center"/>
          </w:tcPr>
          <w:p w:rsidR="002E7E2F" w:rsidRPr="00CC20E6" w:rsidRDefault="00694A83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31.</w:t>
            </w:r>
            <w:r w:rsidR="00061B06" w:rsidRPr="00CC20E6">
              <w:rPr>
                <w:rFonts w:eastAsia="Calibri"/>
                <w:sz w:val="26"/>
                <w:szCs w:val="26"/>
                <w:lang/>
              </w:rPr>
              <w:t>366,54</w:t>
            </w:r>
          </w:p>
        </w:tc>
        <w:tc>
          <w:tcPr>
            <w:tcW w:w="1800" w:type="dxa"/>
            <w:vAlign w:val="center"/>
          </w:tcPr>
          <w:p w:rsidR="002E7E2F" w:rsidRPr="00034A17" w:rsidRDefault="00034A17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/>
              </w:rPr>
            </w:pPr>
            <w:r>
              <w:rPr>
                <w:rFonts w:eastAsia="Calibri"/>
                <w:sz w:val="26"/>
                <w:szCs w:val="26"/>
                <w:lang/>
              </w:rPr>
              <w:t>4,82</w:t>
            </w:r>
          </w:p>
        </w:tc>
      </w:tr>
      <w:tr w:rsidR="001764FE" w:rsidRPr="0095716F" w:rsidTr="00CC20E6">
        <w:trPr>
          <w:trHeight w:val="330"/>
        </w:trPr>
        <w:tc>
          <w:tcPr>
            <w:tcW w:w="5850" w:type="dxa"/>
            <w:vAlign w:val="bottom"/>
          </w:tcPr>
          <w:p w:rsidR="001764FE" w:rsidRPr="00CC20E6" w:rsidRDefault="001764FE" w:rsidP="0022014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>ПТТ услуге и ост.произ</w:t>
            </w:r>
            <w:r w:rsidR="0022014A" w:rsidRPr="00CC20E6">
              <w:rPr>
                <w:rFonts w:eastAsia="Calibri"/>
                <w:color w:val="000000"/>
                <w:sz w:val="26"/>
                <w:szCs w:val="26"/>
              </w:rPr>
              <w:t>водне услуге</w:t>
            </w:r>
            <w:r w:rsidRPr="00CC20E6">
              <w:rPr>
                <w:rFonts w:eastAsia="Calibri"/>
                <w:color w:val="000000"/>
                <w:sz w:val="26"/>
                <w:szCs w:val="26"/>
              </w:rPr>
              <w:tab/>
            </w:r>
          </w:p>
        </w:tc>
        <w:tc>
          <w:tcPr>
            <w:tcW w:w="1710" w:type="dxa"/>
            <w:vAlign w:val="center"/>
          </w:tcPr>
          <w:p w:rsidR="001764FE" w:rsidRPr="00CC20E6" w:rsidRDefault="00061B06" w:rsidP="00213284">
            <w:pPr>
              <w:jc w:val="center"/>
              <w:rPr>
                <w:rFonts w:eastAsia="Calibri"/>
                <w:color w:val="000000"/>
                <w:lang/>
              </w:rPr>
            </w:pPr>
            <w:r w:rsidRPr="00CC20E6">
              <w:rPr>
                <w:rFonts w:eastAsia="Calibri"/>
                <w:color w:val="000000"/>
              </w:rPr>
              <w:t>11</w:t>
            </w:r>
            <w:r w:rsidR="00213284">
              <w:rPr>
                <w:rFonts w:eastAsia="Calibri"/>
                <w:color w:val="000000"/>
                <w:lang/>
              </w:rPr>
              <w:t>.</w:t>
            </w:r>
            <w:r w:rsidRPr="00CC20E6">
              <w:rPr>
                <w:rFonts w:eastAsia="Calibri"/>
                <w:color w:val="000000"/>
              </w:rPr>
              <w:t>230</w:t>
            </w:r>
            <w:r w:rsidR="00213284">
              <w:rPr>
                <w:rFonts w:eastAsia="Calibri"/>
                <w:color w:val="000000"/>
                <w:lang/>
              </w:rPr>
              <w:t>,</w:t>
            </w:r>
            <w:r w:rsidRPr="00CC20E6">
              <w:rPr>
                <w:rFonts w:eastAsia="Calibri"/>
                <w:color w:val="000000"/>
              </w:rPr>
              <w:t>27</w:t>
            </w:r>
          </w:p>
        </w:tc>
        <w:tc>
          <w:tcPr>
            <w:tcW w:w="1800" w:type="dxa"/>
            <w:vAlign w:val="center"/>
          </w:tcPr>
          <w:p w:rsidR="001764FE" w:rsidRPr="00034A17" w:rsidRDefault="008C618D" w:rsidP="00CC20E6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sz w:val="26"/>
                <w:szCs w:val="26"/>
                <w:lang/>
              </w:rPr>
            </w:pPr>
            <w:r>
              <w:rPr>
                <w:rFonts w:ascii="Calibri" w:eastAsia="Calibri" w:hAnsi="Calibri"/>
                <w:sz w:val="26"/>
                <w:szCs w:val="26"/>
                <w:lang/>
              </w:rPr>
              <w:t>1,73</w:t>
            </w:r>
          </w:p>
        </w:tc>
      </w:tr>
      <w:tr w:rsidR="001764FE" w:rsidRPr="0095716F" w:rsidTr="00CC20E6">
        <w:trPr>
          <w:trHeight w:val="357"/>
        </w:trPr>
        <w:tc>
          <w:tcPr>
            <w:tcW w:w="5850" w:type="dxa"/>
            <w:vAlign w:val="bottom"/>
          </w:tcPr>
          <w:p w:rsidR="001764FE" w:rsidRPr="00CC20E6" w:rsidRDefault="001764FE" w:rsidP="00CC20E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C20E6">
              <w:rPr>
                <w:rFonts w:eastAsia="Calibri"/>
                <w:color w:val="000000"/>
                <w:sz w:val="26"/>
                <w:szCs w:val="26"/>
              </w:rPr>
              <w:t xml:space="preserve">УКУПНО КМ: </w:t>
            </w:r>
          </w:p>
        </w:tc>
        <w:tc>
          <w:tcPr>
            <w:tcW w:w="1710" w:type="dxa"/>
            <w:vAlign w:val="bottom"/>
          </w:tcPr>
          <w:p w:rsidR="001764FE" w:rsidRPr="00CC20E6" w:rsidRDefault="00061B06" w:rsidP="00213284">
            <w:pPr>
              <w:jc w:val="center"/>
              <w:rPr>
                <w:rFonts w:eastAsia="Calibri"/>
                <w:bCs/>
                <w:color w:val="000000"/>
              </w:rPr>
            </w:pPr>
            <w:r w:rsidRPr="00CC20E6">
              <w:rPr>
                <w:rFonts w:eastAsia="Calibri"/>
                <w:bCs/>
                <w:color w:val="000000"/>
              </w:rPr>
              <w:t>650</w:t>
            </w:r>
            <w:r w:rsidRPr="00CC20E6">
              <w:rPr>
                <w:rFonts w:eastAsia="Calibri"/>
                <w:bCs/>
                <w:color w:val="000000"/>
                <w:lang/>
              </w:rPr>
              <w:t>.</w:t>
            </w:r>
            <w:r w:rsidRPr="00CC20E6">
              <w:rPr>
                <w:rFonts w:eastAsia="Calibri"/>
                <w:bCs/>
                <w:color w:val="000000"/>
              </w:rPr>
              <w:t>404</w:t>
            </w:r>
            <w:r w:rsidR="00213284">
              <w:rPr>
                <w:rFonts w:eastAsia="Calibri"/>
                <w:bCs/>
                <w:color w:val="000000"/>
                <w:lang/>
              </w:rPr>
              <w:t>,</w:t>
            </w:r>
            <w:r w:rsidRPr="00CC20E6">
              <w:rPr>
                <w:rFonts w:eastAsia="Calibri"/>
                <w:bCs/>
                <w:color w:val="000000"/>
              </w:rPr>
              <w:t>40</w:t>
            </w:r>
          </w:p>
        </w:tc>
        <w:tc>
          <w:tcPr>
            <w:tcW w:w="1800" w:type="dxa"/>
            <w:vAlign w:val="center"/>
          </w:tcPr>
          <w:p w:rsidR="001764FE" w:rsidRPr="00CC20E6" w:rsidRDefault="0055719A" w:rsidP="00CC20E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CC20E6">
              <w:rPr>
                <w:rFonts w:eastAsia="Calibri"/>
                <w:sz w:val="26"/>
                <w:szCs w:val="26"/>
              </w:rPr>
              <w:t>100%</w:t>
            </w:r>
          </w:p>
        </w:tc>
      </w:tr>
    </w:tbl>
    <w:p w:rsidR="0036013E" w:rsidRPr="00F41D68" w:rsidRDefault="001764FE" w:rsidP="00F41D68">
      <w:pPr>
        <w:tabs>
          <w:tab w:val="left" w:pos="450"/>
        </w:tabs>
        <w:jc w:val="both"/>
        <w:rPr>
          <w:sz w:val="26"/>
          <w:szCs w:val="26"/>
          <w:lang w:val="sr-Latn-BA"/>
        </w:rPr>
      </w:pPr>
      <w:r w:rsidRPr="001764FE">
        <w:rPr>
          <w:sz w:val="26"/>
          <w:szCs w:val="26"/>
        </w:rPr>
        <w:t>У ставци остали расходи, највећи дио се односи на трошкове пр</w:t>
      </w:r>
      <w:r w:rsidR="008C1875">
        <w:rPr>
          <w:sz w:val="26"/>
          <w:szCs w:val="26"/>
        </w:rPr>
        <w:t>инудне наплате и затезне камате.</w:t>
      </w:r>
      <w:r w:rsidR="00F41D68">
        <w:rPr>
          <w:sz w:val="26"/>
          <w:szCs w:val="26"/>
        </w:rPr>
        <w:tab/>
      </w:r>
      <w:r w:rsidR="00F41D68">
        <w:rPr>
          <w:sz w:val="26"/>
          <w:szCs w:val="26"/>
        </w:rPr>
        <w:tab/>
      </w:r>
      <w:r w:rsidR="00F41D68">
        <w:rPr>
          <w:sz w:val="26"/>
          <w:szCs w:val="26"/>
        </w:rPr>
        <w:tab/>
      </w:r>
      <w:r w:rsidR="00F41D68">
        <w:rPr>
          <w:sz w:val="26"/>
          <w:szCs w:val="26"/>
        </w:rPr>
        <w:tab/>
      </w:r>
      <w:r w:rsidR="00F41D68">
        <w:rPr>
          <w:sz w:val="26"/>
          <w:szCs w:val="26"/>
        </w:rPr>
        <w:tab/>
      </w:r>
      <w:r w:rsidR="00F41D68">
        <w:rPr>
          <w:sz w:val="26"/>
          <w:szCs w:val="26"/>
        </w:rPr>
        <w:tab/>
      </w:r>
    </w:p>
    <w:p w:rsidR="0036013E" w:rsidRDefault="0036013E" w:rsidP="0036013E">
      <w:pPr>
        <w:rPr>
          <w:sz w:val="26"/>
          <w:szCs w:val="26"/>
        </w:rPr>
      </w:pPr>
    </w:p>
    <w:tbl>
      <w:tblPr>
        <w:tblW w:w="9497" w:type="dxa"/>
        <w:tblInd w:w="93" w:type="dxa"/>
        <w:tblLook w:val="04A0"/>
      </w:tblPr>
      <w:tblGrid>
        <w:gridCol w:w="1003"/>
        <w:gridCol w:w="1237"/>
        <w:gridCol w:w="1102"/>
        <w:gridCol w:w="2917"/>
        <w:gridCol w:w="735"/>
        <w:gridCol w:w="2503"/>
      </w:tblGrid>
      <w:tr w:rsidR="00762051" w:rsidRPr="00762051" w:rsidTr="00F8076E">
        <w:trPr>
          <w:trHeight w:val="385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b/>
                <w:bCs/>
                <w:color w:val="000000"/>
                <w:szCs w:val="28"/>
                <w:lang w:val="sr-Latn-BA" w:eastAsia="sr-Latn-BA"/>
              </w:rPr>
            </w:pPr>
            <w:r>
              <w:rPr>
                <w:b/>
                <w:bCs/>
                <w:color w:val="000000"/>
                <w:szCs w:val="28"/>
                <w:lang w:eastAsia="sr-Latn-BA"/>
              </w:rPr>
              <w:t>Р</w:t>
            </w:r>
            <w:r w:rsidRPr="00762051">
              <w:rPr>
                <w:b/>
                <w:bCs/>
                <w:color w:val="000000"/>
                <w:szCs w:val="28"/>
                <w:lang w:val="sr-Latn-BA" w:eastAsia="sr-Latn-BA"/>
              </w:rPr>
              <w:t>.бр.</w:t>
            </w:r>
          </w:p>
        </w:tc>
        <w:tc>
          <w:tcPr>
            <w:tcW w:w="12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9662DF">
            <w:pPr>
              <w:jc w:val="center"/>
              <w:rPr>
                <w:b/>
                <w:bCs/>
                <w:color w:val="000000"/>
                <w:szCs w:val="28"/>
                <w:lang w:val="sr-Latn-BA" w:eastAsia="sr-Latn-BA"/>
              </w:rPr>
            </w:pPr>
            <w:r w:rsidRPr="00762051">
              <w:rPr>
                <w:b/>
                <w:bCs/>
                <w:color w:val="000000"/>
                <w:szCs w:val="28"/>
                <w:lang w:val="sr-Latn-BA" w:eastAsia="sr-Latn-BA"/>
              </w:rPr>
              <w:t>Назив</w:t>
            </w:r>
          </w:p>
        </w:tc>
        <w:tc>
          <w:tcPr>
            <w:tcW w:w="11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9662DF">
            <w:pPr>
              <w:jc w:val="center"/>
              <w:rPr>
                <w:b/>
                <w:bCs/>
                <w:color w:val="000000"/>
                <w:szCs w:val="28"/>
                <w:lang w:val="sr-Latn-BA" w:eastAsia="sr-Latn-BA"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9662DF">
            <w:pPr>
              <w:jc w:val="center"/>
              <w:rPr>
                <w:b/>
                <w:bCs/>
                <w:color w:val="000000"/>
                <w:szCs w:val="28"/>
                <w:lang w:val="sr-Latn-BA" w:eastAsia="sr-Latn-BA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b/>
                <w:bCs/>
                <w:color w:val="000000"/>
                <w:szCs w:val="28"/>
                <w:lang w:val="sr-Latn-BA" w:eastAsia="sr-Latn-BA"/>
              </w:rPr>
            </w:pPr>
            <w:r w:rsidRPr="00762051">
              <w:rPr>
                <w:b/>
                <w:bCs/>
                <w:color w:val="000000"/>
                <w:szCs w:val="28"/>
                <w:lang w:val="sr-Latn-BA" w:eastAsia="sr-Latn-BA"/>
              </w:rPr>
              <w:t> </w:t>
            </w:r>
          </w:p>
        </w:tc>
        <w:tc>
          <w:tcPr>
            <w:tcW w:w="250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C62166">
            <w:pPr>
              <w:jc w:val="center"/>
              <w:rPr>
                <w:b/>
                <w:bCs/>
                <w:color w:val="000000"/>
                <w:szCs w:val="28"/>
                <w:lang w:val="sr-Latn-BA" w:eastAsia="sr-Latn-BA"/>
              </w:rPr>
            </w:pPr>
            <w:r w:rsidRPr="00762051">
              <w:rPr>
                <w:b/>
                <w:bCs/>
                <w:color w:val="000000"/>
                <w:szCs w:val="28"/>
                <w:lang w:val="sr-Latn-BA" w:eastAsia="sr-Latn-BA"/>
              </w:rPr>
              <w:t>31.12.2023</w:t>
            </w:r>
          </w:p>
        </w:tc>
      </w:tr>
      <w:tr w:rsidR="00762051" w:rsidRPr="00762051" w:rsidTr="00F8076E">
        <w:trPr>
          <w:trHeight w:val="385"/>
        </w:trPr>
        <w:tc>
          <w:tcPr>
            <w:tcW w:w="10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jc w:val="center"/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1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Добитак/губит. прије опор.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C62166">
            <w:pPr>
              <w:jc w:val="center"/>
              <w:rPr>
                <w:szCs w:val="28"/>
                <w:lang w:val="sr-Latn-BA" w:eastAsia="sr-Latn-BA"/>
              </w:rPr>
            </w:pPr>
            <w:r w:rsidRPr="00762051">
              <w:rPr>
                <w:szCs w:val="28"/>
                <w:lang w:val="sr-Latn-BA" w:eastAsia="sr-Latn-BA"/>
              </w:rPr>
              <w:t>54</w:t>
            </w:r>
            <w:r w:rsidR="00C62166">
              <w:rPr>
                <w:szCs w:val="28"/>
                <w:lang w:eastAsia="sr-Latn-BA"/>
              </w:rPr>
              <w:t>.</w:t>
            </w:r>
            <w:r w:rsidRPr="00762051">
              <w:rPr>
                <w:szCs w:val="28"/>
                <w:lang w:val="sr-Latn-BA" w:eastAsia="sr-Latn-BA"/>
              </w:rPr>
              <w:t>744</w:t>
            </w:r>
            <w:r w:rsidR="00C62166">
              <w:rPr>
                <w:szCs w:val="28"/>
                <w:lang w:eastAsia="sr-Latn-BA"/>
              </w:rPr>
              <w:t>,</w:t>
            </w:r>
            <w:r w:rsidRPr="00762051">
              <w:rPr>
                <w:szCs w:val="28"/>
                <w:lang w:val="sr-Latn-BA" w:eastAsia="sr-Latn-BA"/>
              </w:rPr>
              <w:t>58</w:t>
            </w:r>
          </w:p>
        </w:tc>
      </w:tr>
      <w:tr w:rsidR="00762051" w:rsidRPr="00762051" w:rsidTr="00F8076E">
        <w:trPr>
          <w:trHeight w:val="385"/>
        </w:trPr>
        <w:tc>
          <w:tcPr>
            <w:tcW w:w="10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jc w:val="center"/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2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51" w:rsidRPr="00762051" w:rsidRDefault="00520814" w:rsidP="00762051">
            <w:pPr>
              <w:rPr>
                <w:color w:val="000000"/>
                <w:szCs w:val="28"/>
                <w:lang w:val="sr-Latn-BA" w:eastAsia="sr-Latn-BA"/>
              </w:rPr>
            </w:pPr>
            <w:r>
              <w:rPr>
                <w:color w:val="000000"/>
                <w:szCs w:val="28"/>
                <w:lang w:val="sr-Latn-BA" w:eastAsia="sr-Latn-BA"/>
              </w:rPr>
              <w:t>Порез на добит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 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C62166">
            <w:pPr>
              <w:jc w:val="center"/>
              <w:rPr>
                <w:szCs w:val="28"/>
                <w:lang w:val="sr-Latn-BA" w:eastAsia="sr-Latn-BA"/>
              </w:rPr>
            </w:pPr>
            <w:r w:rsidRPr="00762051">
              <w:rPr>
                <w:szCs w:val="28"/>
                <w:lang w:val="sr-Latn-BA" w:eastAsia="sr-Latn-BA"/>
              </w:rPr>
              <w:t>5</w:t>
            </w:r>
            <w:r w:rsidR="00C62166">
              <w:rPr>
                <w:szCs w:val="28"/>
                <w:lang w:eastAsia="sr-Latn-BA"/>
              </w:rPr>
              <w:t>.</w:t>
            </w:r>
            <w:r w:rsidRPr="00762051">
              <w:rPr>
                <w:szCs w:val="28"/>
                <w:lang w:val="sr-Latn-BA" w:eastAsia="sr-Latn-BA"/>
              </w:rPr>
              <w:t>474</w:t>
            </w:r>
            <w:r w:rsidR="00C62166">
              <w:rPr>
                <w:szCs w:val="28"/>
                <w:lang w:eastAsia="sr-Latn-BA"/>
              </w:rPr>
              <w:t>,</w:t>
            </w:r>
            <w:r w:rsidRPr="00762051">
              <w:rPr>
                <w:szCs w:val="28"/>
                <w:lang w:val="sr-Latn-BA" w:eastAsia="sr-Latn-BA"/>
              </w:rPr>
              <w:t>46</w:t>
            </w:r>
          </w:p>
        </w:tc>
      </w:tr>
      <w:tr w:rsidR="00762051" w:rsidRPr="00762051" w:rsidTr="00F8076E">
        <w:trPr>
          <w:trHeight w:val="385"/>
        </w:trPr>
        <w:tc>
          <w:tcPr>
            <w:tcW w:w="100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jc w:val="center"/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520814" w:rsidP="00762051">
            <w:pPr>
              <w:rPr>
                <w:color w:val="000000"/>
                <w:szCs w:val="28"/>
                <w:lang w:val="sr-Latn-BA" w:eastAsia="sr-Latn-BA"/>
              </w:rPr>
            </w:pPr>
            <w:r>
              <w:rPr>
                <w:color w:val="000000"/>
                <w:szCs w:val="28"/>
                <w:lang w:val="sr-Latn-BA" w:eastAsia="sr-Latn-BA"/>
              </w:rPr>
              <w:t>Нето добит</w:t>
            </w:r>
          </w:p>
        </w:tc>
        <w:tc>
          <w:tcPr>
            <w:tcW w:w="29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762051">
            <w:pPr>
              <w:rPr>
                <w:color w:val="000000"/>
                <w:szCs w:val="28"/>
                <w:lang w:val="sr-Latn-BA" w:eastAsia="sr-Latn-BA"/>
              </w:rPr>
            </w:pPr>
            <w:r w:rsidRPr="00762051">
              <w:rPr>
                <w:color w:val="000000"/>
                <w:szCs w:val="28"/>
                <w:lang w:val="sr-Latn-BA" w:eastAsia="sr-Latn-BA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62051" w:rsidRPr="00762051" w:rsidRDefault="00762051" w:rsidP="009662DF">
            <w:pPr>
              <w:jc w:val="center"/>
              <w:rPr>
                <w:szCs w:val="28"/>
                <w:lang w:val="sr-Latn-BA" w:eastAsia="sr-Latn-BA"/>
              </w:rPr>
            </w:pPr>
            <w:r w:rsidRPr="00762051">
              <w:rPr>
                <w:szCs w:val="28"/>
                <w:lang w:val="sr-Latn-BA" w:eastAsia="sr-Latn-BA"/>
              </w:rPr>
              <w:t>49</w:t>
            </w:r>
            <w:r w:rsidR="009662DF">
              <w:rPr>
                <w:szCs w:val="28"/>
                <w:lang w:eastAsia="sr-Latn-BA"/>
              </w:rPr>
              <w:t>.</w:t>
            </w:r>
            <w:r w:rsidRPr="00762051">
              <w:rPr>
                <w:szCs w:val="28"/>
                <w:lang w:val="sr-Latn-BA" w:eastAsia="sr-Latn-BA"/>
              </w:rPr>
              <w:t>270</w:t>
            </w:r>
            <w:r w:rsidR="009662DF">
              <w:rPr>
                <w:szCs w:val="28"/>
                <w:lang w:eastAsia="sr-Latn-BA"/>
              </w:rPr>
              <w:t>,</w:t>
            </w:r>
            <w:r w:rsidRPr="00762051">
              <w:rPr>
                <w:szCs w:val="28"/>
                <w:lang w:val="sr-Latn-BA" w:eastAsia="sr-Latn-BA"/>
              </w:rPr>
              <w:t>12</w:t>
            </w:r>
          </w:p>
        </w:tc>
      </w:tr>
    </w:tbl>
    <w:p w:rsidR="00762051" w:rsidRDefault="00762051" w:rsidP="00762051">
      <w:pPr>
        <w:tabs>
          <w:tab w:val="left" w:pos="567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 току 2023. године, ЈП „Комус</w:t>
      </w:r>
      <w:r w:rsidR="00E36515">
        <w:rPr>
          <w:sz w:val="26"/>
          <w:szCs w:val="26"/>
          <w:lang/>
        </w:rPr>
        <w:t>“ а.д.</w:t>
      </w:r>
      <w:r>
        <w:rPr>
          <w:sz w:val="26"/>
          <w:szCs w:val="26"/>
        </w:rPr>
        <w:t xml:space="preserve"> је остварио добит у износу  49.270,12 </w:t>
      </w:r>
      <w:r w:rsidRPr="0036013E">
        <w:rPr>
          <w:sz w:val="26"/>
          <w:szCs w:val="26"/>
        </w:rPr>
        <w:t>КМ.</w:t>
      </w:r>
    </w:p>
    <w:p w:rsidR="0036013E" w:rsidRPr="004142A8" w:rsidRDefault="004F04A9" w:rsidP="00C26E97">
      <w:pPr>
        <w:tabs>
          <w:tab w:val="left" w:pos="7125"/>
        </w:tabs>
        <w:rPr>
          <w:sz w:val="26"/>
          <w:szCs w:val="26"/>
        </w:rPr>
      </w:pPr>
      <w:r>
        <w:rPr>
          <w:sz w:val="26"/>
          <w:szCs w:val="26"/>
          <w:lang/>
        </w:rPr>
        <w:t xml:space="preserve">                                                                                                                 </w:t>
      </w:r>
      <w:r w:rsidR="00CC5941">
        <w:rPr>
          <w:b/>
          <w:sz w:val="26"/>
          <w:szCs w:val="26"/>
        </w:rPr>
        <w:t>ВД директора</w:t>
      </w:r>
    </w:p>
    <w:p w:rsidR="0036013E" w:rsidRPr="00876114" w:rsidRDefault="0036013E" w:rsidP="0036013E">
      <w:pPr>
        <w:tabs>
          <w:tab w:val="left" w:pos="71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 w:rsidR="00876114">
        <w:rPr>
          <w:b/>
          <w:sz w:val="26"/>
          <w:szCs w:val="26"/>
        </w:rPr>
        <w:t xml:space="preserve">                       </w:t>
      </w:r>
      <w:r w:rsidR="00876114">
        <w:rPr>
          <w:sz w:val="26"/>
          <w:szCs w:val="26"/>
        </w:rPr>
        <w:t xml:space="preserve">  </w:t>
      </w:r>
      <w:r w:rsidR="004F04A9">
        <w:rPr>
          <w:sz w:val="26"/>
          <w:szCs w:val="26"/>
          <w:lang/>
        </w:rPr>
        <w:t xml:space="preserve">        </w:t>
      </w:r>
      <w:r w:rsidR="00876114">
        <w:rPr>
          <w:sz w:val="26"/>
          <w:szCs w:val="26"/>
        </w:rPr>
        <w:t xml:space="preserve"> </w:t>
      </w:r>
      <w:r w:rsidR="00CC5941">
        <w:rPr>
          <w:sz w:val="26"/>
          <w:szCs w:val="26"/>
        </w:rPr>
        <w:t>Данијела Капор</w:t>
      </w:r>
    </w:p>
    <w:sectPr w:rsidR="0036013E" w:rsidRPr="00876114" w:rsidSect="004F04A9">
      <w:footerReference w:type="default" r:id="rId8"/>
      <w:pgSz w:w="11906" w:h="16838"/>
      <w:pgMar w:top="426" w:right="1417" w:bottom="108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51" w:rsidRDefault="003F2951" w:rsidP="00DA0A2A">
      <w:r>
        <w:separator/>
      </w:r>
    </w:p>
  </w:endnote>
  <w:endnote w:type="continuationSeparator" w:id="1">
    <w:p w:rsidR="003F2951" w:rsidRDefault="003F2951" w:rsidP="00DA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CC" w:rsidRDefault="00451836" w:rsidP="008E3285">
    <w:pPr>
      <w:pStyle w:val="Footer"/>
      <w:jc w:val="center"/>
    </w:pPr>
    <w:fldSimple w:instr=" PAGE   \* MERGEFORMAT ">
      <w:r w:rsidR="00520814">
        <w:rPr>
          <w:noProof/>
        </w:rPr>
        <w:t>2</w:t>
      </w:r>
    </w:fldSimple>
  </w:p>
  <w:p w:rsidR="008F01CC" w:rsidRDefault="008F0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51" w:rsidRDefault="003F2951" w:rsidP="00DA0A2A">
      <w:r>
        <w:separator/>
      </w:r>
    </w:p>
  </w:footnote>
  <w:footnote w:type="continuationSeparator" w:id="1">
    <w:p w:rsidR="003F2951" w:rsidRDefault="003F2951" w:rsidP="00DA0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323"/>
    <w:multiLevelType w:val="hybridMultilevel"/>
    <w:tmpl w:val="D9807BB8"/>
    <w:lvl w:ilvl="0" w:tplc="80E2BDA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C2D05"/>
    <w:multiLevelType w:val="hybridMultilevel"/>
    <w:tmpl w:val="18FCE8DC"/>
    <w:lvl w:ilvl="0" w:tplc="80DCF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61B4"/>
    <w:multiLevelType w:val="hybridMultilevel"/>
    <w:tmpl w:val="8C0C446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5F8"/>
    <w:multiLevelType w:val="hybridMultilevel"/>
    <w:tmpl w:val="A848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5E35"/>
    <w:multiLevelType w:val="hybridMultilevel"/>
    <w:tmpl w:val="D19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E26C5"/>
    <w:multiLevelType w:val="hybridMultilevel"/>
    <w:tmpl w:val="E078103E"/>
    <w:lvl w:ilvl="0" w:tplc="F9A842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4721"/>
    <w:multiLevelType w:val="hybridMultilevel"/>
    <w:tmpl w:val="EDBE55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80159"/>
    <w:multiLevelType w:val="hybridMultilevel"/>
    <w:tmpl w:val="0EDA3F6A"/>
    <w:lvl w:ilvl="0" w:tplc="D34827CC"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45359"/>
    <w:multiLevelType w:val="hybridMultilevel"/>
    <w:tmpl w:val="5002D14C"/>
    <w:lvl w:ilvl="0" w:tplc="F94206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44D93"/>
    <w:multiLevelType w:val="hybridMultilevel"/>
    <w:tmpl w:val="901AA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1363C"/>
    <w:multiLevelType w:val="hybridMultilevel"/>
    <w:tmpl w:val="917829F6"/>
    <w:lvl w:ilvl="0" w:tplc="D34827CC"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64532"/>
    <w:multiLevelType w:val="hybridMultilevel"/>
    <w:tmpl w:val="BD30658C"/>
    <w:lvl w:ilvl="0" w:tplc="D34827CC"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0E6"/>
    <w:rsid w:val="000075D7"/>
    <w:rsid w:val="00010689"/>
    <w:rsid w:val="000116F9"/>
    <w:rsid w:val="0001294A"/>
    <w:rsid w:val="00012BB3"/>
    <w:rsid w:val="000133AC"/>
    <w:rsid w:val="00023BCE"/>
    <w:rsid w:val="00024892"/>
    <w:rsid w:val="0002608C"/>
    <w:rsid w:val="00026E5A"/>
    <w:rsid w:val="00031A7A"/>
    <w:rsid w:val="00033C73"/>
    <w:rsid w:val="00034A17"/>
    <w:rsid w:val="00034F81"/>
    <w:rsid w:val="00043080"/>
    <w:rsid w:val="0004742E"/>
    <w:rsid w:val="00052756"/>
    <w:rsid w:val="0006009C"/>
    <w:rsid w:val="00061B06"/>
    <w:rsid w:val="0006289A"/>
    <w:rsid w:val="00066E3D"/>
    <w:rsid w:val="00070022"/>
    <w:rsid w:val="0007364F"/>
    <w:rsid w:val="00081269"/>
    <w:rsid w:val="00081408"/>
    <w:rsid w:val="00082C30"/>
    <w:rsid w:val="000855F6"/>
    <w:rsid w:val="00086279"/>
    <w:rsid w:val="00086445"/>
    <w:rsid w:val="00086AC9"/>
    <w:rsid w:val="00087A2B"/>
    <w:rsid w:val="00090AAB"/>
    <w:rsid w:val="000A125F"/>
    <w:rsid w:val="000A1489"/>
    <w:rsid w:val="000A1BE2"/>
    <w:rsid w:val="000A2332"/>
    <w:rsid w:val="000A3962"/>
    <w:rsid w:val="000B4B4C"/>
    <w:rsid w:val="000C02B5"/>
    <w:rsid w:val="000C0E18"/>
    <w:rsid w:val="000C3CBF"/>
    <w:rsid w:val="000C42BD"/>
    <w:rsid w:val="000C4DBA"/>
    <w:rsid w:val="000C632E"/>
    <w:rsid w:val="000C75C6"/>
    <w:rsid w:val="000D0988"/>
    <w:rsid w:val="000D22FD"/>
    <w:rsid w:val="000D272E"/>
    <w:rsid w:val="000E4F64"/>
    <w:rsid w:val="000E5899"/>
    <w:rsid w:val="000F082F"/>
    <w:rsid w:val="000F5736"/>
    <w:rsid w:val="00101D8C"/>
    <w:rsid w:val="00102838"/>
    <w:rsid w:val="001054B9"/>
    <w:rsid w:val="00107F75"/>
    <w:rsid w:val="0011353D"/>
    <w:rsid w:val="00117667"/>
    <w:rsid w:val="001231F2"/>
    <w:rsid w:val="00131CD9"/>
    <w:rsid w:val="0013317C"/>
    <w:rsid w:val="001344A5"/>
    <w:rsid w:val="00135F39"/>
    <w:rsid w:val="00137F9B"/>
    <w:rsid w:val="001417A4"/>
    <w:rsid w:val="001417F7"/>
    <w:rsid w:val="0014237A"/>
    <w:rsid w:val="0014789D"/>
    <w:rsid w:val="00150B4C"/>
    <w:rsid w:val="00151C13"/>
    <w:rsid w:val="001540B9"/>
    <w:rsid w:val="00160C87"/>
    <w:rsid w:val="00161AD4"/>
    <w:rsid w:val="001652FC"/>
    <w:rsid w:val="00174E54"/>
    <w:rsid w:val="001764FE"/>
    <w:rsid w:val="00176E0B"/>
    <w:rsid w:val="00177E7A"/>
    <w:rsid w:val="00180AE9"/>
    <w:rsid w:val="00181591"/>
    <w:rsid w:val="00187364"/>
    <w:rsid w:val="001916B9"/>
    <w:rsid w:val="001918FE"/>
    <w:rsid w:val="00194DC8"/>
    <w:rsid w:val="001A406F"/>
    <w:rsid w:val="001A5544"/>
    <w:rsid w:val="001A7E93"/>
    <w:rsid w:val="001B07D5"/>
    <w:rsid w:val="001B5AD9"/>
    <w:rsid w:val="001B6802"/>
    <w:rsid w:val="001B79F7"/>
    <w:rsid w:val="001C0356"/>
    <w:rsid w:val="001C4352"/>
    <w:rsid w:val="001C534C"/>
    <w:rsid w:val="001C6867"/>
    <w:rsid w:val="001C79F2"/>
    <w:rsid w:val="001D1610"/>
    <w:rsid w:val="001E15EC"/>
    <w:rsid w:val="001E5470"/>
    <w:rsid w:val="001F3B56"/>
    <w:rsid w:val="001F452D"/>
    <w:rsid w:val="001F5E4B"/>
    <w:rsid w:val="001F68E0"/>
    <w:rsid w:val="00201EB3"/>
    <w:rsid w:val="00203125"/>
    <w:rsid w:val="002038B0"/>
    <w:rsid w:val="002063F7"/>
    <w:rsid w:val="00210D24"/>
    <w:rsid w:val="00213284"/>
    <w:rsid w:val="00217A14"/>
    <w:rsid w:val="0022014A"/>
    <w:rsid w:val="0022244A"/>
    <w:rsid w:val="00225577"/>
    <w:rsid w:val="00225943"/>
    <w:rsid w:val="0022654B"/>
    <w:rsid w:val="00230857"/>
    <w:rsid w:val="00233728"/>
    <w:rsid w:val="0023666A"/>
    <w:rsid w:val="0023720F"/>
    <w:rsid w:val="00237BA3"/>
    <w:rsid w:val="002404D8"/>
    <w:rsid w:val="002426CD"/>
    <w:rsid w:val="00244455"/>
    <w:rsid w:val="00244526"/>
    <w:rsid w:val="00247E04"/>
    <w:rsid w:val="002545DC"/>
    <w:rsid w:val="00257F5A"/>
    <w:rsid w:val="00267AB2"/>
    <w:rsid w:val="0027524D"/>
    <w:rsid w:val="0027642D"/>
    <w:rsid w:val="00276536"/>
    <w:rsid w:val="00282F64"/>
    <w:rsid w:val="00283872"/>
    <w:rsid w:val="00293163"/>
    <w:rsid w:val="002B2B0F"/>
    <w:rsid w:val="002B518B"/>
    <w:rsid w:val="002B53E6"/>
    <w:rsid w:val="002B6ED3"/>
    <w:rsid w:val="002C440E"/>
    <w:rsid w:val="002C6408"/>
    <w:rsid w:val="002D1EB5"/>
    <w:rsid w:val="002D3D6F"/>
    <w:rsid w:val="002D3FFA"/>
    <w:rsid w:val="002D5C5F"/>
    <w:rsid w:val="002D7B18"/>
    <w:rsid w:val="002E0225"/>
    <w:rsid w:val="002E1EFE"/>
    <w:rsid w:val="002E2D8C"/>
    <w:rsid w:val="002E7E2F"/>
    <w:rsid w:val="002E7F06"/>
    <w:rsid w:val="002F6E3B"/>
    <w:rsid w:val="00302490"/>
    <w:rsid w:val="00304E0E"/>
    <w:rsid w:val="003058AF"/>
    <w:rsid w:val="003071C1"/>
    <w:rsid w:val="0030748E"/>
    <w:rsid w:val="00322685"/>
    <w:rsid w:val="00326833"/>
    <w:rsid w:val="0033152C"/>
    <w:rsid w:val="00334EF6"/>
    <w:rsid w:val="00337A57"/>
    <w:rsid w:val="00341F78"/>
    <w:rsid w:val="0034455D"/>
    <w:rsid w:val="00347A7A"/>
    <w:rsid w:val="00351F4C"/>
    <w:rsid w:val="00356446"/>
    <w:rsid w:val="0036013E"/>
    <w:rsid w:val="00363B90"/>
    <w:rsid w:val="00364024"/>
    <w:rsid w:val="0036414A"/>
    <w:rsid w:val="00365905"/>
    <w:rsid w:val="00367619"/>
    <w:rsid w:val="003750A3"/>
    <w:rsid w:val="003808BB"/>
    <w:rsid w:val="00380C35"/>
    <w:rsid w:val="00380FCF"/>
    <w:rsid w:val="00382E1C"/>
    <w:rsid w:val="00387473"/>
    <w:rsid w:val="003935CC"/>
    <w:rsid w:val="00394429"/>
    <w:rsid w:val="003A3190"/>
    <w:rsid w:val="003A3B18"/>
    <w:rsid w:val="003B432C"/>
    <w:rsid w:val="003C04B2"/>
    <w:rsid w:val="003C0C6F"/>
    <w:rsid w:val="003C7129"/>
    <w:rsid w:val="003D1A2B"/>
    <w:rsid w:val="003D3CC5"/>
    <w:rsid w:val="003E359D"/>
    <w:rsid w:val="003E3764"/>
    <w:rsid w:val="003E585B"/>
    <w:rsid w:val="003E643C"/>
    <w:rsid w:val="003F107E"/>
    <w:rsid w:val="003F1EE2"/>
    <w:rsid w:val="003F1F21"/>
    <w:rsid w:val="003F2951"/>
    <w:rsid w:val="003F42BB"/>
    <w:rsid w:val="0040033A"/>
    <w:rsid w:val="004017B1"/>
    <w:rsid w:val="00402EF2"/>
    <w:rsid w:val="004041E9"/>
    <w:rsid w:val="00410C3F"/>
    <w:rsid w:val="00411040"/>
    <w:rsid w:val="004142A8"/>
    <w:rsid w:val="004151CD"/>
    <w:rsid w:val="00416464"/>
    <w:rsid w:val="00417089"/>
    <w:rsid w:val="004207E3"/>
    <w:rsid w:val="00423F2C"/>
    <w:rsid w:val="004240EB"/>
    <w:rsid w:val="00427D0B"/>
    <w:rsid w:val="004332FF"/>
    <w:rsid w:val="00440570"/>
    <w:rsid w:val="004420FC"/>
    <w:rsid w:val="00442A56"/>
    <w:rsid w:val="00442CFE"/>
    <w:rsid w:val="0044454A"/>
    <w:rsid w:val="00444811"/>
    <w:rsid w:val="00450280"/>
    <w:rsid w:val="00450ECA"/>
    <w:rsid w:val="004513FE"/>
    <w:rsid w:val="00451836"/>
    <w:rsid w:val="004557FB"/>
    <w:rsid w:val="004616B7"/>
    <w:rsid w:val="00461B00"/>
    <w:rsid w:val="004714A1"/>
    <w:rsid w:val="004754FC"/>
    <w:rsid w:val="00491CE5"/>
    <w:rsid w:val="0049245E"/>
    <w:rsid w:val="00495E98"/>
    <w:rsid w:val="00497036"/>
    <w:rsid w:val="004A2643"/>
    <w:rsid w:val="004A2DBC"/>
    <w:rsid w:val="004A394F"/>
    <w:rsid w:val="004A75C1"/>
    <w:rsid w:val="004B3EC4"/>
    <w:rsid w:val="004B4E9A"/>
    <w:rsid w:val="004C3089"/>
    <w:rsid w:val="004D504B"/>
    <w:rsid w:val="004D6D26"/>
    <w:rsid w:val="004E0F76"/>
    <w:rsid w:val="004E43AB"/>
    <w:rsid w:val="004E54C6"/>
    <w:rsid w:val="004E6C73"/>
    <w:rsid w:val="004E75B5"/>
    <w:rsid w:val="004F04A9"/>
    <w:rsid w:val="004F4A7C"/>
    <w:rsid w:val="004F7DB3"/>
    <w:rsid w:val="00510797"/>
    <w:rsid w:val="00511DCD"/>
    <w:rsid w:val="005120C7"/>
    <w:rsid w:val="00512358"/>
    <w:rsid w:val="00512D59"/>
    <w:rsid w:val="00520814"/>
    <w:rsid w:val="0052487E"/>
    <w:rsid w:val="00527DFE"/>
    <w:rsid w:val="00532FBD"/>
    <w:rsid w:val="00535E9A"/>
    <w:rsid w:val="00537AE5"/>
    <w:rsid w:val="00541102"/>
    <w:rsid w:val="005425F0"/>
    <w:rsid w:val="00542CEC"/>
    <w:rsid w:val="0054571A"/>
    <w:rsid w:val="0054606F"/>
    <w:rsid w:val="00546CD2"/>
    <w:rsid w:val="005473D3"/>
    <w:rsid w:val="005478FD"/>
    <w:rsid w:val="00554F57"/>
    <w:rsid w:val="005552DE"/>
    <w:rsid w:val="0055719A"/>
    <w:rsid w:val="005644C2"/>
    <w:rsid w:val="00565B0C"/>
    <w:rsid w:val="00566BAE"/>
    <w:rsid w:val="005706CF"/>
    <w:rsid w:val="005747B9"/>
    <w:rsid w:val="0057676B"/>
    <w:rsid w:val="00581B9B"/>
    <w:rsid w:val="00587975"/>
    <w:rsid w:val="00590249"/>
    <w:rsid w:val="00591D5C"/>
    <w:rsid w:val="005A1C7C"/>
    <w:rsid w:val="005A20EB"/>
    <w:rsid w:val="005A2945"/>
    <w:rsid w:val="005B013A"/>
    <w:rsid w:val="005B138B"/>
    <w:rsid w:val="005B1702"/>
    <w:rsid w:val="005B2E2C"/>
    <w:rsid w:val="005B5C1C"/>
    <w:rsid w:val="005B7253"/>
    <w:rsid w:val="005C4429"/>
    <w:rsid w:val="005C5193"/>
    <w:rsid w:val="005C63E2"/>
    <w:rsid w:val="005D5E6A"/>
    <w:rsid w:val="005D6D88"/>
    <w:rsid w:val="005E376C"/>
    <w:rsid w:val="005F3598"/>
    <w:rsid w:val="00602873"/>
    <w:rsid w:val="00611944"/>
    <w:rsid w:val="00614D03"/>
    <w:rsid w:val="00622DA9"/>
    <w:rsid w:val="006324D5"/>
    <w:rsid w:val="006335CE"/>
    <w:rsid w:val="00635C8D"/>
    <w:rsid w:val="006369E6"/>
    <w:rsid w:val="00642734"/>
    <w:rsid w:val="00655A80"/>
    <w:rsid w:val="00656621"/>
    <w:rsid w:val="006571A1"/>
    <w:rsid w:val="00663FFA"/>
    <w:rsid w:val="006646EC"/>
    <w:rsid w:val="00676303"/>
    <w:rsid w:val="0068023C"/>
    <w:rsid w:val="00687FDE"/>
    <w:rsid w:val="00690639"/>
    <w:rsid w:val="00694A83"/>
    <w:rsid w:val="00695A75"/>
    <w:rsid w:val="006969F3"/>
    <w:rsid w:val="006A5232"/>
    <w:rsid w:val="006B08FD"/>
    <w:rsid w:val="006C336F"/>
    <w:rsid w:val="006D057A"/>
    <w:rsid w:val="006D6FDE"/>
    <w:rsid w:val="006E38B1"/>
    <w:rsid w:val="006E5D8E"/>
    <w:rsid w:val="006E79DF"/>
    <w:rsid w:val="006F0A9A"/>
    <w:rsid w:val="006F38F4"/>
    <w:rsid w:val="006F3CD9"/>
    <w:rsid w:val="006F64D3"/>
    <w:rsid w:val="007020E9"/>
    <w:rsid w:val="0070440D"/>
    <w:rsid w:val="007045FF"/>
    <w:rsid w:val="00713333"/>
    <w:rsid w:val="00714A93"/>
    <w:rsid w:val="007152C0"/>
    <w:rsid w:val="00721754"/>
    <w:rsid w:val="00724E5C"/>
    <w:rsid w:val="00724FB1"/>
    <w:rsid w:val="00726E9F"/>
    <w:rsid w:val="00727456"/>
    <w:rsid w:val="00731BEC"/>
    <w:rsid w:val="00736A87"/>
    <w:rsid w:val="00740523"/>
    <w:rsid w:val="007421EC"/>
    <w:rsid w:val="00742E03"/>
    <w:rsid w:val="00746B97"/>
    <w:rsid w:val="007503A3"/>
    <w:rsid w:val="00755ECB"/>
    <w:rsid w:val="00757763"/>
    <w:rsid w:val="00762051"/>
    <w:rsid w:val="00762500"/>
    <w:rsid w:val="00773D89"/>
    <w:rsid w:val="0077579F"/>
    <w:rsid w:val="00783286"/>
    <w:rsid w:val="00784BEC"/>
    <w:rsid w:val="00785506"/>
    <w:rsid w:val="007861A6"/>
    <w:rsid w:val="00790D8F"/>
    <w:rsid w:val="0079292A"/>
    <w:rsid w:val="0079342C"/>
    <w:rsid w:val="00794009"/>
    <w:rsid w:val="00795574"/>
    <w:rsid w:val="007957C5"/>
    <w:rsid w:val="007967B7"/>
    <w:rsid w:val="007A0D96"/>
    <w:rsid w:val="007A2F36"/>
    <w:rsid w:val="007A5873"/>
    <w:rsid w:val="007A5B02"/>
    <w:rsid w:val="007B0B73"/>
    <w:rsid w:val="007B13CC"/>
    <w:rsid w:val="007B4139"/>
    <w:rsid w:val="007C31EC"/>
    <w:rsid w:val="007C48B5"/>
    <w:rsid w:val="007C49BF"/>
    <w:rsid w:val="007C5E44"/>
    <w:rsid w:val="007C7148"/>
    <w:rsid w:val="007D23CF"/>
    <w:rsid w:val="007D302E"/>
    <w:rsid w:val="007D4D1C"/>
    <w:rsid w:val="007E483F"/>
    <w:rsid w:val="007E5D88"/>
    <w:rsid w:val="007E64A6"/>
    <w:rsid w:val="007E6998"/>
    <w:rsid w:val="007E72C5"/>
    <w:rsid w:val="007F04BD"/>
    <w:rsid w:val="0080104C"/>
    <w:rsid w:val="00807373"/>
    <w:rsid w:val="00807817"/>
    <w:rsid w:val="00810B63"/>
    <w:rsid w:val="008127E6"/>
    <w:rsid w:val="0081725B"/>
    <w:rsid w:val="0082564E"/>
    <w:rsid w:val="00826D45"/>
    <w:rsid w:val="00827567"/>
    <w:rsid w:val="00834A67"/>
    <w:rsid w:val="00834A90"/>
    <w:rsid w:val="00837C96"/>
    <w:rsid w:val="008443CE"/>
    <w:rsid w:val="00844FE2"/>
    <w:rsid w:val="00845171"/>
    <w:rsid w:val="00852EDE"/>
    <w:rsid w:val="008541B0"/>
    <w:rsid w:val="00854F54"/>
    <w:rsid w:val="00855AB3"/>
    <w:rsid w:val="00857332"/>
    <w:rsid w:val="0085781C"/>
    <w:rsid w:val="00874C5F"/>
    <w:rsid w:val="00876114"/>
    <w:rsid w:val="008854C3"/>
    <w:rsid w:val="0088645D"/>
    <w:rsid w:val="008A009A"/>
    <w:rsid w:val="008A022F"/>
    <w:rsid w:val="008A4529"/>
    <w:rsid w:val="008A5AB2"/>
    <w:rsid w:val="008A61EA"/>
    <w:rsid w:val="008B088D"/>
    <w:rsid w:val="008B0B8F"/>
    <w:rsid w:val="008C1875"/>
    <w:rsid w:val="008C4555"/>
    <w:rsid w:val="008C464F"/>
    <w:rsid w:val="008C618D"/>
    <w:rsid w:val="008C7FAF"/>
    <w:rsid w:val="008D0294"/>
    <w:rsid w:val="008D1045"/>
    <w:rsid w:val="008D1DC1"/>
    <w:rsid w:val="008D5C92"/>
    <w:rsid w:val="008D6DD4"/>
    <w:rsid w:val="008E2CA0"/>
    <w:rsid w:val="008E3285"/>
    <w:rsid w:val="008E5AA1"/>
    <w:rsid w:val="008E6643"/>
    <w:rsid w:val="008E736F"/>
    <w:rsid w:val="008F01CC"/>
    <w:rsid w:val="008F62A9"/>
    <w:rsid w:val="00900684"/>
    <w:rsid w:val="009013CE"/>
    <w:rsid w:val="009025A1"/>
    <w:rsid w:val="00907746"/>
    <w:rsid w:val="0091094C"/>
    <w:rsid w:val="009133BE"/>
    <w:rsid w:val="00922220"/>
    <w:rsid w:val="00922481"/>
    <w:rsid w:val="00923B53"/>
    <w:rsid w:val="0092418D"/>
    <w:rsid w:val="0092616E"/>
    <w:rsid w:val="00930368"/>
    <w:rsid w:val="00933228"/>
    <w:rsid w:val="00934FFA"/>
    <w:rsid w:val="00945D26"/>
    <w:rsid w:val="00952352"/>
    <w:rsid w:val="0095716F"/>
    <w:rsid w:val="009662DF"/>
    <w:rsid w:val="009663C1"/>
    <w:rsid w:val="00966E68"/>
    <w:rsid w:val="00973D53"/>
    <w:rsid w:val="00974F0C"/>
    <w:rsid w:val="00982723"/>
    <w:rsid w:val="009843A5"/>
    <w:rsid w:val="00995CEA"/>
    <w:rsid w:val="009A248A"/>
    <w:rsid w:val="009A6AC5"/>
    <w:rsid w:val="009B38E9"/>
    <w:rsid w:val="009B5E1C"/>
    <w:rsid w:val="009C1013"/>
    <w:rsid w:val="009C36C4"/>
    <w:rsid w:val="009E4E39"/>
    <w:rsid w:val="009F2D3C"/>
    <w:rsid w:val="00A01DC5"/>
    <w:rsid w:val="00A04A2F"/>
    <w:rsid w:val="00A151C5"/>
    <w:rsid w:val="00A16B35"/>
    <w:rsid w:val="00A17594"/>
    <w:rsid w:val="00A200AC"/>
    <w:rsid w:val="00A2501A"/>
    <w:rsid w:val="00A2541E"/>
    <w:rsid w:val="00A309DA"/>
    <w:rsid w:val="00A35251"/>
    <w:rsid w:val="00A3653F"/>
    <w:rsid w:val="00A40567"/>
    <w:rsid w:val="00A44899"/>
    <w:rsid w:val="00A448DE"/>
    <w:rsid w:val="00A45A57"/>
    <w:rsid w:val="00A55993"/>
    <w:rsid w:val="00A55FB0"/>
    <w:rsid w:val="00A600AD"/>
    <w:rsid w:val="00A6137B"/>
    <w:rsid w:val="00A652B7"/>
    <w:rsid w:val="00A65FF9"/>
    <w:rsid w:val="00A677FD"/>
    <w:rsid w:val="00A67CCE"/>
    <w:rsid w:val="00A7373C"/>
    <w:rsid w:val="00A74312"/>
    <w:rsid w:val="00A75465"/>
    <w:rsid w:val="00A81CCF"/>
    <w:rsid w:val="00A849B5"/>
    <w:rsid w:val="00A85126"/>
    <w:rsid w:val="00A90F78"/>
    <w:rsid w:val="00A93E6A"/>
    <w:rsid w:val="00A94A1A"/>
    <w:rsid w:val="00A95330"/>
    <w:rsid w:val="00AA55DB"/>
    <w:rsid w:val="00AB4054"/>
    <w:rsid w:val="00AB4F87"/>
    <w:rsid w:val="00AB60CC"/>
    <w:rsid w:val="00AC0C32"/>
    <w:rsid w:val="00AC377A"/>
    <w:rsid w:val="00AC5570"/>
    <w:rsid w:val="00AC5960"/>
    <w:rsid w:val="00AD25D5"/>
    <w:rsid w:val="00AD264F"/>
    <w:rsid w:val="00AE1895"/>
    <w:rsid w:val="00AE6E8B"/>
    <w:rsid w:val="00AE7BC9"/>
    <w:rsid w:val="00AF2150"/>
    <w:rsid w:val="00AF2D24"/>
    <w:rsid w:val="00AF3834"/>
    <w:rsid w:val="00AF7F70"/>
    <w:rsid w:val="00B01224"/>
    <w:rsid w:val="00B12DAD"/>
    <w:rsid w:val="00B14C2A"/>
    <w:rsid w:val="00B152BF"/>
    <w:rsid w:val="00B2322D"/>
    <w:rsid w:val="00B4233D"/>
    <w:rsid w:val="00B426F4"/>
    <w:rsid w:val="00B42F5D"/>
    <w:rsid w:val="00B43CC7"/>
    <w:rsid w:val="00B52099"/>
    <w:rsid w:val="00B60182"/>
    <w:rsid w:val="00B653C0"/>
    <w:rsid w:val="00B67DA7"/>
    <w:rsid w:val="00B7767D"/>
    <w:rsid w:val="00B7788A"/>
    <w:rsid w:val="00B80C3C"/>
    <w:rsid w:val="00B83E7B"/>
    <w:rsid w:val="00B853C7"/>
    <w:rsid w:val="00B93C8B"/>
    <w:rsid w:val="00B963C3"/>
    <w:rsid w:val="00B9707B"/>
    <w:rsid w:val="00BA2EF8"/>
    <w:rsid w:val="00BA4FD9"/>
    <w:rsid w:val="00BA68BC"/>
    <w:rsid w:val="00BB3972"/>
    <w:rsid w:val="00BB55D0"/>
    <w:rsid w:val="00BC3172"/>
    <w:rsid w:val="00BC581C"/>
    <w:rsid w:val="00BD06DA"/>
    <w:rsid w:val="00BD2A9D"/>
    <w:rsid w:val="00BD38F7"/>
    <w:rsid w:val="00BD75FE"/>
    <w:rsid w:val="00BE1783"/>
    <w:rsid w:val="00BE38C0"/>
    <w:rsid w:val="00BE522B"/>
    <w:rsid w:val="00BE655E"/>
    <w:rsid w:val="00BF60A6"/>
    <w:rsid w:val="00BF78F8"/>
    <w:rsid w:val="00C05DC0"/>
    <w:rsid w:val="00C1063B"/>
    <w:rsid w:val="00C14085"/>
    <w:rsid w:val="00C143B8"/>
    <w:rsid w:val="00C1740E"/>
    <w:rsid w:val="00C17D3F"/>
    <w:rsid w:val="00C2256D"/>
    <w:rsid w:val="00C22B17"/>
    <w:rsid w:val="00C22E87"/>
    <w:rsid w:val="00C26433"/>
    <w:rsid w:val="00C26E97"/>
    <w:rsid w:val="00C279E0"/>
    <w:rsid w:val="00C35F02"/>
    <w:rsid w:val="00C37135"/>
    <w:rsid w:val="00C408BD"/>
    <w:rsid w:val="00C46A77"/>
    <w:rsid w:val="00C528AF"/>
    <w:rsid w:val="00C55455"/>
    <w:rsid w:val="00C60FBE"/>
    <w:rsid w:val="00C62166"/>
    <w:rsid w:val="00C63033"/>
    <w:rsid w:val="00C647A3"/>
    <w:rsid w:val="00C654C0"/>
    <w:rsid w:val="00C67E7D"/>
    <w:rsid w:val="00C732C8"/>
    <w:rsid w:val="00C74C9F"/>
    <w:rsid w:val="00C7553F"/>
    <w:rsid w:val="00C762BD"/>
    <w:rsid w:val="00C83DA4"/>
    <w:rsid w:val="00C86C62"/>
    <w:rsid w:val="00C942B8"/>
    <w:rsid w:val="00CA0599"/>
    <w:rsid w:val="00CA1945"/>
    <w:rsid w:val="00CA2280"/>
    <w:rsid w:val="00CA5878"/>
    <w:rsid w:val="00CA77BD"/>
    <w:rsid w:val="00CB3306"/>
    <w:rsid w:val="00CB674A"/>
    <w:rsid w:val="00CC00E2"/>
    <w:rsid w:val="00CC039C"/>
    <w:rsid w:val="00CC12AF"/>
    <w:rsid w:val="00CC20E6"/>
    <w:rsid w:val="00CC3DF7"/>
    <w:rsid w:val="00CC4C66"/>
    <w:rsid w:val="00CC5941"/>
    <w:rsid w:val="00CC5B05"/>
    <w:rsid w:val="00CD01D9"/>
    <w:rsid w:val="00CD05A0"/>
    <w:rsid w:val="00CD05D1"/>
    <w:rsid w:val="00CD21F7"/>
    <w:rsid w:val="00CE2643"/>
    <w:rsid w:val="00CE3A74"/>
    <w:rsid w:val="00CE6566"/>
    <w:rsid w:val="00CE6CE5"/>
    <w:rsid w:val="00CF2D30"/>
    <w:rsid w:val="00CF4766"/>
    <w:rsid w:val="00CF5244"/>
    <w:rsid w:val="00CF6A74"/>
    <w:rsid w:val="00D03DAE"/>
    <w:rsid w:val="00D052ED"/>
    <w:rsid w:val="00D10BB5"/>
    <w:rsid w:val="00D130F7"/>
    <w:rsid w:val="00D14A85"/>
    <w:rsid w:val="00D1531C"/>
    <w:rsid w:val="00D165C5"/>
    <w:rsid w:val="00D256BE"/>
    <w:rsid w:val="00D277D4"/>
    <w:rsid w:val="00D322DB"/>
    <w:rsid w:val="00D414CC"/>
    <w:rsid w:val="00D420CF"/>
    <w:rsid w:val="00D442F3"/>
    <w:rsid w:val="00D46FB0"/>
    <w:rsid w:val="00D5723A"/>
    <w:rsid w:val="00D5786F"/>
    <w:rsid w:val="00D57F81"/>
    <w:rsid w:val="00D60FA4"/>
    <w:rsid w:val="00D702ED"/>
    <w:rsid w:val="00D705EB"/>
    <w:rsid w:val="00D70673"/>
    <w:rsid w:val="00D72546"/>
    <w:rsid w:val="00D74B66"/>
    <w:rsid w:val="00D75888"/>
    <w:rsid w:val="00D76A8E"/>
    <w:rsid w:val="00D83303"/>
    <w:rsid w:val="00D83744"/>
    <w:rsid w:val="00D8504F"/>
    <w:rsid w:val="00D86A51"/>
    <w:rsid w:val="00D90296"/>
    <w:rsid w:val="00D90EB3"/>
    <w:rsid w:val="00D9521E"/>
    <w:rsid w:val="00D95F56"/>
    <w:rsid w:val="00D9730B"/>
    <w:rsid w:val="00DA0A2A"/>
    <w:rsid w:val="00DA0E9D"/>
    <w:rsid w:val="00DA1DF4"/>
    <w:rsid w:val="00DA3F16"/>
    <w:rsid w:val="00DA5240"/>
    <w:rsid w:val="00DA67DB"/>
    <w:rsid w:val="00DB13C9"/>
    <w:rsid w:val="00DB31F4"/>
    <w:rsid w:val="00DB509D"/>
    <w:rsid w:val="00DB585B"/>
    <w:rsid w:val="00DB64F8"/>
    <w:rsid w:val="00DB72F9"/>
    <w:rsid w:val="00DB7C8F"/>
    <w:rsid w:val="00DD2215"/>
    <w:rsid w:val="00DD2A60"/>
    <w:rsid w:val="00DD5812"/>
    <w:rsid w:val="00DE44BB"/>
    <w:rsid w:val="00DE6ED5"/>
    <w:rsid w:val="00DF156D"/>
    <w:rsid w:val="00DF65D9"/>
    <w:rsid w:val="00E02EE3"/>
    <w:rsid w:val="00E03E35"/>
    <w:rsid w:val="00E106AC"/>
    <w:rsid w:val="00E127C8"/>
    <w:rsid w:val="00E14920"/>
    <w:rsid w:val="00E150C1"/>
    <w:rsid w:val="00E17A9F"/>
    <w:rsid w:val="00E23E99"/>
    <w:rsid w:val="00E24BB4"/>
    <w:rsid w:val="00E3023A"/>
    <w:rsid w:val="00E30886"/>
    <w:rsid w:val="00E30F3F"/>
    <w:rsid w:val="00E325EE"/>
    <w:rsid w:val="00E35C1B"/>
    <w:rsid w:val="00E36515"/>
    <w:rsid w:val="00E36603"/>
    <w:rsid w:val="00E37161"/>
    <w:rsid w:val="00E43088"/>
    <w:rsid w:val="00E45550"/>
    <w:rsid w:val="00E45664"/>
    <w:rsid w:val="00E46127"/>
    <w:rsid w:val="00E50898"/>
    <w:rsid w:val="00E533D4"/>
    <w:rsid w:val="00E53F19"/>
    <w:rsid w:val="00E55590"/>
    <w:rsid w:val="00E65180"/>
    <w:rsid w:val="00E708CE"/>
    <w:rsid w:val="00E7128E"/>
    <w:rsid w:val="00E73D23"/>
    <w:rsid w:val="00E750D6"/>
    <w:rsid w:val="00E7787A"/>
    <w:rsid w:val="00E77B5F"/>
    <w:rsid w:val="00E81953"/>
    <w:rsid w:val="00E8227B"/>
    <w:rsid w:val="00E85FD1"/>
    <w:rsid w:val="00EA0967"/>
    <w:rsid w:val="00EA40C8"/>
    <w:rsid w:val="00EA485D"/>
    <w:rsid w:val="00EA56BF"/>
    <w:rsid w:val="00EA5D44"/>
    <w:rsid w:val="00EB2DCF"/>
    <w:rsid w:val="00EB36BE"/>
    <w:rsid w:val="00EB60C8"/>
    <w:rsid w:val="00EC0D49"/>
    <w:rsid w:val="00EC1621"/>
    <w:rsid w:val="00EC2E6A"/>
    <w:rsid w:val="00EC3D40"/>
    <w:rsid w:val="00EC6AA2"/>
    <w:rsid w:val="00ED50C2"/>
    <w:rsid w:val="00ED65B4"/>
    <w:rsid w:val="00ED77DE"/>
    <w:rsid w:val="00EE0219"/>
    <w:rsid w:val="00EE1546"/>
    <w:rsid w:val="00EF4184"/>
    <w:rsid w:val="00EF7F94"/>
    <w:rsid w:val="00F0457B"/>
    <w:rsid w:val="00F052FD"/>
    <w:rsid w:val="00F0752C"/>
    <w:rsid w:val="00F1181B"/>
    <w:rsid w:val="00F1313C"/>
    <w:rsid w:val="00F17FF4"/>
    <w:rsid w:val="00F24ED4"/>
    <w:rsid w:val="00F271C6"/>
    <w:rsid w:val="00F27A50"/>
    <w:rsid w:val="00F30504"/>
    <w:rsid w:val="00F41D68"/>
    <w:rsid w:val="00F5039D"/>
    <w:rsid w:val="00F538DC"/>
    <w:rsid w:val="00F554E1"/>
    <w:rsid w:val="00F56E71"/>
    <w:rsid w:val="00F651C0"/>
    <w:rsid w:val="00F66446"/>
    <w:rsid w:val="00F74904"/>
    <w:rsid w:val="00F7523E"/>
    <w:rsid w:val="00F80089"/>
    <w:rsid w:val="00F8076E"/>
    <w:rsid w:val="00F817C7"/>
    <w:rsid w:val="00F9176F"/>
    <w:rsid w:val="00F9647E"/>
    <w:rsid w:val="00F9751B"/>
    <w:rsid w:val="00FA3D54"/>
    <w:rsid w:val="00FA5AB4"/>
    <w:rsid w:val="00FA6282"/>
    <w:rsid w:val="00FA6DFF"/>
    <w:rsid w:val="00FB197C"/>
    <w:rsid w:val="00FB6633"/>
    <w:rsid w:val="00FB66FD"/>
    <w:rsid w:val="00FC0678"/>
    <w:rsid w:val="00FC3944"/>
    <w:rsid w:val="00FC73D4"/>
    <w:rsid w:val="00FD424E"/>
    <w:rsid w:val="00FE08E7"/>
    <w:rsid w:val="00FE241C"/>
    <w:rsid w:val="00FE3099"/>
    <w:rsid w:val="00FE4A95"/>
    <w:rsid w:val="00FF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16F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5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0A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A0A2A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DA0A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A2A"/>
    <w:rPr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F041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26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6761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67619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7619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67619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7619"/>
    <w:rPr>
      <w:rFonts w:ascii="Calibri" w:hAnsi="Calibr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lassic1">
    <w:name w:val="Table Classic 1"/>
    <w:basedOn w:val="TableNormal"/>
    <w:rsid w:val="003676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40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716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Izvje&#353;taj%20o%20poslovanju%202023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F63B-14DD-4ED2-B022-92CDD761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Izvještaj o poslovanju 2023.</Template>
  <TotalTime>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poslovanju ZA 2014 godinu</vt:lpstr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poslovanju ZA 2014 godinu</dc:title>
  <dc:creator>Korisnik</dc:creator>
  <cp:lastModifiedBy>Korisnik</cp:lastModifiedBy>
  <cp:revision>7</cp:revision>
  <cp:lastPrinted>2024-03-06T09:53:00Z</cp:lastPrinted>
  <dcterms:created xsi:type="dcterms:W3CDTF">2025-02-03T12:21:00Z</dcterms:created>
  <dcterms:modified xsi:type="dcterms:W3CDTF">2025-02-03T12:24:00Z</dcterms:modified>
</cp:coreProperties>
</file>